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Must Learn CodeQL</w:t>
      </w:r>
    </w:p>
    <w:p>
      <w:pPr>
        <w:pStyle w:val="Subtitle"/>
      </w:pPr>
      <w:r>
        <w:t xml:space="preserve">Data Flow, Taint Tracking, and Library Extension — with Examples and Exercises</w:t>
      </w:r>
    </w:p>
    <w:p>
      <w:pPr>
        <w:spacing w:before="200"/>
        <w:jc w:val="center"/>
      </w:pPr>
      <w:hyperlink w:history="1" r:id="rIdg77gi8ekeg3tk7m098zli">
        <w:r>
          <w:rPr>
            <w:rStyle w:val="Hyperlink"/>
          </w:rPr>
          <w:t xml:space="preserve">github.com/rod-trent/MustLearnCodeQL</w:t>
        </w:r>
      </w:hyperlink>
    </w:p>
    <w:p>
      <w:pPr>
        <w:pStyle w:val="Heading1"/>
        <w:pageBreakBefore/>
      </w:pPr>
      <w:r>
        <w:t xml:space="preserve">How to Use the Examples and Exercises</w:t>
      </w:r>
    </w:p>
    <w:p>
      <w:pPr>
        <w:spacing w:after="120"/>
      </w:pPr>
      <w:r>
        <w:rPr>
          <w:sz w:val="22"/>
          <w:szCs w:val="22"/>
        </w:rPr>
        <w:t xml:space="preserve">This edition adds concrete exercises and additional starter queries for the core chapters. All files are in the companion repository. For each exercise: read the prompt, open the starter .ql file, complete the TODO, run it against a test database, and compare your result with the expected outcome described below.</w:t>
      </w:r>
    </w:p>
    <w:p>
      <w:pPr>
        <w:pStyle w:val="Heading1"/>
        <w:pageBreakBefore/>
      </w:pPr>
      <w:r>
        <w:t xml:space="preserve">Chapter 8: Data Flow Analysis — Examples and Exercises</w:t>
      </w:r>
    </w:p>
    <w:p>
      <w:pPr>
        <w:pStyle w:val="Heading2"/>
      </w:pPr>
      <w:r>
        <w:t xml:space="preserve">Core Example</w:t>
      </w:r>
    </w:p>
    <w:p>
      <w:pPr>
        <w:spacing w:after="120"/>
      </w:pPr>
      <w:r>
        <w:rPr>
          <w:sz w:val="22"/>
          <w:szCs w:val="22"/>
        </w:rPr>
        <w:t xml:space="preserve">The global-flow skeleton in examples/chapter08/global-flow-skeleton.ql is your starting point. Run it, then modify the source and sink predicates.</w:t>
      </w:r>
    </w:p>
    <w:p>
      <w:pPr>
        <w:pStyle w:val="Heading2"/>
      </w:pPr>
      <w:r>
        <w:t xml:space="preserve">Exercise 8.1: Local vs Global</w:t>
      </w:r>
    </w:p>
    <w:p>
      <w:pPr>
        <w:spacing w:after="120"/>
      </w:pPr>
      <w:r>
        <w:rPr>
          <w:sz w:val="22"/>
          <w:szCs w:val="22"/>
        </w:rPr>
        <w:t xml:space="preserve">Create a small function that assigns a remote value to a local variable and passes it to a sink inside the same function. Write both a local-flow query and a global-flow query. Confirm both report the issue. Then move the sink into a helper function and observe that only the global query still reports it.</w:t>
      </w:r>
    </w:p>
    <w:p>
      <w:pPr>
        <w:pStyle w:val="Heading2"/>
      </w:pPr>
      <w:r>
        <w:t xml:space="preserve">Exercise 8.2: Additional Flow Step</w:t>
      </w:r>
    </w:p>
    <w:p>
      <w:pPr>
        <w:spacing w:after="120"/>
      </w:pPr>
      <w:r>
        <w:rPr>
          <w:sz w:val="22"/>
          <w:szCs w:val="22"/>
        </w:rPr>
        <w:t xml:space="preserve">Add an isAdditionalFlowStep that models a function called transform(data) which returns its argument unchanged. Verify that flow now continues through calls to transform.</w:t>
      </w:r>
    </w:p>
    <w:p>
      <w:pPr>
        <w:spacing w:after="120"/>
      </w:pPr>
      <w:r>
        <w:rPr>
          <w:sz w:val="22"/>
          <w:szCs w:val="22"/>
        </w:rPr>
        <w:t xml:space="preserve">Expected outcome: paths that previously stopped at transform now continue to the sink.</w:t>
      </w:r>
    </w:p>
    <w:p>
      <w:pPr>
        <w:pStyle w:val="Heading1"/>
        <w:pageBreakBefore/>
      </w:pPr>
      <w:r>
        <w:t xml:space="preserve">Chapter 9: Taint Tracking and Path Queries — Examples and Exercises</w:t>
      </w:r>
    </w:p>
    <w:p>
      <w:pPr>
        <w:pStyle w:val="Heading2"/>
      </w:pPr>
      <w:r>
        <w:t xml:space="preserve">Complete XSS Example</w:t>
      </w:r>
    </w:p>
    <w:p>
      <w:pPr>
        <w:spacing w:after="120"/>
      </w:pPr>
      <w:r>
        <w:rPr>
          <w:sz w:val="22"/>
          <w:szCs w:val="22"/>
        </w:rPr>
        <w:t xml:space="preserve">examples/chapter09/xss-path.ql is a full working path query. Study its metadata, configuration, and select clause.</w:t>
      </w:r>
    </w:p>
    <w:p>
      <w:pPr>
        <w:pStyle w:val="Heading2"/>
      </w:pPr>
      <w:r>
        <w:t xml:space="preserve">Exercise 9.1: SQL Injection Starter</w:t>
      </w:r>
    </w:p>
    <w:p>
      <w:pPr>
        <w:spacing w:after="120"/>
      </w:pPr>
      <w:r>
        <w:rPr>
          <w:sz w:val="22"/>
          <w:szCs w:val="22"/>
        </w:rPr>
        <w:t xml:space="preserve">Open examples/chapter09/exercise-sql-injection.ql. The sink is a placeholder. Replace it with a more realistic condition (or keep it and create matching sample code). Run the query and confirm paths are reported only for unsanitized inputs.</w:t>
      </w:r>
    </w:p>
    <w:p>
      <w:pPr>
        <w:spacing w:after="120"/>
      </w:pPr>
      <w:r>
        <w:rPr>
          <w:sz w:val="22"/>
          <w:szCs w:val="22"/>
        </w:rPr>
        <w:t xml:space="preserve">Expected outcome: at least one path from a RemoteFlowSource to your sink; no path when a barrier is present.</w:t>
      </w:r>
    </w:p>
    <w:p>
      <w:pPr>
        <w:pStyle w:val="Heading2"/>
      </w:pPr>
      <w:r>
        <w:t xml:space="preserve">Exercise 9.2: Add a Barrier</w:t>
      </w:r>
    </w:p>
    <w:p>
      <w:pPr>
        <w:spacing w:after="120"/>
      </w:pPr>
      <w:r>
        <w:rPr>
          <w:sz w:val="22"/>
          <w:szCs w:val="22"/>
        </w:rPr>
        <w:t xml:space="preserve">Open examples/chapter09/exercise-add-barrier.ql. Implement the isBarrier predicate so that flow stops at calls to sanitize or escapeHtml. Re-run and verify false positives disappear while true positives remain.</w:t>
      </w:r>
    </w:p>
    <w:p>
      <w:pPr>
        <w:spacing w:after="120"/>
      </w:pPr>
      <w:r>
        <w:rPr>
          <w:sz w:val="22"/>
          <w:szCs w:val="22"/>
        </w:rPr>
        <w:t xml:space="preserve">Expected outcome: paths through the sanitizer are eliminated; paths that bypass it are still reported.</w:t>
      </w:r>
    </w:p>
    <w:p>
      <w:pPr>
        <w:pStyle w:val="Heading2"/>
      </w:pPr>
      <w:r>
        <w:t xml:space="preserve">Exercise 9.3: Partial Flow Debugging</w:t>
      </w:r>
    </w:p>
    <w:p>
      <w:pPr>
        <w:spacing w:after="120"/>
      </w:pPr>
      <w:r>
        <w:rPr>
          <w:sz w:val="22"/>
          <w:szCs w:val="22"/>
        </w:rPr>
        <w:t xml:space="preserve">Intentionally break a source predicate so no full path exists. Use partial-flow features (or temporary selects) to discover the last node reached. Restore the source and confirm the full path reappears.</w:t>
      </w:r>
    </w:p>
    <w:p>
      <w:pPr>
        <w:pStyle w:val="Heading1"/>
        <w:pageBreakBefore/>
      </w:pPr>
      <w:r>
        <w:t xml:space="preserve">Chapter 10: Library Extension — Examples and Exercises</w:t>
      </w:r>
    </w:p>
    <w:p>
      <w:pPr>
        <w:pStyle w:val="Heading2"/>
      </w:pPr>
      <w:r>
        <w:t xml:space="preserve">Custom Source Example</w:t>
      </w:r>
    </w:p>
    <w:p>
      <w:pPr>
        <w:spacing w:after="120"/>
      </w:pPr>
      <w:r>
        <w:rPr>
          <w:sz w:val="22"/>
          <w:szCs w:val="22"/>
        </w:rPr>
        <w:t xml:space="preserve">examples/chapter10/custom-source.ql shows subclassing RemoteFlowSource. Run a standard XSS or SQL query before and after adding this class and observe the new results.</w:t>
      </w:r>
    </w:p>
    <w:p>
      <w:pPr>
        <w:pStyle w:val="Heading2"/>
      </w:pPr>
      <w:r>
        <w:t xml:space="preserve">Exercise 10.1: Second Custom Source</w:t>
      </w:r>
    </w:p>
    <w:p>
      <w:pPr>
        <w:spacing w:after="120"/>
      </w:pPr>
      <w:r>
        <w:rPr>
          <w:sz w:val="22"/>
          <w:szCs w:val="22"/>
        </w:rPr>
        <w:t xml:space="preserve">Extend the custom source example with a second origin, for example calls to readUntrustedFile(). Confirm both origins are treated as sources by an existing taint-tracking query.</w:t>
      </w:r>
    </w:p>
    <w:p>
      <w:pPr>
        <w:pStyle w:val="Heading2"/>
      </w:pPr>
      <w:r>
        <w:t xml:space="preserve">Exercise 10.2: Custom Sink</w:t>
      </w:r>
    </w:p>
    <w:p>
      <w:pPr>
        <w:spacing w:after="120"/>
      </w:pPr>
      <w:r>
        <w:rPr>
          <w:sz w:val="22"/>
          <w:szCs w:val="22"/>
        </w:rPr>
        <w:t xml:space="preserve">Open examples/chapter10/exercise-custom-sink.ql. Turn the candidate into a proper modeled sink (subclass or predicate) and reference it from a taint-tracking configuration. Verify that previously invisible flows to dangerousExecute are now reported.</w:t>
      </w:r>
    </w:p>
    <w:p>
      <w:pPr>
        <w:spacing w:after="120"/>
      </w:pPr>
      <w:r>
        <w:rPr>
          <w:sz w:val="22"/>
          <w:szCs w:val="22"/>
        </w:rPr>
        <w:t xml:space="preserve">Expected outcome: the query reports paths that end at your new sink and ignores unrelated calls.</w:t>
      </w:r>
    </w:p>
    <w:p>
      <w:pPr>
        <w:pStyle w:val="Heading2"/>
      </w:pPr>
      <w:r>
        <w:t xml:space="preserve">Exercise 10.3: Model Pack Sketch</w:t>
      </w:r>
    </w:p>
    <w:p>
      <w:pPr>
        <w:spacing w:after="120"/>
      </w:pPr>
      <w:r>
        <w:rPr>
          <w:sz w:val="22"/>
          <w:szCs w:val="22"/>
        </w:rPr>
        <w:t xml:space="preserve">Create a minimal qlpack.yml that could serve as a model pack containing your custom source and sink. Document the dependency an application query pack would need. (Full publishing steps are in the packs chapter.)</w:t>
      </w:r>
    </w:p>
    <w:p>
      <w:pPr>
        <w:pStyle w:val="Heading1"/>
        <w:pageBreakBefore/>
      </w:pPr>
      <w:r>
        <w:t xml:space="preserve">Additional Practice Exercises</w:t>
      </w:r>
    </w:p>
    <w:p>
      <w:pPr>
        <w:pStyle w:val="Heading2"/>
      </w:pPr>
      <w:r>
        <w:t xml:space="preserve">Exercise A: Precision Tuning</w:t>
      </w:r>
    </w:p>
    <w:p>
      <w:pPr>
        <w:spacing w:after="120"/>
      </w:pPr>
      <w:r>
        <w:rPr>
          <w:sz w:val="22"/>
          <w:szCs w:val="22"/>
        </w:rPr>
        <w:t xml:space="preserve">Take the XSS path query. Add a barrier for one encoder. Measure (by inspection) how many alerts disappear. Remove the barrier and add an additional flow step for a wrapper function. Observe the opposite effect.</w:t>
      </w:r>
    </w:p>
    <w:p>
      <w:pPr>
        <w:pStyle w:val="Heading2"/>
      </w:pPr>
      <w:r>
        <w:t xml:space="preserve">Exercise B: Metadata and Help</w:t>
      </w:r>
    </w:p>
    <w:p>
      <w:pPr>
        <w:spacing w:after="120"/>
      </w:pPr>
      <w:r>
        <w:rPr>
          <w:sz w:val="22"/>
          <w:szCs w:val="22"/>
        </w:rPr>
        <w:t xml:space="preserve">Add complete metadata (@precision, @problem.severity, @tags) to one of your exercise queries. Generate or hand-write a short query-help markdown file explaining the issue and the remediation.</w:t>
      </w:r>
    </w:p>
    <w:p>
      <w:pPr>
        <w:pStyle w:val="Heading2"/>
      </w:pPr>
      <w:r>
        <w:t xml:space="preserve">Exercise C: Positive and Negative Tests</w:t>
      </w:r>
    </w:p>
    <w:p>
      <w:pPr>
        <w:spacing w:after="120"/>
      </w:pPr>
      <w:r>
        <w:rPr>
          <w:sz w:val="22"/>
          <w:szCs w:val="22"/>
        </w:rPr>
        <w:t xml:space="preserve">For any query you completed above, create two tiny source files: one that must alert and one that must not. Run the query against a database built from those files and record the expected results. This is the beginning of a proper test suite.</w:t>
      </w:r>
    </w:p>
    <w:p>
      <w:pPr>
        <w:pStyle w:val="Heading1"/>
        <w:pageBreakBefore/>
      </w:pPr>
      <w:r>
        <w:t xml:space="preserve">Quick Reference for the New Examples</w:t>
      </w:r>
    </w:p>
    <w:p>
      <w:pPr>
        <w:spacing w:after="120"/>
      </w:pPr>
      <w:r>
        <w:rPr>
          <w:sz w:val="22"/>
          <w:szCs w:val="22"/>
        </w:rPr>
        <w:t xml:space="preserve">examples/chapter08/global-flow-skeleton.ql — starting configuration</w:t>
      </w:r>
    </w:p>
    <w:p>
      <w:pPr>
        <w:spacing w:after="120"/>
      </w:pPr>
      <w:r>
        <w:rPr>
          <w:sz w:val="22"/>
          <w:szCs w:val="22"/>
        </w:rPr>
        <w:t xml:space="preserve">examples/chapter09/xss-path.ql — complete path query</w:t>
      </w:r>
    </w:p>
    <w:p>
      <w:pPr>
        <w:spacing w:after="120"/>
      </w:pPr>
      <w:r>
        <w:rPr>
          <w:sz w:val="22"/>
          <w:szCs w:val="22"/>
        </w:rPr>
        <w:t xml:space="preserve">examples/chapter09/exercise-sql-injection.ql — SQL exercise</w:t>
      </w:r>
    </w:p>
    <w:p>
      <w:pPr>
        <w:spacing w:after="120"/>
      </w:pPr>
      <w:r>
        <w:rPr>
          <w:sz w:val="22"/>
          <w:szCs w:val="22"/>
        </w:rPr>
        <w:t xml:space="preserve">examples/chapter09/exercise-add-barrier.ql — barrier exercise</w:t>
      </w:r>
    </w:p>
    <w:p>
      <w:pPr>
        <w:spacing w:after="120"/>
      </w:pPr>
      <w:r>
        <w:rPr>
          <w:sz w:val="22"/>
          <w:szCs w:val="22"/>
        </w:rPr>
        <w:t xml:space="preserve">examples/chapter10/custom-source.ql — custom source</w:t>
      </w:r>
    </w:p>
    <w:p>
      <w:pPr>
        <w:spacing w:after="120"/>
      </w:pPr>
      <w:r>
        <w:rPr>
          <w:sz w:val="22"/>
          <w:szCs w:val="22"/>
        </w:rPr>
        <w:t xml:space="preserve">examples/chapter10/exercise-custom-sink.ql — custom sink exercise</w:t>
      </w:r>
    </w:p>
    <w:p>
      <w:pPr>
        <w:spacing w:after="120"/>
      </w:pPr>
      <w:r>
        <w:rPr>
          <w:sz w:val="22"/>
          <w:szCs w:val="22"/>
        </w:rPr>
        <w:t xml:space="preserve">Each EXERCISES.md file in those folders repeats the prompts for offline use.</w:t>
      </w:r>
    </w:p>
    <w:p>
      <w:pPr>
        <w:spacing w:before="300"/>
      </w:pPr>
      <w:r>
        <w:rPr>
          <w:i/>
          <w:iCs/>
        </w:rPr>
        <w:t xml:space="preserve">End of expanded examples and exercises edition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16"/>
        <w:szCs w:val="16"/>
      </w:rPr>
      <w:t xml:space="preserve">Must Learn CodeQL — Examples &amp; Exercises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Title">
    <w:name w:val="Title"/>
    <w:basedOn w:val="Normal"/>
    <w:pPr>
      <w:spacing w:after="120" w:before="0"/>
      <w:jc w:val="center"/>
    </w:pPr>
    <w:rPr>
      <w:rFonts w:ascii="Calibri" w:cs="Calibri" w:eastAsia="Calibri" w:hAnsi="Calibri"/>
      <w:b/>
      <w:bCs/>
      <w:color w:val="1F4E79"/>
      <w:sz w:val="44"/>
      <w:szCs w:val="44"/>
    </w:rPr>
  </w:style>
  <w:style w:type="paragraph" w:styleId="Subtitle">
    <w:name w:val="Subtitle"/>
    <w:basedOn w:val="Normal"/>
    <w:pPr>
      <w:spacing w:after="200" w:before="0"/>
      <w:jc w:val="center"/>
    </w:pPr>
    <w:rPr>
      <w:rFonts w:ascii="Calibri" w:cs="Calibri" w:eastAsia="Calibri" w:hAnsi="Calibri"/>
      <w:i/>
      <w:iCs/>
      <w:color w:val="5B9BD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g77gi8ekeg3tk7m098zli" Type="http://schemas.openxmlformats.org/officeDocument/2006/relationships/hyperlink" Target="https://github.com/rod-trent/MustLearnCodeQ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2026-10-15T16:35:56.818Z</dcterms:created>
  <dcterms:modified xsi:type="dcterms:W3CDTF">2026-10-15T16:35:56.818Z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