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40"/>
          <w:szCs w:val="40"/>
        </w:rPr>
        <w:t xml:space="preserve">Must Learn CodeQL</w:t>
      </w:r>
    </w:p>
    <w:p>
      <w:pPr>
        <w:spacing w:after="80"/>
        <w:jc w:val="center"/>
      </w:pPr>
      <w:r>
        <w:rPr>
          <w:i/>
          <w:iCs/>
          <w:color w:val="5B9BD5"/>
          <w:sz w:val="20"/>
          <w:szCs w:val="20"/>
        </w:rPr>
        <w:t xml:space="preserve">A Practical Guide to Semantic Code Analysis</w:t>
      </w:r>
    </w:p>
    <w:p>
      <w:pPr>
        <w:jc w:val="center"/>
      </w:pPr>
      <w:r>
        <w:rPr>
          <w:sz w:val="18"/>
          <w:szCs w:val="18"/>
        </w:rPr>
        <w:t xml:space="preserve">Rod Trent • 2026</w:t>
      </w:r>
    </w:p>
    <w:p>
      <w:pPr>
        <w:spacing w:before="30"/>
        <w:jc w:val="center"/>
      </w:pPr>
      <w:hyperlink w:history="1" r:id="rId2z1kwfqcugttcuhwerggk">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Prior Chapters</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13: Advanced Techniques and Performance</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Why Performance and Debuggability Matter</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Writing Efficient Predicates</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Source and Sink Precision</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Local versus Global</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Partial-Flow Debugging</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Profiling and Measurement</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Modular Design</w:t>
            </w:r>
            <w:r>
              <w:tab/>
            </w:r>
            <w:r>
              <w:fldChar w:fldCharType="begin" w:dirty="true"/>
              <w:instrText xml:space="preserve">PAGEREF _Toc11 \h</w:instrText>
              <w:fldChar w:fldCharType="separate"/>
              <w:fldChar w:fldCharType="end"/>
            </w:r>
          </w:hyperlink>
        </w:p>
        <w:p>
          <w:pPr>
            <w:pStyle w:val="TOC2"/>
            <w:tabs>
              <w:tab w:val="right" w:pos="9648" w:leader="dot"/>
            </w:tabs>
            <w:ind w:left="220"/>
          </w:pPr>
          <w:hyperlink w:history="1" w:anchor="_Toc12">
            <w:r>
              <w:t xml:space="preserve">Common Performance Pitfalls</w:t>
            </w:r>
            <w:r>
              <w:tab/>
            </w:r>
            <w:r>
              <w:fldChar w:fldCharType="begin" w:dirty="true"/>
              <w:instrText xml:space="preserve">PAGEREF _Toc12 \h</w:instrText>
              <w:fldChar w:fldCharType="separate"/>
              <w:fldChar w:fldCharType="end"/>
            </w:r>
          </w:hyperlink>
        </w:p>
        <w:p>
          <w:pPr>
            <w:pStyle w:val="TOC2"/>
            <w:tabs>
              <w:tab w:val="right" w:pos="9648" w:leader="dot"/>
            </w:tabs>
            <w:ind w:left="220"/>
          </w:pPr>
          <w:hyperlink w:history="1" w:anchor="_Toc13">
            <w:r>
              <w:t xml:space="preserve">Practical Checklist</w:t>
            </w:r>
            <w:r>
              <w:tab/>
            </w:r>
            <w:r>
              <w:fldChar w:fldCharType="begin" w:dirty="true"/>
              <w:instrText xml:space="preserve">PAGEREF _Toc13 \h</w:instrText>
              <w:fldChar w:fldCharType="separate"/>
              <w:fldChar w:fldCharType="end"/>
            </w:r>
          </w:hyperlink>
        </w:p>
        <w:p>
          <w:pPr>
            <w:pStyle w:val="TOC1"/>
            <w:tabs>
              <w:tab w:val="right" w:pos="9648" w:leader="dot"/>
            </w:tabs>
          </w:pPr>
          <w:hyperlink w:history="1" w:anchor="_Toc14">
            <w:r>
              <w:t xml:space="preserve">Chapter 14: Case Studies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Chapter 15: Best Practices</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Appendix</w:t>
            </w:r>
            <w:r>
              <w:tab/>
            </w:r>
            <w:r>
              <w:fldChar w:fldCharType="begin" w:dirty="true"/>
              <w:instrText xml:space="preserve">PAGEREF _Toc16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80" w:line="276"/>
      </w:pPr>
      <w:r>
        <w:rPr>
          <w:sz w:val="22"/>
          <w:szCs w:val="22"/>
        </w:rPr>
        <w:t xml:space="preserve">Chapter 13 on performance and debugging has been expanded. Related example: examples/chapter13/performance-predicate.ql.</w:t>
      </w:r>
    </w:p>
    <w:p>
      <w:pPr>
        <w:pStyle w:val="Heading1"/>
        <w:pageBreakBefore/>
      </w:pPr>
      <w:bookmarkStart w:name="_Toc3" w:id="3"/>
      <w:r>
        <w:t xml:space="preserve">Prior Chapters</w:t>
      </w:r>
      <w:bookmarkEnd w:id="3"/>
    </w:p>
    <w:p>
      <w:pPr>
        <w:spacing w:after="80" w:line="276"/>
      </w:pPr>
      <w:r>
        <w:rPr>
          <w:sz w:val="22"/>
          <w:szCs w:val="22"/>
        </w:rPr>
        <w:t xml:space="preserve">Chapters 1–12 cover fundamentals through CI integration. This chapter focuses on keeping queries fast and diagnosable once they run regularly.</w:t>
      </w:r>
    </w:p>
    <w:p>
      <w:pPr>
        <w:pStyle w:val="Heading1"/>
        <w:pageBreakBefore/>
      </w:pPr>
      <w:bookmarkStart w:name="_Toc4" w:id="4"/>
      <w:r>
        <w:t xml:space="preserve">Chapter 13: Advanced Techniques and Performance</w:t>
      </w:r>
      <w:bookmarkEnd w:id="4"/>
    </w:p>
    <w:p>
      <w:pPr>
        <w:pStyle w:val="Heading2"/>
      </w:pPr>
      <w:bookmarkStart w:name="_Toc5" w:id="5"/>
      <w:r>
        <w:t xml:space="preserve">Why Performance and Debuggability Matter</w:t>
      </w:r>
      <w:bookmarkEnd w:id="5"/>
    </w:p>
    <w:p>
      <w:pPr>
        <w:spacing w:after="80" w:line="276"/>
      </w:pPr>
      <w:r>
        <w:rPr>
          <w:sz w:val="22"/>
          <w:szCs w:val="22"/>
        </w:rPr>
        <w:t xml:space="preserve">A query that is correct but slow will be disabled. A query that produces unexplained missing results will be distrusted. Once CodeQL runs in CI, both speed and the ability to diagnose surprises become production requirements. Most performance problems are precision problems in disguise, and most missing paths are modeling gaps.</w:t>
      </w:r>
    </w:p>
    <w:p>
      <w:pPr>
        <w:pStyle w:val="Heading2"/>
      </w:pPr>
      <w:bookmarkStart w:name="_Toc6" w:id="6"/>
      <w:r>
        <w:t xml:space="preserve">Writing Efficient Predicates</w:t>
      </w:r>
      <w:bookmarkEnd w:id="6"/>
    </w:p>
    <w:p>
      <w:pPr>
        <w:spacing w:after="80" w:line="276"/>
      </w:pPr>
      <w:r>
        <w:rPr>
          <w:sz w:val="22"/>
          <w:szCs w:val="22"/>
        </w:rPr>
        <w:t xml:space="preserve">Keep predicates small and specific. The optimizer works better with clear, narrow relations than with large, overlapping ones. Prefer predicates already provided by the standard libraries over hand-written joins. Avoid unnecessary recursion and broad exists clauses when a more precise formulation exists.</w:t>
      </w:r>
    </w:p>
    <w:p>
      <w:pPr>
        <w:spacing w:after="80" w:line="276"/>
      </w:pPr>
      <w:r>
        <w:rPr>
          <w:sz w:val="22"/>
          <w:szCs w:val="22"/>
        </w:rPr>
        <w:t xml:space="preserve">A tighter formulation of an eval check (excluding certain wrappers early) is shown in examples/chapter13/performance-predicate.ql. Compare it with a naïve version that selects every call and filters later; the early filter reduces work.</w:t>
      </w:r>
    </w:p>
    <w:p>
      <w:pPr>
        <w:pStyle w:val="Heading2"/>
      </w:pPr>
      <w:bookmarkStart w:name="_Toc7" w:id="7"/>
      <w:r>
        <w:t xml:space="preserve">Source and Sink Precision</w:t>
      </w:r>
      <w:bookmarkEnd w:id="7"/>
    </w:p>
    <w:p>
      <w:pPr>
        <w:spacing w:after="80" w:line="276"/>
      </w:pPr>
      <w:r>
        <w:rPr>
          <w:sz w:val="22"/>
          <w:szCs w:val="22"/>
        </w:rPr>
        <w:t xml:space="preserve">Global data-flow and taint-tracking configurations are expensive when sources or sinks match too much. A source predicate that matches every string forces the engine to explore a huge graph. Start with the most specific library classes available (RemoteFlowSource, language-specific sink classes), then extend only where required. The same discipline applies to barriers: precise barriers both improve results and can prune search space.</w:t>
      </w:r>
    </w:p>
    <w:p>
      <w:pPr>
        <w:pStyle w:val="Heading2"/>
      </w:pPr>
      <w:bookmarkStart w:name="_Toc8" w:id="8"/>
      <w:r>
        <w:t xml:space="preserve">Local versus Global</w:t>
      </w:r>
      <w:bookmarkEnd w:id="8"/>
    </w:p>
    <w:p>
      <w:pPr>
        <w:spacing w:after="80" w:line="276"/>
      </w:pPr>
      <w:r>
        <w:rPr>
          <w:sz w:val="22"/>
          <w:szCs w:val="22"/>
        </w:rPr>
        <w:t xml:space="preserve">Use local data flow whenever the check does not need to cross function boundaries. Local analysis is dramatically cheaper. Only promote a query to global flow when you have confirmed that inter-procedural tracking is required for the vulnerability class you care about.</w:t>
      </w:r>
    </w:p>
    <w:p>
      <w:pPr>
        <w:pStyle w:val="Heading2"/>
      </w:pPr>
      <w:bookmarkStart w:name="_Toc9" w:id="9"/>
      <w:r>
        <w:t xml:space="preserve">Partial-Flow Debugging</w:t>
      </w:r>
      <w:bookmarkEnd w:id="9"/>
    </w:p>
    <w:p>
      <w:pPr>
        <w:spacing w:after="80" w:line="276"/>
      </w:pPr>
      <w:r>
        <w:rPr>
          <w:sz w:val="22"/>
          <w:szCs w:val="22"/>
        </w:rPr>
        <w:t xml:space="preserve">When an expected path is absent, partial-flow predicates show the frontier—the last nodes taint actually reached. That frontier almost always identifies a missing additional flow step, an accidental barrier, or a source/sink predicate that does not match the nodes you intended. Debugging sequence:</w:t>
      </w:r>
    </w:p>
    <w:p>
      <w:pPr>
        <w:spacing w:after="80" w:line="276"/>
      </w:pPr>
      <w:r>
        <w:rPr>
          <w:sz w:val="22"/>
          <w:szCs w:val="22"/>
        </w:rPr>
        <w:t xml:space="preserve">1. Select sources alone and verify.</w:t>
      </w:r>
    </w:p>
    <w:p>
      <w:pPr>
        <w:spacing w:after="80" w:line="276"/>
      </w:pPr>
      <w:r>
        <w:rPr>
          <w:sz w:val="22"/>
          <w:szCs w:val="22"/>
        </w:rPr>
        <w:t xml:space="preserve">2. Select sinks alone and verify.</w:t>
      </w:r>
    </w:p>
    <w:p>
      <w:pPr>
        <w:spacing w:after="80" w:line="276"/>
      </w:pPr>
      <w:r>
        <w:rPr>
          <w:sz w:val="22"/>
          <w:szCs w:val="22"/>
        </w:rPr>
        <w:t xml:space="preserve">3. Disable barriers temporarily.</w:t>
      </w:r>
    </w:p>
    <w:p>
      <w:pPr>
        <w:spacing w:after="80" w:line="276"/>
      </w:pPr>
      <w:r>
        <w:rPr>
          <w:sz w:val="22"/>
          <w:szCs w:val="22"/>
        </w:rPr>
        <w:t xml:space="preserve">4. Inspect partial paths to find the stopping node.</w:t>
      </w:r>
    </w:p>
    <w:p>
      <w:pPr>
        <w:spacing w:after="80" w:line="276"/>
      </w:pPr>
      <w:r>
        <w:rPr>
          <w:sz w:val="22"/>
          <w:szCs w:val="22"/>
        </w:rPr>
        <w:t xml:space="preserve">5. Add the missing model or adjust the barrier, then re-enable constraints one at a time.</w:t>
      </w:r>
    </w:p>
    <w:p>
      <w:pPr>
        <w:pStyle w:val="Heading2"/>
      </w:pPr>
      <w:bookmarkStart w:name="_Toc10" w:id="10"/>
      <w:r>
        <w:t xml:space="preserve">Profiling and Measurement</w:t>
      </w:r>
      <w:bookmarkEnd w:id="10"/>
    </w:p>
    <w:p>
      <w:pPr>
        <w:spacing w:after="80" w:line="276"/>
      </w:pPr>
      <w:r>
        <w:rPr>
          <w:sz w:val="22"/>
          <w:szCs w:val="22"/>
        </w:rPr>
        <w:t xml:space="preserve">Use the CodeQL CLI timing and diagnostic options, or the VS Code extension’s performance views, to see which predicates dominate runtime. Focus optimization effort on the hottest predicates. After a change, re-measure on a representative database rather than assuming the edit helped.</w:t>
      </w:r>
    </w:p>
    <w:p>
      <w:pPr>
        <w:pStyle w:val="Heading2"/>
      </w:pPr>
      <w:bookmarkStart w:name="_Toc11" w:id="11"/>
      <w:r>
        <w:t xml:space="preserve">Modular Design</w:t>
      </w:r>
      <w:bookmarkEnd w:id="11"/>
    </w:p>
    <w:p>
      <w:pPr>
        <w:spacing w:after="80" w:line="276"/>
      </w:pPr>
      <w:r>
        <w:rPr>
          <w:sz w:val="22"/>
          <w:szCs w:val="22"/>
        </w:rPr>
        <w:t xml:space="preserve">Break complex logic into well-named predicates and modules. Modular queries are easier to test, easier to reuse, and often faster because the optimizer sees clearer boundaries. They also make partial-flow debugging simpler, because you can select intermediate predicates directly.</w:t>
      </w:r>
    </w:p>
    <w:p>
      <w:pPr>
        <w:pStyle w:val="Heading2"/>
      </w:pPr>
      <w:bookmarkStart w:name="_Toc12" w:id="12"/>
      <w:r>
        <w:t xml:space="preserve">Common Performance Pitfalls</w:t>
      </w:r>
      <w:bookmarkEnd w:id="12"/>
    </w:p>
    <w:p>
      <w:pPr>
        <w:spacing w:after="80" w:line="276"/>
      </w:pPr>
      <w:r>
        <w:rPr>
          <w:sz w:val="22"/>
          <w:szCs w:val="22"/>
        </w:rPr>
        <w:t xml:space="preserve">Selecting from every expression or every call without early filters. Recursive predicates that explore large graphs without bounding conditions. Configurations that start from overly broad sources. Analyzing generated or vendored code that should have been excluded at database-creation time. Fixing the database scope is frequently more effective than micro-optimizing a query.</w:t>
      </w:r>
    </w:p>
    <w:p>
      <w:pPr>
        <w:pStyle w:val="Heading2"/>
      </w:pPr>
      <w:bookmarkStart w:name="_Toc13" w:id="13"/>
      <w:r>
        <w:t xml:space="preserve">Practical Checklist</w:t>
      </w:r>
      <w:bookmarkEnd w:id="13"/>
    </w:p>
    <w:p>
      <w:pPr>
        <w:spacing w:after="80" w:line="276"/>
      </w:pPr>
      <w:r>
        <w:rPr>
          <w:sz w:val="22"/>
          <w:szCs w:val="22"/>
        </w:rPr>
        <w:t xml:space="preserve">• Prefer library predicates.</w:t>
      </w:r>
    </w:p>
    <w:p>
      <w:pPr>
        <w:spacing w:after="80" w:line="276"/>
      </w:pPr>
      <w:r>
        <w:rPr>
          <w:sz w:val="22"/>
          <w:szCs w:val="22"/>
        </w:rPr>
        <w:t xml:space="preserve">• Keep sources and sinks as narrow as correctness allows.</w:t>
      </w:r>
    </w:p>
    <w:p>
      <w:pPr>
        <w:spacing w:after="80" w:line="276"/>
      </w:pPr>
      <w:r>
        <w:rPr>
          <w:sz w:val="22"/>
          <w:szCs w:val="22"/>
        </w:rPr>
        <w:t xml:space="preserve">• Use local flow when sufficient.</w:t>
      </w:r>
    </w:p>
    <w:p>
      <w:pPr>
        <w:spacing w:after="80" w:line="276"/>
      </w:pPr>
      <w:r>
        <w:rPr>
          <w:sz w:val="22"/>
          <w:szCs w:val="22"/>
        </w:rPr>
        <w:t xml:space="preserve">• Add tests that cover both presence and absence of results.</w:t>
      </w:r>
    </w:p>
    <w:p>
      <w:pPr>
        <w:spacing w:after="80" w:line="276"/>
      </w:pPr>
      <w:r>
        <w:rPr>
          <w:sz w:val="22"/>
          <w:szCs w:val="22"/>
        </w:rPr>
        <w:t xml:space="preserve">• Measure before and after optimization changes.</w:t>
      </w:r>
    </w:p>
    <w:p>
      <w:pPr>
        <w:spacing w:after="80" w:line="276"/>
      </w:pPr>
      <w:r>
        <w:rPr>
          <w:sz w:val="22"/>
          <w:szCs w:val="22"/>
        </w:rPr>
        <w:t xml:space="preserve">• Exclude irrelevant code at database build time.</w:t>
      </w:r>
    </w:p>
    <w:p>
      <w:pPr>
        <w:pStyle w:val="Heading1"/>
        <w:pageBreakBefore/>
      </w:pPr>
      <w:bookmarkStart w:name="_Toc14" w:id="14"/>
      <w:r>
        <w:t xml:space="preserve">Chapter 14: Case Studies</w:t>
      </w:r>
      <w:bookmarkEnd w:id="14"/>
    </w:p>
    <w:p>
      <w:pPr>
        <w:spacing w:after="80" w:line="276"/>
      </w:pPr>
      <w:r>
        <w:rPr>
          <w:sz w:val="22"/>
          <w:szCs w:val="22"/>
        </w:rPr>
        <w:t xml:space="preserve">Real analyses in the Security Lab series and examples/chapter14/ demonstrate efficient source-to-sink patterns you can adapt.</w:t>
      </w:r>
    </w:p>
    <w:p>
      <w:pPr>
        <w:pStyle w:val="Heading1"/>
        <w:pageBreakBefore/>
      </w:pPr>
      <w:bookmarkStart w:name="_Toc15" w:id="15"/>
      <w:r>
        <w:t xml:space="preserve">Chapter 15: Best Practices</w:t>
      </w:r>
      <w:bookmarkEnd w:id="15"/>
    </w:p>
    <w:p>
      <w:pPr>
        <w:spacing w:after="80" w:line="276"/>
      </w:pPr>
      <w:r>
        <w:rPr>
          <w:sz w:val="22"/>
          <w:szCs w:val="22"/>
        </w:rPr>
        <w:t xml:space="preserve">Precise, modular, tested predicates plus good models keep both results and runtime acceptable in CI.</w:t>
      </w:r>
    </w:p>
    <w:p>
      <w:pPr>
        <w:pStyle w:val="Heading1"/>
        <w:pageBreakBefore/>
      </w:pPr>
      <w:bookmarkStart w:name="_Toc16" w:id="16"/>
      <w:r>
        <w:t xml:space="preserve">Appendix</w:t>
      </w:r>
      <w:bookmarkEnd w:id="16"/>
    </w:p>
    <w:p>
      <w:pPr>
        <w:spacing w:after="80" w:line="276"/>
      </w:pPr>
      <w:r>
        <w:rPr>
          <w:sz w:val="22"/>
          <w:szCs w:val="22"/>
        </w:rPr>
        <w:t xml:space="preserve">Performance example: examples/chapter13/performance-predicate.ql. Official performance guidance is in the CodeQL documentation. Repository: https://github.com/rod-trent/MustLearnCodeQL.</w:t>
      </w:r>
    </w:p>
    <w:p>
      <w:pPr>
        <w:spacing w:before="120"/>
        <w:jc w:val="center"/>
      </w:pPr>
      <w:r>
        <w:rPr>
          <w:i/>
          <w:iCs/>
          <w:color w:val="666666"/>
          <w:sz w:val="18"/>
          <w:szCs w:val="18"/>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50" w:before="10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40" w:before="12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2z1kwfqcugttcuhwerggk"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2026-10-15T17:18:03.431Z</dcterms:created>
  <dcterms:modified xsi:type="dcterms:W3CDTF">2026-10-15T17:18:03.439Z</dcterms:modified>
</cp:coreProperties>
</file>

<file path=docProps/custom.xml><?xml version="1.0" encoding="utf-8"?>
<Properties xmlns="http://schemas.openxmlformats.org/officeDocument/2006/custom-properties" xmlns:vt="http://schemas.openxmlformats.org/officeDocument/2006/docPropsVTypes"/>
</file>