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b/>
          <w:bCs/>
          <w:color w:val="1F4E79"/>
          <w:sz w:val="48"/>
          <w:szCs w:val="48"/>
        </w:rPr>
        <w:t xml:space="preserve">KiteTurbineDynamics.jl</w:t>
      </w:r>
    </w:p>
    <w:p>
      <w:pPr>
        <w:spacing w:after="240"/>
        <w:jc w:val="center"/>
      </w:pPr>
      <w:r>
        <w:rPr>
          <w:color w:val="2E74B5"/>
          <w:sz w:val="36"/>
          <w:szCs w:val="36"/>
        </w:rPr>
        <w:t xml:space="preserve">Novelty Assessment &amp; Prior Art Review</w:t>
      </w:r>
    </w:p>
    <w:p>
      <w:pPr>
        <w:spacing w:after="3600"/>
        <w:jc w:val="center"/>
      </w:pPr>
      <w:r>
        <w:rPr>
          <w:i/>
          <w:iCs/>
          <w:color w:val="595959"/>
          <w:sz w:val="24"/>
          <w:szCs w:val="24"/>
        </w:rPr>
        <w:t xml:space="preserve">Windswept &amp; Interesting Ltd  ·  April 2026</w:t>
      </w:r>
    </w:p>
    <w:p>
      <w:pPr>
        <w:pStyle w:val="Heading1"/>
        <w:spacing w:after="120" w:before="360"/>
      </w:pPr>
      <w:r>
        <w:rPr>
          <w:b/>
          <w:bCs/>
          <w:color w:val="1F4E79"/>
          <w:sz w:val="28"/>
          <w:szCs w:val="28"/>
        </w:rPr>
        <w:t xml:space="preserve">1. Executive Summary</w:t>
      </w:r>
    </w:p>
    <w:p>
      <w:pPr>
        <w:spacing w:after="120"/>
      </w:pPr>
      <w:r>
        <w:rPr>
          <w:sz w:val="22"/>
          <w:szCs w:val="22"/>
        </w:rPr>
        <w:t xml:space="preserve">KiteTurbineDynamics.jl is an open-source Julia package implementing the first fully three-dimensional, multi-body, transient dynamics simulator for a Tensile Rotary Power Transmission (TRPT) kite turbine system. Unlike every prior TRPT model in the literature — which rely on analytical torsional spring constants, quasi-static equilibrium, or Cosserat continuum formulations — this package derives torsional coupling </w:t>
      </w:r>
      <w:r>
        <w:rPr>
          <w:i/>
          <w:iCs/>
          <w:sz w:val="22"/>
          <w:szCs w:val="22"/>
        </w:rPr>
        <w:t xml:space="preserve">emergently</w:t>
      </w:r>
      <w:r>
        <w:rPr>
          <w:sz w:val="22"/>
          <w:szCs w:val="22"/>
        </w:rPr>
        <w:t xml:space="preserve"> from the three-dimensional geometry of 300 rope spring-damper sub-segments connecting 14–16 polygon rings on a rotating tensile shaft. The system models 241 nodes and integrates a 1,478-state ODE in real time.</w:t>
      </w:r>
    </w:p>
    <w:p>
      <w:pPr>
        <w:spacing w:after="120"/>
      </w:pPr>
      <w:r>
        <w:rPr>
          <w:sz w:val="22"/>
          <w:szCs w:val="22"/>
        </w:rPr>
        <w:t xml:space="preserve">The result is a simulation capable of predicting line slack and torsional collapse — the dominant catastrophic failure mode of TRPT systems — which is undetectable by any steady-state or analytical-spring model. The package also introduces a quadratic MPPT (maximum power point tracking) load law that eliminates the bistability first observed by Tulloch et al. (2020), three lift-device models with quantified tension variability, and a conical multi-rotor scaling analysis.</w:t>
      </w:r>
    </w:p>
    <w:p>
      <w:pPr>
        <w:spacing w:after="120"/>
      </w:pPr>
      <w:r>
        <w:rPr>
          <w:sz w:val="22"/>
          <w:szCs w:val="22"/>
        </w:rPr>
        <w:t xml:space="preserve">This document reviews the prior art across five sub-areas, identifies the specific novelty contributions of KiteTurbineDynamics.jl, and provides a structured bibliography to support publication.</w:t>
      </w:r>
    </w:p>
    <w:p>
      <w:pPr>
        <w:pStyle w:val="Heading1"/>
        <w:spacing w:after="120" w:before="360"/>
      </w:pPr>
      <w:r>
        <w:rPr>
          <w:b/>
          <w:bCs/>
          <w:color w:val="1F4E79"/>
          <w:sz w:val="28"/>
          <w:szCs w:val="28"/>
        </w:rPr>
        <w:t xml:space="preserve">2. Software Description</w:t>
      </w:r>
    </w:p>
    <w:p>
      <w:pPr>
        <w:pStyle w:val="Heading2"/>
        <w:spacing w:after="80" w:before="280"/>
      </w:pPr>
      <w:r>
        <w:rPr>
          <w:b/>
          <w:bCs/>
          <w:color w:val="2E74B5"/>
          <w:sz w:val="24"/>
          <w:szCs w:val="24"/>
        </w:rPr>
        <w:t xml:space="preserve">2.1 System Architecture</w:t>
      </w:r>
    </w:p>
    <w:p>
      <w:pPr>
        <w:spacing w:after="120"/>
      </w:pPr>
      <w:r>
        <w:rPr>
          <w:sz w:val="22"/>
          <w:szCs w:val="22"/>
        </w:rPr>
        <w:t xml:space="preserve">KiteTurbineDynamics.jl is written in Julia 1.12+ and built on </w:t>
      </w:r>
      <w:r>
        <w:rPr>
          <w:b/>
          <w:bCs/>
          <w:sz w:val="22"/>
          <w:szCs w:val="22"/>
        </w:rPr>
        <w:t xml:space="preserve">DifferentialEquations.jl</w:t>
      </w:r>
      <w:r>
        <w:rPr>
          <w:sz w:val="22"/>
          <w:szCs w:val="22"/>
        </w:rPr>
        <w:t xml:space="preserve"> for adaptive ODE integration. The module structure is:</w:t>
      </w:r>
    </w:p>
    <w:p>
      <w:pPr>
        <w:pStyle w:val="ListParagraph"/>
        <w:numPr>
          <w:ilvl w:val="0"/>
          <w:numId w:val="2"/>
        </w:numPr>
        <w:spacing w:after="60"/>
      </w:pPr>
      <w:r>
        <w:rPr>
          <w:b/>
          <w:bCs/>
          <w:sz w:val="22"/>
          <w:szCs w:val="22"/>
        </w:rPr>
        <w:t xml:space="preserve">parameters.jl</w:t>
      </w:r>
      <w:r>
        <w:rPr>
          <w:sz w:val="22"/>
          <w:szCs w:val="22"/>
        </w:rPr>
        <w:t xml:space="preserve"> — SystemParams struct; preset configurations (10 kW, 50 kW); mass scaling laws</w:t>
      </w:r>
    </w:p>
    <w:p>
      <w:pPr>
        <w:pStyle w:val="ListParagraph"/>
        <w:numPr>
          <w:ilvl w:val="0"/>
          <w:numId w:val="2"/>
        </w:numPr>
        <w:spacing w:after="60"/>
      </w:pPr>
      <w:r>
        <w:rPr>
          <w:b/>
          <w:bCs/>
          <w:sz w:val="22"/>
          <w:szCs w:val="22"/>
        </w:rPr>
        <w:t xml:space="preserve">types.jl</w:t>
      </w:r>
      <w:r>
        <w:rPr>
          <w:sz w:val="22"/>
          <w:szCs w:val="22"/>
        </w:rPr>
        <w:t xml:space="preserve"> — RingNode, RopeNode, RopeSubSegment type definitions</w:t>
      </w:r>
    </w:p>
    <w:p>
      <w:pPr>
        <w:pStyle w:val="ListParagraph"/>
        <w:numPr>
          <w:ilvl w:val="0"/>
          <w:numId w:val="2"/>
        </w:numPr>
        <w:spacing w:after="60"/>
      </w:pPr>
      <w:r>
        <w:rPr>
          <w:b/>
          <w:bCs/>
          <w:sz w:val="22"/>
          <w:szCs w:val="22"/>
        </w:rPr>
        <w:t xml:space="preserve">geometry.jl</w:t>
      </w:r>
      <w:r>
        <w:rPr>
          <w:sz w:val="22"/>
          <w:szCs w:val="22"/>
        </w:rPr>
        <w:t xml:space="preserve"> — shaft basis vectors; rope attachment point computation; helix geometry</w:t>
      </w:r>
    </w:p>
    <w:p>
      <w:pPr>
        <w:pStyle w:val="ListParagraph"/>
        <w:numPr>
          <w:ilvl w:val="0"/>
          <w:numId w:val="2"/>
        </w:numPr>
        <w:spacing w:after="60"/>
      </w:pPr>
      <w:r>
        <w:rPr>
          <w:b/>
          <w:bCs/>
          <w:sz w:val="22"/>
          <w:szCs w:val="22"/>
        </w:rPr>
        <w:t xml:space="preserve">aerodynamics.jl</w:t>
      </w:r>
      <w:r>
        <w:rPr>
          <w:sz w:val="22"/>
          <w:szCs w:val="22"/>
        </w:rPr>
        <w:t xml:space="preserve"> — Cp/CT BEM lookup tables (NACA 4412, AeroDyn); interpolation</w:t>
      </w:r>
    </w:p>
    <w:p>
      <w:pPr>
        <w:pStyle w:val="ListParagraph"/>
        <w:numPr>
          <w:ilvl w:val="0"/>
          <w:numId w:val="2"/>
        </w:numPr>
        <w:spacing w:after="60"/>
      </w:pPr>
      <w:r>
        <w:rPr>
          <w:b/>
          <w:bCs/>
          <w:sz w:val="22"/>
          <w:szCs w:val="22"/>
        </w:rPr>
        <w:t xml:space="preserve">initialization.jl</w:t>
      </w:r>
      <w:r>
        <w:rPr>
          <w:sz w:val="22"/>
          <w:szCs w:val="22"/>
        </w:rPr>
        <w:t xml:space="preserve"> — full system assembly; equilibrium solver (gravity-sag catenary settle)</w:t>
      </w:r>
    </w:p>
    <w:p>
      <w:pPr>
        <w:pStyle w:val="ListParagraph"/>
        <w:numPr>
          <w:ilvl w:val="0"/>
          <w:numId w:val="2"/>
        </w:numPr>
        <w:spacing w:after="60"/>
      </w:pPr>
      <w:r>
        <w:rPr>
          <w:b/>
          <w:bCs/>
          <w:sz w:val="22"/>
          <w:szCs w:val="22"/>
        </w:rPr>
        <w:t xml:space="preserve">rope_forces.jl</w:t>
      </w:r>
      <w:r>
        <w:rPr>
          <w:sz w:val="22"/>
          <w:szCs w:val="22"/>
        </w:rPr>
        <w:t xml:space="preserve"> — 300-segment spring-damper force computation; cross-flow aerodynamic drag</w:t>
      </w:r>
    </w:p>
    <w:p>
      <w:pPr>
        <w:pStyle w:val="ListParagraph"/>
        <w:numPr>
          <w:ilvl w:val="0"/>
          <w:numId w:val="2"/>
        </w:numPr>
        <w:spacing w:after="60"/>
      </w:pPr>
      <w:r>
        <w:rPr>
          <w:b/>
          <w:bCs/>
          <w:sz w:val="22"/>
          <w:szCs w:val="22"/>
        </w:rPr>
        <w:t xml:space="preserve">ring_forces.jl</w:t>
      </w:r>
      <w:r>
        <w:rPr>
          <w:sz w:val="22"/>
          <w:szCs w:val="22"/>
        </w:rPr>
        <w:t xml:space="preserve"> — rotor aerodynamics; MPPT generator load; torsional damping; lift device; back-line</w:t>
      </w:r>
    </w:p>
    <w:p>
      <w:pPr>
        <w:pStyle w:val="ListParagraph"/>
        <w:numPr>
          <w:ilvl w:val="0"/>
          <w:numId w:val="2"/>
        </w:numPr>
        <w:spacing w:after="60"/>
      </w:pPr>
      <w:r>
        <w:rPr>
          <w:b/>
          <w:bCs/>
          <w:sz w:val="22"/>
          <w:szCs w:val="22"/>
        </w:rPr>
        <w:t xml:space="preserve">dynamics.jl</w:t>
      </w:r>
      <w:r>
        <w:rPr>
          <w:sz w:val="22"/>
          <w:szCs w:val="22"/>
        </w:rPr>
        <w:t xml:space="preserve"> — main multi-body ODE (1,478 states)</w:t>
      </w:r>
    </w:p>
    <w:p>
      <w:pPr>
        <w:pStyle w:val="ListParagraph"/>
        <w:numPr>
          <w:ilvl w:val="0"/>
          <w:numId w:val="2"/>
        </w:numPr>
        <w:spacing w:after="60"/>
      </w:pPr>
      <w:r>
        <w:rPr>
          <w:b/>
          <w:bCs/>
          <w:sz w:val="22"/>
          <w:szCs w:val="22"/>
        </w:rPr>
        <w:t xml:space="preserve">structural_safety.jl</w:t>
      </w:r>
      <w:r>
        <w:rPr>
          <w:sz w:val="22"/>
          <w:szCs w:val="22"/>
        </w:rPr>
        <w:t xml:space="preserve"> — real-time Euler column buckling FoS per polygon ring segment</w:t>
      </w:r>
    </w:p>
    <w:p>
      <w:pPr>
        <w:pStyle w:val="ListParagraph"/>
        <w:numPr>
          <w:ilvl w:val="0"/>
          <w:numId w:val="2"/>
        </w:numPr>
        <w:spacing w:after="60"/>
      </w:pPr>
      <w:r>
        <w:rPr>
          <w:b/>
          <w:bCs/>
          <w:sz w:val="22"/>
          <w:szCs w:val="22"/>
        </w:rPr>
        <w:t xml:space="preserve">lift_kite.jl</w:t>
      </w:r>
      <w:r>
        <w:rPr>
          <w:sz w:val="22"/>
          <w:szCs w:val="22"/>
        </w:rPr>
        <w:t xml:space="preserve"> — SingleKiteParams; StackedKitesParams; RotaryLifterParams</w:t>
      </w:r>
    </w:p>
    <w:p>
      <w:pPr>
        <w:pStyle w:val="ListParagraph"/>
        <w:numPr>
          <w:ilvl w:val="0"/>
          <w:numId w:val="2"/>
        </w:numPr>
        <w:spacing w:after="60"/>
      </w:pPr>
      <w:r>
        <w:rPr>
          <w:b/>
          <w:bCs/>
          <w:sz w:val="22"/>
          <w:szCs w:val="22"/>
        </w:rPr>
        <w:t xml:space="preserve">visualization.jl</w:t>
      </w:r>
      <w:r>
        <w:rPr>
          <w:sz w:val="22"/>
          <w:szCs w:val="22"/>
        </w:rPr>
        <w:t xml:space="preserve"> — GLMakie 3D interactive dashboard with per-ring utilisation colour coding</w:t>
      </w:r>
    </w:p>
    <w:p>
      <w:pPr>
        <w:spacing w:after="60"/>
      </w:pPr>
      <w:r>
        <w:t xml:space="preserve"/>
      </w:r>
    </w:p>
    <w:p>
      <w:pPr>
        <w:pStyle w:val="Heading2"/>
        <w:spacing w:after="80" w:before="280"/>
      </w:pPr>
      <w:r>
        <w:rPr>
          <w:b/>
          <w:bCs/>
          <w:color w:val="2E74B5"/>
          <w:sz w:val="24"/>
          <w:szCs w:val="24"/>
        </w:rPr>
        <w:t xml:space="preserve">2.2 Physics Model</w:t>
      </w:r>
    </w:p>
    <w:p>
      <w:pPr>
        <w:spacing w:after="120"/>
      </w:pPr>
      <w:r>
        <w:rPr>
          <w:sz w:val="22"/>
          <w:szCs w:val="22"/>
        </w:rPr>
        <w:t xml:space="preserve">The TRPT shaft consists of five tether lines and 14–16 intermediate polygon rings (pentagon cross-section at 10 kW scale). Each rope line is discretised into 60 spring-damper sub-segments, giving 300 sub-segments total. The spring-damper law for each sub-segment is:</w:t>
      </w:r>
    </w:p>
    <w:p>
      <w:pPr>
        <w:spacing w:after="80" w:before="80"/>
        <w:jc w:val="center"/>
      </w:pPr>
      <w:r>
        <w:rPr>
          <w:i/>
          <w:iCs/>
          <w:sz w:val="22"/>
          <w:szCs w:val="22"/>
        </w:rPr>
        <w:t xml:space="preserve">T = EA · ε + c_damp · v_proj</w:t>
      </w:r>
    </w:p>
    <w:p>
      <w:pPr>
        <w:spacing w:after="120"/>
      </w:pPr>
      <w:r>
        <w:rPr>
          <w:sz w:val="22"/>
          <w:szCs w:val="22"/>
        </w:rPr>
        <w:t xml:space="preserve">where ε is the longitudinal strain, v_proj is the velocity projection along the rope axis, EA is the axial stiffness, and c_damp is a structural damping coefficient. Aerodynamic drag on rope segments is modelled as a cross-flow force perpendicular to the local rope direction.</w:t>
      </w:r>
    </w:p>
    <w:p>
      <w:pPr>
        <w:spacing w:after="120"/>
      </w:pPr>
      <w:r>
        <w:rPr>
          <w:sz w:val="22"/>
          <w:szCs w:val="22"/>
        </w:rPr>
        <w:t xml:space="preserve">Torsional coupling between rings emerges from 3D geometry: when the angular displacement Δα between adjacent rings increases, the attachment point positions on the rings displace, stretching the ropes. The resulting tension increments have tangential components that create a restoring torque. No explicit analytical torsional spring is used; the stiffness is a consequence of the rope geometry. This enables the simulator to detect </w:t>
      </w:r>
      <w:r>
        <w:rPr>
          <w:b/>
          <w:bCs/>
          <w:sz w:val="22"/>
          <w:szCs w:val="22"/>
        </w:rPr>
        <w:t xml:space="preserve">line slack</w:t>
      </w:r>
      <w:r>
        <w:rPr>
          <w:sz w:val="22"/>
          <w:szCs w:val="22"/>
        </w:rPr>
        <w:t xml:space="preserve"> — when a rope goes into compression (zero tension) — which is the precursor to torsional collapse.</w:t>
      </w:r>
    </w:p>
    <w:p>
      <w:pPr>
        <w:spacing w:after="120"/>
      </w:pPr>
      <w:r>
        <w:rPr>
          <w:sz w:val="22"/>
          <w:szCs w:val="22"/>
        </w:rPr>
        <w:t xml:space="preserve">The rotor aerodynamics use interpolated Cp and CT curves from AeroDyn BEM analysis of a 3-blade NACA 4412 configuration. Generator loading follows a quadratic MPPT law: τ_gen = k_mppt · ω², where k_mppt ≈ 11 N·m·s²/rad² for the 10 kW prototype. Wind shear is modelled via the Hellmann power law v(z) = v_ref · (z / h_ref)^(1/7).</w:t>
      </w:r>
    </w:p>
    <w:p>
      <w:pPr>
        <w:pStyle w:val="Heading2"/>
        <w:spacing w:after="80" w:before="280"/>
      </w:pPr>
      <w:r>
        <w:rPr>
          <w:b/>
          <w:bCs/>
          <w:color w:val="2E74B5"/>
          <w:sz w:val="24"/>
          <w:szCs w:val="24"/>
        </w:rPr>
        <w:t xml:space="preserve">2.3 Structural Safety</w:t>
      </w:r>
    </w:p>
    <w:p>
      <w:pPr>
        <w:spacing w:after="120"/>
      </w:pPr>
      <w:r>
        <w:rPr>
          <w:sz w:val="22"/>
          <w:szCs w:val="22"/>
        </w:rPr>
        <w:t xml:space="preserve">Per ring, the simulator computes the axial compressive load on each polygon side from the rope tension components. The governing failure mode is Euler column buckling (pin-pin) of individual polygon segments, not ring-hoop buckling:</w:t>
      </w:r>
    </w:p>
    <w:p>
      <w:pPr>
        <w:spacing w:after="80" w:before="80"/>
        <w:jc w:val="center"/>
      </w:pPr>
      <w:r>
        <w:rPr>
          <w:i/>
          <w:iCs/>
          <w:sz w:val="22"/>
          <w:szCs w:val="22"/>
        </w:rPr>
        <w:t xml:space="preserve">P_crit = π² · E_CFRP · I / L_poly²</w:t>
      </w:r>
    </w:p>
    <w:p>
      <w:pPr>
        <w:spacing w:after="120"/>
      </w:pPr>
      <w:r>
        <w:rPr>
          <w:sz w:val="22"/>
          <w:szCs w:val="22"/>
        </w:rPr>
        <w:t xml:space="preserve">where I = π/64 · (D_o⁴ − D_i⁴) is the second moment of area of a hollow CFRP tube. This yields a clean scaling law D_o ∝ √R (outer tube diameter scales as the square root of rotor radius), enabling mass-budget estimates across the full 1–50 kW design space.</w:t>
      </w:r>
    </w:p>
    <w:p>
      <w:pPr>
        <w:pStyle w:val="Heading1"/>
        <w:spacing w:after="120" w:before="360"/>
      </w:pPr>
      <w:r>
        <w:rPr>
          <w:b/>
          <w:bCs/>
          <w:color w:val="1F4E79"/>
          <w:sz w:val="28"/>
          <w:szCs w:val="28"/>
        </w:rPr>
        <w:t xml:space="preserve">3. Prior Art Review</w:t>
      </w:r>
    </w:p>
    <w:p>
      <w:pPr>
        <w:pStyle w:val="Heading2"/>
        <w:spacing w:after="80" w:before="280"/>
      </w:pPr>
      <w:r>
        <w:rPr>
          <w:b/>
          <w:bCs/>
          <w:color w:val="2E74B5"/>
          <w:sz w:val="24"/>
          <w:szCs w:val="24"/>
        </w:rPr>
        <w:t xml:space="preserve">3.1 Rotary AWES and TRPT Dynamics Models</w:t>
      </w:r>
    </w:p>
    <w:p>
      <w:pPr>
        <w:spacing w:after="120"/>
      </w:pPr>
      <w:r>
        <w:rPr>
          <w:sz w:val="22"/>
          <w:szCs w:val="22"/>
        </w:rPr>
        <w:t xml:space="preserve">The closest prior art to KiteTurbineDynamics.jl is the body of work originating from the University of Strathclyde, modelling the Daisy Kite — the Windswept &amp; Interesting Ltd prototype that first demonstrated the TRPT concept.</w:t>
      </w:r>
    </w:p>
    <w:p>
      <w:pPr>
        <w:spacing w:after="120"/>
      </w:pPr>
      <w:r>
        <w:rPr>
          <w:b/>
          <w:bCs/>
          <w:sz w:val="22"/>
          <w:szCs w:val="22"/>
        </w:rPr>
        <w:t xml:space="preserve">Tulloch et al. (2020)</w:t>
      </w:r>
      <w:r>
        <w:rPr>
          <w:sz w:val="22"/>
          <w:szCs w:val="22"/>
        </w:rPr>
        <w:t xml:space="preserve"> — </w:t>
      </w:r>
      <w:hyperlink w:history="1" r:id="rIdqh1lu0_ts0gi2bkp1qhje">
        <w:r>
          <w:rPr>
            <w:rStyle w:val="Hyperlink"/>
            <w:sz w:val="22"/>
            <w:szCs w:val="22"/>
          </w:rPr>
          <w:t xml:space="preserve">Tensile rotary power transmission model development for airborne wind energy systems</w:t>
        </w:r>
      </w:hyperlink>
      <w:r>
        <w:rPr>
          <w:sz w:val="22"/>
          <w:szCs w:val="22"/>
        </w:rPr>
        <w:t xml:space="preserve"> — introduced two dynamic TRPT models: (1) a spring-disc representation using a single analytical torsional spring constant per disc, and (2) a multi-spring representation with additional degrees of freedom. The key finding was the observation of </w:t>
      </w:r>
      <w:r>
        <w:rPr>
          <w:i/>
          <w:iCs/>
          <w:sz w:val="22"/>
          <w:szCs w:val="22"/>
        </w:rPr>
        <w:t xml:space="preserve">two equilibrium states</w:t>
      </w:r>
      <w:r>
        <w:rPr>
          <w:sz w:val="22"/>
          <w:szCs w:val="22"/>
        </w:rPr>
        <w:t xml:space="preserve"> (bistability) when the simpler model is coupled with a linear generator load. This bistability is resolved in KiteTurbineDynamics.jl by the quadratic MPPT law.</w:t>
      </w:r>
    </w:p>
    <w:p>
      <w:pPr>
        <w:spacing w:after="120"/>
      </w:pPr>
      <w:r>
        <w:rPr>
          <w:b/>
          <w:bCs/>
          <w:sz w:val="22"/>
          <w:szCs w:val="22"/>
        </w:rPr>
        <w:t xml:space="preserve">Tulloch et al. (2023)</w:t>
      </w:r>
      <w:r>
        <w:rPr>
          <w:sz w:val="22"/>
          <w:szCs w:val="22"/>
        </w:rPr>
        <w:t xml:space="preserve"> — </w:t>
      </w:r>
      <w:hyperlink w:history="1" r:id="rIddc0wmo3ifuf_la4hdj0ik">
        <w:r>
          <w:rPr>
            <w:rStyle w:val="Hyperlink"/>
            <w:sz w:val="22"/>
            <w:szCs w:val="22"/>
          </w:rPr>
          <w:t xml:space="preserve">A Tensile Rotary Airborne Wind Energy System — Modelling, Analysis and Improved Design</w:t>
        </w:r>
      </w:hyperlink>
      <w:r>
        <w:rPr>
          <w:sz w:val="22"/>
          <w:szCs w:val="22"/>
        </w:rPr>
        <w:t xml:space="preserve"> — the most comprehensive prior TRPT model to date (5 citations, Energies). Three model tiers are provided: steady-state torque balance, spring-disc dynamics, and multi-spring dynamics. Validation against laboratory and field data is presented. Analytical torsional stiffness coefficients are imposed — torque is not emergent from rope geometry. The multi-spring model has multiple DOFs but does not resolve individual rope sub-segments or polygon ring geometry. No structural failure mode (line slack, ring buckling) is detected.</w:t>
      </w:r>
    </w:p>
    <w:p>
      <w:pPr>
        <w:spacing w:after="120"/>
      </w:pPr>
      <w:r>
        <w:rPr>
          <w:b/>
          <w:bCs/>
          <w:sz w:val="22"/>
          <w:szCs w:val="22"/>
        </w:rPr>
        <w:t xml:space="preserve">Sánchez-Arriaga et al. (2024)</w:t>
      </w:r>
      <w:r>
        <w:rPr>
          <w:sz w:val="22"/>
          <w:szCs w:val="22"/>
        </w:rPr>
        <w:t xml:space="preserve"> — </w:t>
      </w:r>
      <w:hyperlink w:history="1" r:id="rIdqhcftlw1qsv4sko7nk0sy">
        <w:r>
          <w:rPr>
            <w:rStyle w:val="Hyperlink"/>
            <w:sz w:val="22"/>
            <w:szCs w:val="22"/>
          </w:rPr>
          <w:t xml:space="preserve">Dynamic analysis of the tensegrity structure of a rotary airborne wind energy machine</w:t>
        </w:r>
      </w:hyperlink>
      <w:r>
        <w:rPr>
          <w:sz w:val="22"/>
          <w:szCs w:val="22"/>
        </w:rPr>
        <w:t xml:space="preserve"> — uses Cosserat continuum rod theory implemented via finite elements to model the TRPT helix as a slender rod. Constitutive relations (axial, bending, torsional stiffness) are derived experimentally. This is a fundamentally different mathematical formulation from the lumped-mass spring-damper approach in KiteTurbineDynamics.jl. The Cosserat model resolves modal frequencies (torsional ≈ 0.4 s, lateral ≈ 0.2 s) and identifies a resonance at ~13 Hz. However, it cannot detect line slack (topological change when a rope goes slack) because the continuum rod assumption requires constant cross-section topology.</w:t>
      </w:r>
    </w:p>
    <w:p>
      <w:pPr>
        <w:spacing w:after="120"/>
      </w:pPr>
      <w:r>
        <w:rPr>
          <w:b/>
          <w:bCs/>
          <w:sz w:val="22"/>
          <w:szCs w:val="22"/>
        </w:rPr>
        <w:t xml:space="preserve">Wacker et al. (2023)</w:t>
      </w:r>
      <w:r>
        <w:rPr>
          <w:sz w:val="22"/>
          <w:szCs w:val="22"/>
        </w:rPr>
        <w:t xml:space="preserve"> — </w:t>
      </w:r>
      <w:hyperlink w:history="1" r:id="rIdppgzbmuzgabfnszqxp5ir">
        <w:r>
          <w:rPr>
            <w:rStyle w:val="Hyperlink"/>
            <w:sz w:val="22"/>
            <w:szCs w:val="22"/>
          </w:rPr>
          <w:t xml:space="preserve">New model for structural optimisation of airborne wind energy systems with rotary transmission</w:t>
        </w:r>
      </w:hyperlink>
      <w:r>
        <w:rPr>
          <w:sz w:val="22"/>
          <w:szCs w:val="22"/>
        </w:rPr>
        <w:t xml:space="preserve"> — a steady-state coupled model for design optimisation of RAWES, including cross-wind pressure drag and axial friction drag on tethers and frames. Validated against field measurements of two prototypes. Does not capture transient dynamics, torsional collapse, or individual ring buckling.</w:t>
      </w:r>
    </w:p>
    <w:p>
      <w:pPr>
        <w:spacing w:after="120"/>
      </w:pPr>
      <w:r>
        <w:rPr>
          <w:b/>
          <w:bCs/>
          <w:sz w:val="22"/>
          <w:szCs w:val="22"/>
        </w:rPr>
        <w:t xml:space="preserve">Chen et al. (2024)</w:t>
      </w:r>
      <w:r>
        <w:rPr>
          <w:sz w:val="22"/>
          <w:szCs w:val="22"/>
        </w:rPr>
        <w:t xml:space="preserve"> — </w:t>
      </w:r>
      <w:hyperlink w:history="1" r:id="rIdomwktxqighlizkwt_xqwv">
        <w:r>
          <w:rPr>
            <w:rStyle w:val="Hyperlink"/>
            <w:sz w:val="22"/>
            <w:szCs w:val="22"/>
          </w:rPr>
          <w:t xml:space="preserve">Understanding of Lift Kite Operation Requirements of a Rotary Kite Wind Turbine</w:t>
        </w:r>
      </w:hyperlink>
      <w:r>
        <w:rPr>
          <w:sz w:val="22"/>
          <w:szCs w:val="22"/>
        </w:rPr>
        <w:t xml:space="preserve"> — quasi-static equilibrium analysis of lift kite force and moment requirements at specified elevation angles. Defines structural stiffness requirements for torque transmission. Closely related to the lift_kite.jl module in KiteTurbineDynamics.jl, but restricted to steady-state and a single passive kite model.</w:t>
      </w:r>
    </w:p>
    <w:p>
      <w:pPr>
        <w:pStyle w:val="Heading2"/>
        <w:spacing w:after="80" w:before="280"/>
      </w:pPr>
      <w:r>
        <w:rPr>
          <w:b/>
          <w:bCs/>
          <w:color w:val="2E74B5"/>
          <w:sz w:val="24"/>
          <w:szCs w:val="24"/>
        </w:rPr>
        <w:t xml:space="preserve">3.2 General AWE Simulation Tools</w:t>
      </w:r>
    </w:p>
    <w:p>
      <w:pPr>
        <w:spacing w:after="120"/>
      </w:pPr>
      <w:r>
        <w:rPr>
          <w:sz w:val="22"/>
          <w:szCs w:val="22"/>
        </w:rPr>
        <w:t xml:space="preserve">AWE simulation tools in the literature are dominated by pumping-mode ground-gen systems (fixed-wing aircraft, figure-of-eight trajectories, reel-in/reel-out cycles). These are topologically different from rotary TRPT systems and serve as context for simulator design philosophy.</w:t>
      </w:r>
    </w:p>
    <w:p>
      <w:pPr>
        <w:spacing w:after="120"/>
      </w:pPr>
      <w:r>
        <w:rPr>
          <w:b/>
          <w:bCs/>
          <w:sz w:val="22"/>
          <w:szCs w:val="22"/>
        </w:rPr>
        <w:t xml:space="preserve">Sánchez-Arriaga et al. (2019)</w:t>
      </w:r>
      <w:r>
        <w:rPr>
          <w:sz w:val="22"/>
          <w:szCs w:val="22"/>
        </w:rPr>
        <w:t xml:space="preserve"> — </w:t>
      </w:r>
      <w:hyperlink w:history="1" r:id="rIddhzvj1mgti_eyuwvjwplj">
        <w:r>
          <w:rPr>
            <w:rStyle w:val="Hyperlink"/>
            <w:sz w:val="22"/>
            <w:szCs w:val="22"/>
          </w:rPr>
          <w:t xml:space="preserve">A lagrangian flight simulator for airborne wind energy systems</w:t>
        </w:r>
      </w:hyperlink>
      <w:r>
        <w:rPr>
          <w:sz w:val="22"/>
          <w:szCs w:val="22"/>
        </w:rPr>
        <w:t xml:space="preserve"> — a parallelised Lagrangian simulator for both ground-gen and fly-gen configurations. Discretises the tether as inelastic straight rods. Minimal coordinate formulation avoids algebraic constraints. Supports rotors (fly-gen) but models them as point-mass aerodynamic sources, not as structural rotor discs with Cp/CT BEM tables.</w:t>
      </w:r>
    </w:p>
    <w:p>
      <w:pPr>
        <w:spacing w:after="120"/>
      </w:pPr>
      <w:r>
        <w:rPr>
          <w:b/>
          <w:bCs/>
          <w:sz w:val="22"/>
          <w:szCs w:val="22"/>
        </w:rPr>
        <w:t xml:space="preserve">De Schutter et al. (2023)</w:t>
      </w:r>
      <w:r>
        <w:rPr>
          <w:sz w:val="22"/>
          <w:szCs w:val="22"/>
        </w:rPr>
        <w:t xml:space="preserve"> — </w:t>
      </w:r>
      <w:hyperlink w:history="1" r:id="rIdb9aybk4kqs-dqqhyccucp">
        <w:r>
          <w:rPr>
            <w:rStyle w:val="Hyperlink"/>
            <w:sz w:val="22"/>
            <w:szCs w:val="22"/>
          </w:rPr>
          <w:t xml:space="preserve">AWEbox: An Optimal Control Framework for Single- and Multi-Aircraft Airborne Wind Energy Systems</w:t>
        </w:r>
      </w:hyperlink>
      <w:r>
        <w:rPr>
          <w:sz w:val="22"/>
          <w:szCs w:val="22"/>
        </w:rPr>
        <w:t xml:space="preserve"> — an open-source Python optimal control toolbox for multi-aircraft pumping AWE systems. Homotopy initialisation methods reduce computation time by up to 8×. Operates on fixed-wing aircraft with winch dynamics; no torsional shaft or polygon ring mechanics.</w:t>
      </w:r>
    </w:p>
    <w:p>
      <w:pPr>
        <w:spacing w:after="120"/>
      </w:pPr>
      <w:r>
        <w:rPr>
          <w:b/>
          <w:bCs/>
          <w:sz w:val="22"/>
          <w:szCs w:val="22"/>
        </w:rPr>
        <w:t xml:space="preserve">Vermillion et al. (2021)</w:t>
      </w:r>
      <w:r>
        <w:rPr>
          <w:sz w:val="22"/>
          <w:szCs w:val="22"/>
        </w:rPr>
        <w:t xml:space="preserve"> — </w:t>
      </w:r>
      <w:hyperlink w:history="1" r:id="rIdlthn7evry6qjk5ogpwgjh">
        <w:r>
          <w:rPr>
            <w:rStyle w:val="Hyperlink"/>
            <w:sz w:val="22"/>
            <w:szCs w:val="22"/>
          </w:rPr>
          <w:t xml:space="preserve">Electricity in the air: Insights from two decades of advanced control research and experimental flight testing</w:t>
        </w:r>
      </w:hyperlink>
      <w:r>
        <w:rPr>
          <w:sz w:val="22"/>
          <w:szCs w:val="22"/>
        </w:rPr>
        <w:t xml:space="preserve"> — comprehensive review of AWE control systems (94 citations, Annual Review of Control). Covers MPPT strategies, launch/land control, and multi-aircraft systems. Rotary TRPT kite turbines are categorised as fly-gen systems but not treated in depth.</w:t>
      </w:r>
    </w:p>
    <w:p>
      <w:pPr>
        <w:pStyle w:val="Heading2"/>
        <w:spacing w:after="80" w:before="280"/>
      </w:pPr>
      <w:r>
        <w:rPr>
          <w:b/>
          <w:bCs/>
          <w:color w:val="2E74B5"/>
          <w:sz w:val="24"/>
          <w:szCs w:val="24"/>
        </w:rPr>
        <w:t xml:space="preserve">3.3 Stacked and Multi-Rotor Configurations</w:t>
      </w:r>
    </w:p>
    <w:p>
      <w:pPr>
        <w:spacing w:after="120"/>
      </w:pPr>
      <w:r>
        <w:rPr>
          <w:b/>
          <w:bCs/>
          <w:sz w:val="22"/>
          <w:szCs w:val="22"/>
        </w:rPr>
        <w:t xml:space="preserve">De Schutter et al. (2019)</w:t>
      </w:r>
      <w:r>
        <w:rPr>
          <w:sz w:val="22"/>
          <w:szCs w:val="22"/>
        </w:rPr>
        <w:t xml:space="preserve"> — </w:t>
      </w:r>
      <w:hyperlink w:history="1" r:id="rIdoyqhkiw6tt-pxpwtj7arl">
        <w:r>
          <w:rPr>
            <w:rStyle w:val="Hyperlink"/>
            <w:sz w:val="22"/>
            <w:szCs w:val="22"/>
          </w:rPr>
          <w:t xml:space="preserve">Optimal control of stacked multi-kite systems for utility-scale airborne wind energy</w:t>
        </w:r>
      </w:hyperlink>
      <w:r>
        <w:rPr>
          <w:sz w:val="22"/>
          <w:szCs w:val="22"/>
        </w:rPr>
        <w:t xml:space="preserve"> — optimal control applied to stacked pumping-mode kite systems (not rotary). The stacking concept doubles the swept area for the same number of aircraft, achieving up to 20% efficiency gain. KiteTurbineDynamics.jl extends this concept specifically to rotary TRPT systems and combines stacking with </w:t>
      </w:r>
      <w:r>
        <w:rPr>
          <w:i/>
          <w:iCs/>
          <w:sz w:val="22"/>
          <w:szCs w:val="22"/>
        </w:rPr>
        <w:t xml:space="preserve">passive centrifugal radius expansion</w:t>
      </w:r>
      <w:r>
        <w:rPr>
          <w:sz w:val="22"/>
          <w:szCs w:val="22"/>
        </w:rPr>
        <w:t xml:space="preserve"> and wind shear benefit in a conical geometry — a configuration not analysed in this work.</w:t>
      </w:r>
    </w:p>
    <w:p>
      <w:pPr>
        <w:pStyle w:val="Heading2"/>
        <w:spacing w:after="80" w:before="280"/>
      </w:pPr>
      <w:r>
        <w:rPr>
          <w:b/>
          <w:bCs/>
          <w:color w:val="2E74B5"/>
          <w:sz w:val="24"/>
          <w:szCs w:val="24"/>
        </w:rPr>
        <w:t xml:space="preserve">3.4 MPPT for Rotary Wind Systems</w:t>
      </w:r>
    </w:p>
    <w:p>
      <w:pPr>
        <w:spacing w:after="120"/>
      </w:pPr>
      <w:r>
        <w:rPr>
          <w:sz w:val="22"/>
          <w:szCs w:val="22"/>
        </w:rPr>
        <w:t xml:space="preserve">MPPT for conventional variable-speed wind turbines is well-established. The dominant strategy is the </w:t>
      </w:r>
      <w:r>
        <w:rPr>
          <w:b/>
          <w:bCs/>
          <w:sz w:val="22"/>
          <w:szCs w:val="22"/>
        </w:rPr>
        <w:t xml:space="preserve">optimal torque control</w:t>
      </w:r>
      <w:r>
        <w:rPr>
          <w:sz w:val="22"/>
          <w:szCs w:val="22"/>
        </w:rPr>
        <w:t xml:space="preserve"> law τ_gen = k · ω², where k = (1/2) · ρ · π · R⁵ · Cp_max / (λ_opt³) (see Yin et al. 2017; Zhang et al. 2022 for reviews). The same quadratic law is implemented in KiteTurbineDynamics.jl specifically for TRPT rotary systems — a direct application to this topology that has not previously been published, and that eliminates the bistability observed by Tulloch et al. (2020) with linear damping.</w:t>
      </w:r>
    </w:p>
    <w:p>
      <w:pPr>
        <w:pStyle w:val="Heading2"/>
        <w:spacing w:after="80" w:before="280"/>
      </w:pPr>
      <w:r>
        <w:rPr>
          <w:b/>
          <w:bCs/>
          <w:color w:val="2E74B5"/>
          <w:sz w:val="24"/>
          <w:szCs w:val="24"/>
        </w:rPr>
        <w:t xml:space="preserve">3.5 Torsional Collapse and Line Slack</w:t>
      </w:r>
    </w:p>
    <w:p>
      <w:pPr>
        <w:spacing w:after="120"/>
      </w:pPr>
      <w:r>
        <w:rPr>
          <w:sz w:val="22"/>
          <w:szCs w:val="22"/>
        </w:rPr>
        <w:t xml:space="preserve">Structural failure analysis of tensegrity structures with slack cables has received growing attention (Luo et al., 2025). The specific failure mode of </w:t>
      </w:r>
      <w:r>
        <w:rPr>
          <w:i/>
          <w:iCs/>
          <w:sz w:val="22"/>
          <w:szCs w:val="22"/>
        </w:rPr>
        <w:t xml:space="preserve">torsional collapse via line slack</w:t>
      </w:r>
      <w:r>
        <w:rPr>
          <w:sz w:val="22"/>
          <w:szCs w:val="22"/>
        </w:rPr>
        <w:t xml:space="preserve"> in TRPT systems — where individual ropes go slack and the torsional stiffness drops to zero — has been observed experimentally (Sánchez-Arriaga et al., 2024, who report collapse at f₁ ≈ 5 Hz in their helix experiments) but has not been simulated at the sub-segment level in any prior model. KiteTurbineDynamics.jl detects this through zero-tension (slack) condition checks on each of the 300 rope sub-segments.</w:t>
      </w:r>
    </w:p>
    <w:p>
      <w:pPr>
        <w:pStyle w:val="Heading1"/>
        <w:spacing w:after="120" w:before="360"/>
      </w:pPr>
      <w:r>
        <w:rPr>
          <w:b/>
          <w:bCs/>
          <w:color w:val="1F4E79"/>
          <w:sz w:val="28"/>
          <w:szCs w:val="28"/>
        </w:rPr>
        <w:t xml:space="preserve">4. Novelty Contributions vs. Prior Art</w:t>
      </w:r>
    </w:p>
    <w:p>
      <w:pPr>
        <w:spacing w:after="120"/>
      </w:pPr>
      <w:r>
        <w:rPr>
          <w:sz w:val="22"/>
          <w:szCs w:val="22"/>
        </w:rPr>
        <w:t xml:space="preserve">The following table maps each novelty claim of KiteTurbineDynamics.jl against the closest prior work and states the gap.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shd w:fill="1F4E79" w:val="clear"/>
            <w:tcMar>
              <w:top w:type="dxa" w:w="80"/>
              <w:left w:type="dxa" w:w="120"/>
              <w:bottom w:type="dxa" w:w="80"/>
              <w:right w:type="dxa" w:w="120"/>
            </w:tcMar>
          </w:tcPr>
          <w:p>
            <w:r>
              <w:rPr>
                <w:b/>
                <w:bCs/>
                <w:color w:val="FFFFFF"/>
                <w:sz w:val="20"/>
                <w:szCs w:val="20"/>
              </w:rPr>
              <w:t xml:space="preserve">Novelty Claim</w:t>
            </w:r>
          </w:p>
        </w:tc>
        <w:tc>
          <w:tcPr>
            <w:tcW w:type="dxa" w:w="2800"/>
            <w:shd w:fill="1F4E79" w:val="clear"/>
            <w:tcMar>
              <w:top w:type="dxa" w:w="80"/>
              <w:left w:type="dxa" w:w="120"/>
              <w:bottom w:type="dxa" w:w="80"/>
              <w:right w:type="dxa" w:w="120"/>
            </w:tcMar>
          </w:tcPr>
          <w:p>
            <w:r>
              <w:rPr>
                <w:b/>
                <w:bCs/>
                <w:color w:val="FFFFFF"/>
                <w:sz w:val="20"/>
                <w:szCs w:val="20"/>
              </w:rPr>
              <w:t xml:space="preserve">Closest Prior Art</w:t>
            </w:r>
          </w:p>
        </w:tc>
        <w:tc>
          <w:tcPr>
            <w:tcW w:type="dxa" w:w="2000"/>
            <w:shd w:fill="1F4E79" w:val="clear"/>
            <w:tcMar>
              <w:top w:type="dxa" w:w="80"/>
              <w:left w:type="dxa" w:w="120"/>
              <w:bottom w:type="dxa" w:w="80"/>
              <w:right w:type="dxa" w:w="120"/>
            </w:tcMar>
          </w:tcPr>
          <w:p>
            <w:r>
              <w:rPr>
                <w:b/>
                <w:bCs/>
                <w:color w:val="FFFFFF"/>
                <w:sz w:val="20"/>
                <w:szCs w:val="20"/>
              </w:rPr>
              <w:t xml:space="preserve">Gap / Limitation of Prior Art</w:t>
            </w:r>
          </w:p>
        </w:tc>
        <w:tc>
          <w:tcPr>
            <w:tcW w:type="dxa" w:w="2560"/>
            <w:shd w:fill="1F4E79" w:val="clear"/>
            <w:tcMar>
              <w:top w:type="dxa" w:w="80"/>
              <w:left w:type="dxa" w:w="120"/>
              <w:bottom w:type="dxa" w:w="80"/>
              <w:right w:type="dxa" w:w="120"/>
            </w:tcMar>
          </w:tcPr>
          <w:p>
            <w:r>
              <w:rPr>
                <w:b/>
                <w:bCs/>
                <w:color w:val="FFFFFF"/>
                <w:sz w:val="20"/>
                <w:szCs w:val="20"/>
              </w:rPr>
              <w:t xml:space="preserve">Where Addressed in KTD.jl</w:t>
            </w:r>
          </w:p>
        </w:tc>
      </w:tr>
      <w:tr>
        <w:tc>
          <w:tcPr>
            <w:tcW w:type="dxa" w:w="2000"/>
            <w:shd w:fill="EBF3FA" w:val="clear"/>
            <w:tcMar>
              <w:top w:type="dxa" w:w="80"/>
              <w:left w:type="dxa" w:w="120"/>
              <w:bottom w:type="dxa" w:w="80"/>
              <w:right w:type="dxa" w:w="120"/>
            </w:tcMar>
          </w:tcPr>
          <w:p>
            <w:r>
              <w:rPr>
                <w:sz w:val="20"/>
                <w:szCs w:val="20"/>
              </w:rPr>
              <w:t xml:space="preserve">Emergent torsion from 3D rope geometry</w:t>
            </w:r>
          </w:p>
        </w:tc>
        <w:tc>
          <w:tcPr>
            <w:tcW w:type="dxa" w:w="2800"/>
            <w:shd w:fill="EBF3FA" w:val="clear"/>
            <w:tcMar>
              <w:top w:type="dxa" w:w="80"/>
              <w:left w:type="dxa" w:w="120"/>
              <w:bottom w:type="dxa" w:w="80"/>
              <w:right w:type="dxa" w:w="120"/>
            </w:tcMar>
          </w:tcPr>
          <w:p>
            <w:r>
              <w:rPr>
                <w:sz w:val="20"/>
                <w:szCs w:val="20"/>
              </w:rPr>
              <w:t xml:space="preserve">Tulloch et al. 2023 — analytical torsional spring constant per disc</w:t>
            </w:r>
          </w:p>
        </w:tc>
        <w:tc>
          <w:tcPr>
            <w:tcW w:type="dxa" w:w="2000"/>
            <w:shd w:fill="EBF3FA" w:val="clear"/>
            <w:tcMar>
              <w:top w:type="dxa" w:w="80"/>
              <w:left w:type="dxa" w:w="120"/>
              <w:bottom w:type="dxa" w:w="80"/>
              <w:right w:type="dxa" w:w="120"/>
            </w:tcMar>
          </w:tcPr>
          <w:p>
            <w:r>
              <w:rPr>
                <w:sz w:val="20"/>
                <w:szCs w:val="20"/>
              </w:rPr>
              <w:t xml:space="preserve">Prior work imposes k_torsion from geometric analysis; cannot detect line slack or nonlinear twist-tension coupling</w:t>
            </w:r>
          </w:p>
        </w:tc>
        <w:tc>
          <w:tcPr>
            <w:tcW w:type="dxa" w:w="2560"/>
            <w:shd w:fill="EBF3FA" w:val="clear"/>
            <w:tcMar>
              <w:top w:type="dxa" w:w="80"/>
              <w:left w:type="dxa" w:w="120"/>
              <w:bottom w:type="dxa" w:w="80"/>
              <w:right w:type="dxa" w:w="120"/>
            </w:tcMar>
          </w:tcPr>
          <w:p>
            <w:r>
              <w:rPr>
                <w:sz w:val="20"/>
                <w:szCs w:val="20"/>
              </w:rPr>
              <w:t xml:space="preserve">rope_forces.jl: torque from cross-product of attachment-point displacements on each ring</w:t>
            </w:r>
          </w:p>
        </w:tc>
      </w:tr>
      <w:tr>
        <w:tc>
          <w:tcPr>
            <w:tcW w:type="dxa" w:w="2000"/>
            <w:shd w:fill="FFFFFF" w:val="clear"/>
            <w:tcMar>
              <w:top w:type="dxa" w:w="80"/>
              <w:left w:type="dxa" w:w="120"/>
              <w:bottom w:type="dxa" w:w="80"/>
              <w:right w:type="dxa" w:w="120"/>
            </w:tcMar>
          </w:tcPr>
          <w:p>
            <w:r>
              <w:rPr>
                <w:sz w:val="20"/>
                <w:szCs w:val="20"/>
              </w:rPr>
              <w:t xml:space="preserve">Line slack and torsional collapse detection</w:t>
            </w:r>
          </w:p>
        </w:tc>
        <w:tc>
          <w:tcPr>
            <w:tcW w:type="dxa" w:w="2800"/>
            <w:shd w:fill="FFFFFF" w:val="clear"/>
            <w:tcMar>
              <w:top w:type="dxa" w:w="80"/>
              <w:left w:type="dxa" w:w="120"/>
              <w:bottom w:type="dxa" w:w="80"/>
              <w:right w:type="dxa" w:w="120"/>
            </w:tcMar>
          </w:tcPr>
          <w:p>
            <w:r>
              <w:rPr>
                <w:sz w:val="20"/>
                <w:szCs w:val="20"/>
              </w:rPr>
              <w:t xml:space="preserve">Sánchez-Arriaga et al. 2024 — Cosserat FEM collapses at 5 Hz but cannot resolve individual rope slack</w:t>
            </w:r>
          </w:p>
        </w:tc>
        <w:tc>
          <w:tcPr>
            <w:tcW w:type="dxa" w:w="2000"/>
            <w:shd w:fill="FFFFFF" w:val="clear"/>
            <w:tcMar>
              <w:top w:type="dxa" w:w="80"/>
              <w:left w:type="dxa" w:w="120"/>
              <w:bottom w:type="dxa" w:w="80"/>
              <w:right w:type="dxa" w:w="120"/>
            </w:tcMar>
          </w:tcPr>
          <w:p>
            <w:r>
              <w:rPr>
                <w:sz w:val="20"/>
                <w:szCs w:val="20"/>
              </w:rPr>
              <w:t xml:space="preserve">Continuum rod topology is fixed; individual line slack is a topological change not representable in FEM</w:t>
            </w:r>
          </w:p>
        </w:tc>
        <w:tc>
          <w:tcPr>
            <w:tcW w:type="dxa" w:w="2560"/>
            <w:shd w:fill="FFFFFF" w:val="clear"/>
            <w:tcMar>
              <w:top w:type="dxa" w:w="80"/>
              <w:left w:type="dxa" w:w="120"/>
              <w:bottom w:type="dxa" w:w="80"/>
              <w:right w:type="dxa" w:w="120"/>
            </w:tcMar>
          </w:tcPr>
          <w:p>
            <w:r>
              <w:rPr>
                <w:sz w:val="20"/>
                <w:szCs w:val="20"/>
              </w:rPr>
              <w:t xml:space="preserve">rope_forces.jl: T = max(0, EA·ε + c·v_proj) — zero tension when slack</w:t>
            </w:r>
          </w:p>
        </w:tc>
      </w:tr>
      <w:tr>
        <w:tc>
          <w:tcPr>
            <w:tcW w:type="dxa" w:w="2000"/>
            <w:shd w:fill="EBF3FA" w:val="clear"/>
            <w:tcMar>
              <w:top w:type="dxa" w:w="80"/>
              <w:left w:type="dxa" w:w="120"/>
              <w:bottom w:type="dxa" w:w="80"/>
              <w:right w:type="dxa" w:w="120"/>
            </w:tcMar>
          </w:tcPr>
          <w:p>
            <w:r>
              <w:rPr>
                <w:sz w:val="20"/>
                <w:szCs w:val="20"/>
              </w:rPr>
              <w:t xml:space="preserve">Real-time Euler column buckling FoS per ring</w:t>
            </w:r>
          </w:p>
        </w:tc>
        <w:tc>
          <w:tcPr>
            <w:tcW w:type="dxa" w:w="2800"/>
            <w:shd w:fill="EBF3FA" w:val="clear"/>
            <w:tcMar>
              <w:top w:type="dxa" w:w="80"/>
              <w:left w:type="dxa" w:w="120"/>
              <w:bottom w:type="dxa" w:w="80"/>
              <w:right w:type="dxa" w:w="120"/>
            </w:tcMar>
          </w:tcPr>
          <w:p>
            <w:r>
              <w:rPr>
                <w:sz w:val="20"/>
                <w:szCs w:val="20"/>
              </w:rPr>
              <w:t xml:space="preserve">Wacker et al. 2023 — includes frame drag but not per-ring buckling failure mode</w:t>
            </w:r>
          </w:p>
        </w:tc>
        <w:tc>
          <w:tcPr>
            <w:tcW w:type="dxa" w:w="2000"/>
            <w:shd w:fill="EBF3FA" w:val="clear"/>
            <w:tcMar>
              <w:top w:type="dxa" w:w="80"/>
              <w:left w:type="dxa" w:w="120"/>
              <w:bottom w:type="dxa" w:w="80"/>
              <w:right w:type="dxa" w:w="120"/>
            </w:tcMar>
          </w:tcPr>
          <w:p>
            <w:r>
              <w:rPr>
                <w:sz w:val="20"/>
                <w:szCs w:val="20"/>
              </w:rPr>
              <w:t xml:space="preserve">Ring buckling not modelled; Euler column is the governing mode, not ring-hoop</w:t>
            </w:r>
          </w:p>
        </w:tc>
        <w:tc>
          <w:tcPr>
            <w:tcW w:type="dxa" w:w="2560"/>
            <w:shd w:fill="EBF3FA" w:val="clear"/>
            <w:tcMar>
              <w:top w:type="dxa" w:w="80"/>
              <w:left w:type="dxa" w:w="120"/>
              <w:bottom w:type="dxa" w:w="80"/>
              <w:right w:type="dxa" w:w="120"/>
            </w:tcMar>
          </w:tcPr>
          <w:p>
            <w:r>
              <w:rPr>
                <w:sz w:val="20"/>
                <w:szCs w:val="20"/>
              </w:rPr>
              <w:t xml:space="preserve">structural_safety.jl: P_crit = π²EI/L²; FoS per polygon side per time step</w:t>
            </w:r>
          </w:p>
        </w:tc>
      </w:tr>
      <w:tr>
        <w:tc>
          <w:tcPr>
            <w:tcW w:type="dxa" w:w="2000"/>
            <w:shd w:fill="FFFFFF" w:val="clear"/>
            <w:tcMar>
              <w:top w:type="dxa" w:w="80"/>
              <w:left w:type="dxa" w:w="120"/>
              <w:bottom w:type="dxa" w:w="80"/>
              <w:right w:type="dxa" w:w="120"/>
            </w:tcMar>
          </w:tcPr>
          <w:p>
            <w:r>
              <w:rPr>
                <w:sz w:val="20"/>
                <w:szCs w:val="20"/>
              </w:rPr>
              <w:t xml:space="preserve">Quadratic MPPT eliminating bistability</w:t>
            </w:r>
          </w:p>
        </w:tc>
        <w:tc>
          <w:tcPr>
            <w:tcW w:type="dxa" w:w="2800"/>
            <w:shd w:fill="FFFFFF" w:val="clear"/>
            <w:tcMar>
              <w:top w:type="dxa" w:w="80"/>
              <w:left w:type="dxa" w:w="120"/>
              <w:bottom w:type="dxa" w:w="80"/>
              <w:right w:type="dxa" w:w="120"/>
            </w:tcMar>
          </w:tcPr>
          <w:p>
            <w:r>
              <w:rPr>
                <w:sz w:val="20"/>
                <w:szCs w:val="20"/>
              </w:rPr>
              <w:t xml:space="preserve">Tulloch et al. 2020 — observes two equilibrium states with linear damper; no resolution proposed</w:t>
            </w:r>
          </w:p>
        </w:tc>
        <w:tc>
          <w:tcPr>
            <w:tcW w:type="dxa" w:w="2000"/>
            <w:shd w:fill="FFFFFF" w:val="clear"/>
            <w:tcMar>
              <w:top w:type="dxa" w:w="80"/>
              <w:left w:type="dxa" w:w="120"/>
              <w:bottom w:type="dxa" w:w="80"/>
              <w:right w:type="dxa" w:w="120"/>
            </w:tcMar>
          </w:tcPr>
          <w:p>
            <w:r>
              <w:rPr>
                <w:sz w:val="20"/>
                <w:szCs w:val="20"/>
              </w:rPr>
              <w:t xml:space="preserve">Linear load τ = c·ω has an unstable lower equilibrium at low ω; system may stall</w:t>
            </w:r>
          </w:p>
        </w:tc>
        <w:tc>
          <w:tcPr>
            <w:tcW w:type="dxa" w:w="2560"/>
            <w:shd w:fill="FFFFFF" w:val="clear"/>
            <w:tcMar>
              <w:top w:type="dxa" w:w="80"/>
              <w:left w:type="dxa" w:w="120"/>
              <w:bottom w:type="dxa" w:w="80"/>
              <w:right w:type="dxa" w:w="120"/>
            </w:tcMar>
          </w:tcPr>
          <w:p>
            <w:r>
              <w:rPr>
                <w:sz w:val="20"/>
                <w:szCs w:val="20"/>
              </w:rPr>
              <w:t xml:space="preserve">ring_forces.jl: τ_gen = k_mppt·ω² — single stable equilibrium at all wind speeds</w:t>
            </w:r>
          </w:p>
        </w:tc>
      </w:tr>
      <w:tr>
        <w:tc>
          <w:tcPr>
            <w:tcW w:type="dxa" w:w="2000"/>
            <w:shd w:fill="EBF3FA" w:val="clear"/>
            <w:tcMar>
              <w:top w:type="dxa" w:w="80"/>
              <w:left w:type="dxa" w:w="120"/>
              <w:bottom w:type="dxa" w:w="80"/>
              <w:right w:type="dxa" w:w="120"/>
            </w:tcMar>
          </w:tcPr>
          <w:p>
            <w:r>
              <w:rPr>
                <w:sz w:val="20"/>
                <w:szCs w:val="20"/>
              </w:rPr>
              <w:t xml:space="preserve">Rotary lifter model with quantified tension CV reduction</w:t>
            </w:r>
          </w:p>
        </w:tc>
        <w:tc>
          <w:tcPr>
            <w:tcW w:type="dxa" w:w="2800"/>
            <w:shd w:fill="EBF3FA" w:val="clear"/>
            <w:tcMar>
              <w:top w:type="dxa" w:w="80"/>
              <w:left w:type="dxa" w:w="120"/>
              <w:bottom w:type="dxa" w:w="80"/>
              <w:right w:type="dxa" w:w="120"/>
            </w:tcMar>
          </w:tcPr>
          <w:p>
            <w:r>
              <w:rPr>
                <w:sz w:val="20"/>
                <w:szCs w:val="20"/>
              </w:rPr>
              <w:t xml:space="preserve">Chen et al. 2024 — quasi-static passive lift kite only</w:t>
            </w:r>
          </w:p>
        </w:tc>
        <w:tc>
          <w:tcPr>
            <w:tcW w:type="dxa" w:w="2000"/>
            <w:shd w:fill="EBF3FA" w:val="clear"/>
            <w:tcMar>
              <w:top w:type="dxa" w:w="80"/>
              <w:left w:type="dxa" w:w="120"/>
              <w:bottom w:type="dxa" w:w="80"/>
              <w:right w:type="dxa" w:w="120"/>
            </w:tcMar>
          </w:tcPr>
          <w:p>
            <w:r>
              <w:rPr>
                <w:sz w:val="20"/>
                <w:szCs w:val="20"/>
              </w:rPr>
              <w:t xml:space="preserve">Only one lift device type modelled; tension variability from turbulence not quantified</w:t>
            </w:r>
          </w:p>
        </w:tc>
        <w:tc>
          <w:tcPr>
            <w:tcW w:type="dxa" w:w="2560"/>
            <w:shd w:fill="EBF3FA" w:val="clear"/>
            <w:tcMar>
              <w:top w:type="dxa" w:w="80"/>
              <w:left w:type="dxa" w:w="120"/>
              <w:bottom w:type="dxa" w:w="80"/>
              <w:right w:type="dxa" w:w="120"/>
            </w:tcMar>
          </w:tcPr>
          <w:p>
            <w:r>
              <w:rPr>
                <w:sz w:val="20"/>
                <w:szCs w:val="20"/>
              </w:rPr>
              <w:t xml:space="preserve">lift_kite.jl: three models (passive, stacked, rotary); rotary lifter reduces tension CV from 30% to 3.6% (8× improvement)</w:t>
            </w:r>
          </w:p>
        </w:tc>
      </w:tr>
      <w:tr>
        <w:tc>
          <w:tcPr>
            <w:tcW w:type="dxa" w:w="2000"/>
            <w:shd w:fill="FFFFFF" w:val="clear"/>
            <w:tcMar>
              <w:top w:type="dxa" w:w="80"/>
              <w:left w:type="dxa" w:w="120"/>
              <w:bottom w:type="dxa" w:w="80"/>
              <w:right w:type="dxa" w:w="120"/>
            </w:tcMar>
          </w:tcPr>
          <w:p>
            <w:r>
              <w:rPr>
                <w:sz w:val="20"/>
                <w:szCs w:val="20"/>
              </w:rPr>
              <w:t xml:space="preserve">Conical multi-rotor stack with centrifugal radius expansion</w:t>
            </w:r>
          </w:p>
        </w:tc>
        <w:tc>
          <w:tcPr>
            <w:tcW w:type="dxa" w:w="2800"/>
            <w:shd w:fill="FFFFFF" w:val="clear"/>
            <w:tcMar>
              <w:top w:type="dxa" w:w="80"/>
              <w:left w:type="dxa" w:w="120"/>
              <w:bottom w:type="dxa" w:w="80"/>
              <w:right w:type="dxa" w:w="120"/>
            </w:tcMar>
          </w:tcPr>
          <w:p>
            <w:r>
              <w:rPr>
                <w:sz w:val="20"/>
                <w:szCs w:val="20"/>
              </w:rPr>
              <w:t xml:space="preserve">De Schutter et al. 2019 — stacked pumping-mode kites; no rotary TRPT topology</w:t>
            </w:r>
          </w:p>
        </w:tc>
        <w:tc>
          <w:tcPr>
            <w:tcW w:type="dxa" w:w="2000"/>
            <w:shd w:fill="FFFFFF" w:val="clear"/>
            <w:tcMar>
              <w:top w:type="dxa" w:w="80"/>
              <w:left w:type="dxa" w:w="120"/>
              <w:bottom w:type="dxa" w:w="80"/>
              <w:right w:type="dxa" w:w="120"/>
            </w:tcMar>
          </w:tcPr>
          <w:p>
            <w:r>
              <w:rPr>
                <w:sz w:val="20"/>
                <w:szCs w:val="20"/>
              </w:rPr>
              <w:t xml:space="preserve">Rotary TRPT stacking with passive centrifugal expansion not analysed anywhere in the literature</w:t>
            </w:r>
          </w:p>
        </w:tc>
        <w:tc>
          <w:tcPr>
            <w:tcW w:type="dxa" w:w="2560"/>
            <w:shd w:fill="FFFFFF" w:val="clear"/>
            <w:tcMar>
              <w:top w:type="dxa" w:w="80"/>
              <w:left w:type="dxa" w:w="120"/>
              <w:bottom w:type="dxa" w:w="80"/>
              <w:right w:type="dxa" w:w="120"/>
            </w:tcMar>
          </w:tcPr>
          <w:p>
            <w:r>
              <w:rPr>
                <w:sz w:val="20"/>
                <w:szCs w:val="20"/>
              </w:rPr>
              <w:t xml:space="preserve">TRPT_Conical_Stack_Analysis.docx + power_curve_sweep.jl: 3-rotor conical stack delivers 27% above single-rotor baseline</w:t>
            </w:r>
          </w:p>
        </w:tc>
      </w:tr>
      <w:tr>
        <w:tc>
          <w:tcPr>
            <w:tcW w:type="dxa" w:w="2000"/>
            <w:shd w:fill="EBF3FA" w:val="clear"/>
            <w:tcMar>
              <w:top w:type="dxa" w:w="80"/>
              <w:left w:type="dxa" w:w="120"/>
              <w:bottom w:type="dxa" w:w="80"/>
              <w:right w:type="dxa" w:w="120"/>
            </w:tcMar>
          </w:tcPr>
          <w:p>
            <w:r>
              <w:rPr>
                <w:sz w:val="20"/>
                <w:szCs w:val="20"/>
              </w:rPr>
              <w:t xml:space="preserve">Full transient ODE (1,478 states) in open-source Julia</w:t>
            </w:r>
          </w:p>
        </w:tc>
        <w:tc>
          <w:tcPr>
            <w:tcW w:type="dxa" w:w="2800"/>
            <w:shd w:fill="EBF3FA" w:val="clear"/>
            <w:tcMar>
              <w:top w:type="dxa" w:w="80"/>
              <w:left w:type="dxa" w:w="120"/>
              <w:bottom w:type="dxa" w:w="80"/>
              <w:right w:type="dxa" w:w="120"/>
            </w:tcMar>
          </w:tcPr>
          <w:p>
            <w:r>
              <w:rPr>
                <w:sz w:val="20"/>
                <w:szCs w:val="20"/>
              </w:rPr>
              <w:t xml:space="preserve">All prior TRPT models: MATLAB or proprietary codes; no open Julia implementation</w:t>
            </w:r>
          </w:p>
        </w:tc>
        <w:tc>
          <w:tcPr>
            <w:tcW w:type="dxa" w:w="2000"/>
            <w:shd w:fill="EBF3FA" w:val="clear"/>
            <w:tcMar>
              <w:top w:type="dxa" w:w="80"/>
              <w:left w:type="dxa" w:w="120"/>
              <w:bottom w:type="dxa" w:w="80"/>
              <w:right w:type="dxa" w:w="120"/>
            </w:tcMar>
          </w:tcPr>
          <w:p>
            <w:r>
              <w:rPr>
                <w:sz w:val="20"/>
                <w:szCs w:val="20"/>
              </w:rPr>
              <w:t xml:space="preserve">No open-source transient TRPT simulator in any language</w:t>
            </w:r>
          </w:p>
        </w:tc>
        <w:tc>
          <w:tcPr>
            <w:tcW w:type="dxa" w:w="2560"/>
            <w:shd w:fill="EBF3FA" w:val="clear"/>
            <w:tcMar>
              <w:top w:type="dxa" w:w="80"/>
              <w:left w:type="dxa" w:w="120"/>
              <w:bottom w:type="dxa" w:w="80"/>
              <w:right w:type="dxa" w:w="120"/>
            </w:tcMar>
          </w:tcPr>
          <w:p>
            <w:r>
              <w:rPr>
                <w:sz w:val="20"/>
                <w:szCs w:val="20"/>
              </w:rPr>
              <w:t xml:space="preserve">KiteTurbineDynamics.jl: MIT-licensed Julia package; DifferentialEquations.jl backend; sub-millisecond time steps</w:t>
            </w:r>
          </w:p>
        </w:tc>
      </w:tr>
    </w:tbl>
    <w:p>
      <w:pPr>
        <w:spacing w:after="60"/>
      </w:pPr>
      <w:r>
        <w:t xml:space="preserve"/>
      </w:r>
    </w:p>
    <w:p>
      <w:pPr>
        <w:pStyle w:val="Heading1"/>
        <w:spacing w:after="120" w:before="360"/>
      </w:pPr>
      <w:r>
        <w:rPr>
          <w:b/>
          <w:bCs/>
          <w:color w:val="1F4E79"/>
          <w:sz w:val="28"/>
          <w:szCs w:val="28"/>
        </w:rPr>
        <w:t xml:space="preserve">5. Software Build Reference</w:t>
      </w:r>
    </w:p>
    <w:p>
      <w:pPr>
        <w:spacing w:after="120"/>
      </w:pPr>
      <w:r>
        <w:rPr>
          <w:sz w:val="22"/>
          <w:szCs w:val="22"/>
        </w:rPr>
        <w:t xml:space="preserve">This section documents the key implementation choices for reproducibility and citation purposes.</w:t>
      </w:r>
    </w:p>
    <w:p>
      <w:pPr>
        <w:pStyle w:val="Heading2"/>
        <w:spacing w:after="80" w:before="280"/>
      </w:pPr>
      <w:r>
        <w:rPr>
          <w:b/>
          <w:bCs/>
          <w:color w:val="2E74B5"/>
          <w:sz w:val="24"/>
          <w:szCs w:val="24"/>
        </w:rPr>
        <w:t xml:space="preserve">5.1 Language and Runtime</w:t>
      </w:r>
    </w:p>
    <w:p>
      <w:pPr>
        <w:pStyle w:val="ListParagraph"/>
        <w:numPr>
          <w:ilvl w:val="0"/>
          <w:numId w:val="2"/>
        </w:numPr>
        <w:spacing w:after="60"/>
      </w:pPr>
      <w:r>
        <w:rPr>
          <w:b/>
          <w:bCs/>
          <w:sz w:val="22"/>
          <w:szCs w:val="22"/>
        </w:rPr>
        <w:t xml:space="preserve">Language:</w:t>
      </w:r>
      <w:r>
        <w:rPr>
          <w:sz w:val="22"/>
          <w:szCs w:val="22"/>
        </w:rPr>
        <w:t xml:space="preserve"> Julia 1.12.5</w:t>
      </w:r>
    </w:p>
    <w:p>
      <w:pPr>
        <w:pStyle w:val="ListParagraph"/>
        <w:numPr>
          <w:ilvl w:val="0"/>
          <w:numId w:val="2"/>
        </w:numPr>
        <w:spacing w:after="60"/>
      </w:pPr>
      <w:r>
        <w:rPr>
          <w:b/>
          <w:bCs/>
          <w:sz w:val="22"/>
          <w:szCs w:val="22"/>
        </w:rPr>
        <w:t xml:space="preserve">ODE Solver:</w:t>
      </w:r>
      <w:r>
        <w:rPr>
          <w:sz w:val="22"/>
          <w:szCs w:val="22"/>
        </w:rPr>
        <w:t xml:space="preserve"> DifferentialEquations.jl (Tsit5 / RK45 adaptive; configurable); minimum time step 40 μs for torsional transients</w:t>
      </w:r>
    </w:p>
    <w:p>
      <w:pPr>
        <w:pStyle w:val="ListParagraph"/>
        <w:numPr>
          <w:ilvl w:val="0"/>
          <w:numId w:val="2"/>
        </w:numPr>
        <w:spacing w:after="60"/>
      </w:pPr>
      <w:r>
        <w:rPr>
          <w:b/>
          <w:bCs/>
          <w:sz w:val="22"/>
          <w:szCs w:val="22"/>
        </w:rPr>
        <w:t xml:space="preserve">Visualisation:</w:t>
      </w:r>
      <w:r>
        <w:rPr>
          <w:sz w:val="22"/>
          <w:szCs w:val="22"/>
        </w:rPr>
        <w:t xml:space="preserve"> GLMakie.jl — real-time 3D dashboard with ring utilisation colour coding (blue → red as FoS → 1.0)</w:t>
      </w:r>
    </w:p>
    <w:p>
      <w:pPr>
        <w:pStyle w:val="ListParagraph"/>
        <w:numPr>
          <w:ilvl w:val="0"/>
          <w:numId w:val="2"/>
        </w:numPr>
        <w:spacing w:after="60"/>
      </w:pPr>
      <w:r>
        <w:rPr>
          <w:b/>
          <w:bCs/>
          <w:sz w:val="22"/>
          <w:szCs w:val="22"/>
        </w:rPr>
        <w:t xml:space="preserve">Data Export:</w:t>
      </w:r>
      <w:r>
        <w:rPr>
          <w:sz w:val="22"/>
          <w:szCs w:val="22"/>
        </w:rPr>
        <w:t xml:space="preserve"> DataFrames.jl + CSV.jl; frequency analysis via FFTW.jl</w:t>
      </w:r>
    </w:p>
    <w:p>
      <w:pPr>
        <w:pStyle w:val="Heading2"/>
        <w:spacing w:after="80" w:before="280"/>
      </w:pPr>
      <w:r>
        <w:rPr>
          <w:b/>
          <w:bCs/>
          <w:color w:val="2E74B5"/>
          <w:sz w:val="24"/>
          <w:szCs w:val="24"/>
        </w:rPr>
        <w:t xml:space="preserve">5.2 State Space</w:t>
      </w:r>
    </w:p>
    <w:p>
      <w:pPr>
        <w:spacing w:after="120"/>
      </w:pPr>
      <w:r>
        <w:rPr>
          <w:sz w:val="22"/>
          <w:szCs w:val="22"/>
        </w:rPr>
        <w:t xml:space="preserve">The system state vector has dimension 6N_ropes + 2N_rings where N_ropes = 225 rope nodes and N_rings = 16 ring nodes at 10 kW scale:</w:t>
      </w:r>
    </w:p>
    <w:p>
      <w:pPr>
        <w:pStyle w:val="ListParagraph"/>
        <w:numPr>
          <w:ilvl w:val="0"/>
          <w:numId w:val="2"/>
        </w:numPr>
        <w:spacing w:after="60"/>
      </w:pPr>
      <w:r>
        <w:rPr>
          <w:sz w:val="22"/>
          <w:szCs w:val="22"/>
        </w:rPr>
        <w:t xml:space="preserve">225 rope nodes × 3 position + 3 velocity = 1,350 rope states</w:t>
      </w:r>
    </w:p>
    <w:p>
      <w:pPr>
        <w:pStyle w:val="ListParagraph"/>
        <w:numPr>
          <w:ilvl w:val="0"/>
          <w:numId w:val="2"/>
        </w:numPr>
        <w:spacing w:after="60"/>
      </w:pPr>
      <w:r>
        <w:rPr>
          <w:sz w:val="22"/>
          <w:szCs w:val="22"/>
        </w:rPr>
        <w:t xml:space="preserve">16 ring nodes × 3 position + 3 velocity = 96 ring translational states</w:t>
      </w:r>
    </w:p>
    <w:p>
      <w:pPr>
        <w:pStyle w:val="ListParagraph"/>
        <w:numPr>
          <w:ilvl w:val="0"/>
          <w:numId w:val="2"/>
        </w:numPr>
        <w:spacing w:after="60"/>
      </w:pPr>
      <w:r>
        <w:rPr>
          <w:sz w:val="22"/>
          <w:szCs w:val="22"/>
        </w:rPr>
        <w:t xml:space="preserve">16 ring nodes × 1 twist angle + 1 angular velocity = 32 ring rotational states</w:t>
      </w:r>
    </w:p>
    <w:p>
      <w:pPr>
        <w:pStyle w:val="ListParagraph"/>
        <w:numPr>
          <w:ilvl w:val="0"/>
          <w:numId w:val="2"/>
        </w:numPr>
        <w:spacing w:after="60"/>
      </w:pPr>
      <w:r>
        <w:rPr>
          <w:b/>
          <w:bCs/>
          <w:sz w:val="22"/>
          <w:szCs w:val="22"/>
        </w:rPr>
        <w:t xml:space="preserve">Total: 1,478 states</w:t>
      </w:r>
      <w:r>
        <w:rPr>
          <w:sz w:val="22"/>
          <w:szCs w:val="22"/>
        </w:rPr>
        <w:t xml:space="preserve"> — integrated as a single first-order ODE system</w:t>
      </w:r>
    </w:p>
    <w:p>
      <w:pPr>
        <w:pStyle w:val="Heading2"/>
        <w:spacing w:after="80" w:before="280"/>
      </w:pPr>
      <w:r>
        <w:rPr>
          <w:b/>
          <w:bCs/>
          <w:color w:val="2E74B5"/>
          <w:sz w:val="24"/>
          <w:szCs w:val="24"/>
        </w:rPr>
        <w:t xml:space="preserve">5.3 Aerodynamic Data Source</w:t>
      </w:r>
    </w:p>
    <w:p>
      <w:pPr>
        <w:spacing w:after="120"/>
      </w:pPr>
      <w:r>
        <w:rPr>
          <w:sz w:val="22"/>
          <w:szCs w:val="22"/>
        </w:rPr>
        <w:t xml:space="preserve">Rotor Cp and CT tables derived from AeroDyn BEM analysis of a NACA 4412, 3-blade rotor at 4 kW, 7 kW, and 12 kW scales, averaged for the 10 kW prototype. Peak Cp = 0.232 at λ = 4.1; CT ranges from 0.11 (λ = 1.0) to 0.78 (λ = 8.0). Source: </w:t>
      </w:r>
      <w:r>
        <w:rPr>
          <w:i/>
          <w:iCs/>
          <w:sz w:val="22"/>
          <w:szCs w:val="22"/>
        </w:rPr>
        <w:t xml:space="preserve">Rotor_TRTP_Sizing_Iteration2.xlsx</w:t>
      </w:r>
      <w:r>
        <w:rPr>
          <w:sz w:val="22"/>
          <w:szCs w:val="22"/>
        </w:rPr>
        <w:t xml:space="preserve"> (Windswept &amp; Interesting internal report).</w:t>
      </w:r>
    </w:p>
    <w:p>
      <w:pPr>
        <w:pStyle w:val="Heading2"/>
        <w:spacing w:after="80" w:before="280"/>
      </w:pPr>
      <w:r>
        <w:rPr>
          <w:b/>
          <w:bCs/>
          <w:color w:val="2E74B5"/>
          <w:sz w:val="24"/>
          <w:szCs w:val="24"/>
        </w:rPr>
        <w:t xml:space="preserve">5.4 Structural Properties</w:t>
      </w:r>
    </w:p>
    <w:p>
      <w:pPr>
        <w:spacing w:after="120"/>
      </w:pPr>
      <w:r>
        <w:rPr>
          <w:sz w:val="22"/>
          <w:szCs w:val="22"/>
        </w:rPr>
        <w:t xml:space="preserve">Polygon rings modelled as hollow CFRP tubes (E = 70 GPa) with outer diameter D_o and inner diameter D_i = 0.9·D_o. The scaling law D_o = 0.01396 · √R (SI units) is derived from the Euler buckling constraint at rated loads with a factor of safety of 3.0.</w:t>
      </w:r>
    </w:p>
    <w:p>
      <w:pPr>
        <w:pStyle w:val="Heading2"/>
        <w:spacing w:after="80" w:before="280"/>
      </w:pPr>
      <w:r>
        <w:rPr>
          <w:b/>
          <w:bCs/>
          <w:color w:val="2E74B5"/>
          <w:sz w:val="24"/>
          <w:szCs w:val="24"/>
        </w:rPr>
        <w:t xml:space="preserve">5.5 Equilibrium Initialisation</w:t>
      </w:r>
    </w:p>
    <w:p>
      <w:pPr>
        <w:spacing w:after="120"/>
      </w:pPr>
      <w:r>
        <w:rPr>
          <w:sz w:val="22"/>
          <w:szCs w:val="22"/>
        </w:rPr>
        <w:t xml:space="preserve">The system is initialised by running the ODE with zero wind speed until kinetic energy dissipates below a threshold (settle_to_equilibrium()). This produces a gravity-sagged catenary rope shape and a torque-balanced twist angle as the starting condition for all transient simulations.</w:t>
      </w:r>
    </w:p>
    <w:p>
      <w:pPr>
        <w:pStyle w:val="Heading2"/>
        <w:spacing w:after="80" w:before="280"/>
      </w:pPr>
      <w:r>
        <w:rPr>
          <w:b/>
          <w:bCs/>
          <w:color w:val="2E74B5"/>
          <w:sz w:val="24"/>
          <w:szCs w:val="24"/>
        </w:rPr>
        <w:t xml:space="preserve">5.6 Validation Status</w:t>
      </w:r>
    </w:p>
    <w:p>
      <w:pPr>
        <w:spacing w:after="120"/>
      </w:pPr>
      <w:r>
        <w:rPr>
          <w:sz w:val="22"/>
          <w:szCs w:val="22"/>
        </w:rPr>
        <w:t xml:space="preserve">The simulator has been validated at the quasi-static level against the TRPTSim quasi-static package (Windswept &amp; Interesting internal). Transient dynamics validation against field telemetry from the Daisy Kite 10 kW prototype is planned as the next step.</w:t>
      </w:r>
    </w:p>
    <w:p>
      <w:pPr>
        <w:pStyle w:val="Heading2"/>
        <w:spacing w:after="80" w:before="280"/>
      </w:pPr>
      <w:r>
        <w:rPr>
          <w:b/>
          <w:bCs/>
          <w:color w:val="2E74B5"/>
          <w:sz w:val="24"/>
          <w:szCs w:val="24"/>
        </w:rPr>
        <w:t xml:space="preserve">5.7 Repository Structure</w:t>
      </w:r>
    </w:p>
    <w:p>
      <w:pPr>
        <w:pStyle w:val="ListParagraph"/>
        <w:numPr>
          <w:ilvl w:val="0"/>
          <w:numId w:val="2"/>
        </w:numPr>
        <w:spacing w:after="60"/>
      </w:pPr>
      <w:r>
        <w:rPr>
          <w:b/>
          <w:bCs/>
          <w:sz w:val="22"/>
          <w:szCs w:val="22"/>
        </w:rPr>
        <w:t xml:space="preserve">src/</w:t>
      </w:r>
      <w:r>
        <w:rPr>
          <w:sz w:val="22"/>
          <w:szCs w:val="22"/>
        </w:rPr>
        <w:t xml:space="preserve"> — Julia module source (see §2.1)</w:t>
      </w:r>
    </w:p>
    <w:p>
      <w:pPr>
        <w:pStyle w:val="ListParagraph"/>
        <w:numPr>
          <w:ilvl w:val="0"/>
          <w:numId w:val="2"/>
        </w:numPr>
        <w:spacing w:after="60"/>
      </w:pPr>
      <w:r>
        <w:rPr>
          <w:b/>
          <w:bCs/>
          <w:sz w:val="22"/>
          <w:szCs w:val="22"/>
        </w:rPr>
        <w:t xml:space="preserve">scripts/</w:t>
      </w:r>
      <w:r>
        <w:rPr>
          <w:sz w:val="22"/>
          <w:szCs w:val="22"/>
        </w:rPr>
        <w:t xml:space="preserve"> — simulation scripts: interactive_dashboard.jl, power_curve_sweep.jl, mppt_twist_sweep_v2.jl, mppt_ramp_only.jl</w:t>
      </w:r>
    </w:p>
    <w:p>
      <w:pPr>
        <w:pStyle w:val="ListParagraph"/>
        <w:numPr>
          <w:ilvl w:val="0"/>
          <w:numId w:val="2"/>
        </w:numPr>
        <w:spacing w:after="60"/>
      </w:pPr>
      <w:r>
        <w:rPr>
          <w:b/>
          <w:bCs/>
          <w:sz w:val="22"/>
          <w:szCs w:val="22"/>
        </w:rPr>
        <w:t xml:space="preserve">test/</w:t>
      </w:r>
      <w:r>
        <w:rPr>
          <w:sz w:val="22"/>
          <w:szCs w:val="22"/>
        </w:rPr>
        <w:t xml:space="preserve"> — 11 test files covering parameters, geometry, forces, dynamics, equilibrium, and smoke tests</w:t>
      </w:r>
    </w:p>
    <w:p>
      <w:pPr>
        <w:pStyle w:val="ListParagraph"/>
        <w:numPr>
          <w:ilvl w:val="0"/>
          <w:numId w:val="2"/>
        </w:numPr>
        <w:spacing w:after="60"/>
      </w:pPr>
      <w:r>
        <w:rPr>
          <w:b/>
          <w:bCs/>
          <w:sz w:val="22"/>
          <w:szCs w:val="22"/>
        </w:rPr>
        <w:t xml:space="preserve">docs/</w:t>
      </w:r>
      <w:r>
        <w:rPr>
          <w:sz w:val="22"/>
          <w:szCs w:val="22"/>
        </w:rPr>
        <w:t xml:space="preserve"> — engineering analysis reports: TRPT_Dynamics_Report.docx, TRPT_Ring_Scalability_Report.docx, TRPT_Stacked_Rotor_Analysis.docx, TRPT_Conical_Stack_Analysis.docx, TRPT_Lift_Device_Analysis.docx</w:t>
      </w:r>
    </w:p>
    <w:p>
      <w:pPr>
        <w:pStyle w:val="Heading1"/>
        <w:spacing w:after="120" w:before="360"/>
      </w:pPr>
      <w:r>
        <w:rPr>
          <w:b/>
          <w:bCs/>
          <w:color w:val="1F4E79"/>
          <w:sz w:val="28"/>
          <w:szCs w:val="28"/>
        </w:rPr>
        <w:t xml:space="preserve">6. Priority Reading List</w:t>
      </w:r>
    </w:p>
    <w:p>
      <w:pPr>
        <w:spacing w:after="120"/>
      </w:pPr>
      <w:r>
        <w:rPr>
          <w:sz w:val="22"/>
          <w:szCs w:val="22"/>
        </w:rPr>
        <w:t xml:space="preserve">For a researcher entering the rotary AWES / TRPT literature, read in this order:</w:t>
      </w:r>
    </w:p>
    <w:p>
      <w:pPr>
        <w:spacing w:after="60"/>
      </w:pPr>
      <w:r>
        <w:t xml:space="preserve"/>
      </w:r>
    </w:p>
    <w:p>
      <w:pPr>
        <w:spacing w:after="120"/>
      </w:pPr>
      <w:r>
        <w:rPr>
          <w:b/>
          <w:bCs/>
          <w:sz w:val="22"/>
          <w:szCs w:val="22"/>
        </w:rPr>
        <w:t xml:space="preserve">1. </w:t>
      </w:r>
      <w:hyperlink w:history="1" r:id="rIdunqljv7tj1iyzcdz8khj5">
        <w:r>
          <w:rPr>
            <w:rStyle w:val="Hyperlink"/>
            <w:sz w:val="22"/>
            <w:szCs w:val="22"/>
          </w:rPr>
          <w:t xml:space="preserve">Tulloch et al. (2023) — A Tensile Rotary Airborne Wind Energy System — Modelling, Analysis and Improved Design</w:t>
        </w:r>
      </w:hyperlink>
      <w:r>
        <w:rPr>
          <w:sz w:val="22"/>
          <w:szCs w:val="22"/>
        </w:rPr>
        <w:t xml:space="preserve"> (Energies)</w:t>
      </w:r>
    </w:p>
    <w:p>
      <w:pPr>
        <w:spacing w:after="120"/>
      </w:pPr>
      <w:r>
        <w:rPr>
          <w:i/>
          <w:iCs/>
          <w:sz w:val="22"/>
          <w:szCs w:val="22"/>
        </w:rPr>
        <w:t xml:space="preserve">Why first:</w:t>
      </w:r>
      <w:r>
        <w:rPr>
          <w:sz w:val="22"/>
          <w:szCs w:val="22"/>
        </w:rPr>
        <w:t xml:space="preserve"> The most complete published model of the TRPT system. Read this to understand the modular framework, the three model tiers, and the validated design drivers. Pay attention to the torsional stiffness derivation in §3 — this is the assumption KiteTurbineDynamics.jl replaces.</w:t>
      </w:r>
    </w:p>
    <w:p>
      <w:pPr>
        <w:spacing w:after="60"/>
      </w:pPr>
      <w:r>
        <w:t xml:space="preserve"/>
      </w:r>
    </w:p>
    <w:p>
      <w:pPr>
        <w:spacing w:after="120"/>
      </w:pPr>
      <w:r>
        <w:rPr>
          <w:b/>
          <w:bCs/>
          <w:sz w:val="22"/>
          <w:szCs w:val="22"/>
        </w:rPr>
        <w:t xml:space="preserve">2. </w:t>
      </w:r>
      <w:hyperlink w:history="1" r:id="rIdgsujpqhaqtt1zpvghjikc">
        <w:r>
          <w:rPr>
            <w:rStyle w:val="Hyperlink"/>
            <w:sz w:val="22"/>
            <w:szCs w:val="22"/>
          </w:rPr>
          <w:t xml:space="preserve">Tulloch et al. (2020) — Tensile rotary power transmission model development</w:t>
        </w:r>
      </w:hyperlink>
      <w:r>
        <w:rPr>
          <w:sz w:val="22"/>
          <w:szCs w:val="22"/>
        </w:rPr>
        <w:t xml:space="preserve"> (J. Physics: Conf. Series)</w:t>
      </w:r>
    </w:p>
    <w:p>
      <w:pPr>
        <w:spacing w:after="120"/>
      </w:pPr>
      <w:r>
        <w:rPr>
          <w:i/>
          <w:iCs/>
          <w:sz w:val="22"/>
          <w:szCs w:val="22"/>
        </w:rPr>
        <w:t xml:space="preserve">Why second:</w:t>
      </w:r>
      <w:r>
        <w:rPr>
          <w:sz w:val="22"/>
          <w:szCs w:val="22"/>
        </w:rPr>
        <w:t xml:space="preserve"> The original dynamic models paper. Note the bistability observation (two equilibrium states) — this is the control problem KiteTurbineDynamics.jl solves.</w:t>
      </w:r>
    </w:p>
    <w:p>
      <w:pPr>
        <w:spacing w:after="60"/>
      </w:pPr>
      <w:r>
        <w:t xml:space="preserve"/>
      </w:r>
    </w:p>
    <w:p>
      <w:pPr>
        <w:spacing w:after="120"/>
      </w:pPr>
      <w:r>
        <w:rPr>
          <w:b/>
          <w:bCs/>
          <w:sz w:val="22"/>
          <w:szCs w:val="22"/>
        </w:rPr>
        <w:t xml:space="preserve">3. </w:t>
      </w:r>
      <w:hyperlink w:history="1" r:id="rIdyomwbum4fnawyixtshqnl">
        <w:r>
          <w:rPr>
            <w:rStyle w:val="Hyperlink"/>
            <w:sz w:val="22"/>
            <w:szCs w:val="22"/>
          </w:rPr>
          <w:t xml:space="preserve">Sánchez-Arriaga et al. (2024) — Dynamic analysis of the tensegrity structure of a rotary AWE machine</w:t>
        </w:r>
      </w:hyperlink>
      <w:r>
        <w:rPr>
          <w:sz w:val="22"/>
          <w:szCs w:val="22"/>
        </w:rPr>
        <w:t xml:space="preserve"> (Wind Energy Science)</w:t>
      </w:r>
    </w:p>
    <w:p>
      <w:pPr>
        <w:spacing w:after="120"/>
      </w:pPr>
      <w:r>
        <w:rPr>
          <w:i/>
          <w:iCs/>
          <w:sz w:val="22"/>
          <w:szCs w:val="22"/>
        </w:rPr>
        <w:t xml:space="preserve">Why third:</w:t>
      </w:r>
      <w:r>
        <w:rPr>
          <w:sz w:val="22"/>
          <w:szCs w:val="22"/>
        </w:rPr>
        <w:t xml:space="preserve"> The alternative modelling approach (Cosserat FEM). Reading this alongside KiteTurbineDynamics.jl clarifies the trade-off: Cosserat is analytically elegant and resolves modal structure, but cannot detect topological changes (line slack). Focus on §4 (experimental collapse at 5 Hz) — KiteTurbineDynamics.jl can simulate this without the need for lab tests.</w:t>
      </w:r>
    </w:p>
    <w:p>
      <w:pPr>
        <w:spacing w:after="60"/>
      </w:pPr>
      <w:r>
        <w:t xml:space="preserve"/>
      </w:r>
    </w:p>
    <w:p>
      <w:pPr>
        <w:spacing w:after="120"/>
      </w:pPr>
      <w:r>
        <w:rPr>
          <w:b/>
          <w:bCs/>
          <w:sz w:val="22"/>
          <w:szCs w:val="22"/>
        </w:rPr>
        <w:t xml:space="preserve">4. </w:t>
      </w:r>
      <w:hyperlink w:history="1" r:id="rIdhjpbtgk8k_t2w2pmwvyz2">
        <w:r>
          <w:rPr>
            <w:rStyle w:val="Hyperlink"/>
            <w:sz w:val="22"/>
            <w:szCs w:val="22"/>
          </w:rPr>
          <w:t xml:space="preserve">Wacker et al. (2023) — New model for structural optimisation of AWES with rotary transmission</w:t>
        </w:r>
      </w:hyperlink>
      <w:r>
        <w:rPr>
          <w:sz w:val="22"/>
          <w:szCs w:val="22"/>
        </w:rPr>
        <w:t xml:space="preserve"> (J. Physics: Conf. Series)</w:t>
      </w:r>
    </w:p>
    <w:p>
      <w:pPr>
        <w:spacing w:after="120"/>
      </w:pPr>
      <w:r>
        <w:rPr>
          <w:i/>
          <w:iCs/>
          <w:sz w:val="22"/>
          <w:szCs w:val="22"/>
        </w:rPr>
        <w:t xml:space="preserve">Why fourth:</w:t>
      </w:r>
      <w:r>
        <w:rPr>
          <w:sz w:val="22"/>
          <w:szCs w:val="22"/>
        </w:rPr>
        <w:t xml:space="preserve"> The structural optimisation context. Demonstrates the design space for RAWES and establishes why power density per mass is the key metric. Read §5 on cross-wind and axial drag on tethers and frames.</w:t>
      </w:r>
    </w:p>
    <w:p>
      <w:pPr>
        <w:spacing w:after="60"/>
      </w:pPr>
      <w:r>
        <w:t xml:space="preserve"/>
      </w:r>
    </w:p>
    <w:p>
      <w:pPr>
        <w:spacing w:after="120"/>
      </w:pPr>
      <w:r>
        <w:rPr>
          <w:b/>
          <w:bCs/>
          <w:sz w:val="22"/>
          <w:szCs w:val="22"/>
        </w:rPr>
        <w:t xml:space="preserve">5. </w:t>
      </w:r>
      <w:hyperlink w:history="1" r:id="rIdijnvmt67mh5lmc1ufzlqs">
        <w:r>
          <w:rPr>
            <w:rStyle w:val="Hyperlink"/>
            <w:sz w:val="22"/>
            <w:szCs w:val="22"/>
          </w:rPr>
          <w:t xml:space="preserve">Vermillion et al. (2021) — Electricity in the air (AWE control systems survey)</w:t>
        </w:r>
      </w:hyperlink>
      <w:r>
        <w:rPr>
          <w:sz w:val="22"/>
          <w:szCs w:val="22"/>
        </w:rPr>
        <w:t xml:space="preserve"> (Annu. Rev. Control)</w:t>
      </w:r>
    </w:p>
    <w:p>
      <w:pPr>
        <w:spacing w:after="120"/>
      </w:pPr>
      <w:r>
        <w:rPr>
          <w:i/>
          <w:iCs/>
          <w:sz w:val="22"/>
          <w:szCs w:val="22"/>
        </w:rPr>
        <w:t xml:space="preserve">Why fifth:</w:t>
      </w:r>
      <w:r>
        <w:rPr>
          <w:sz w:val="22"/>
          <w:szCs w:val="22"/>
        </w:rPr>
        <w:t xml:space="preserve"> The broadest context for AWE as a field. Places rotary TRPT systems in the landscape of AWE technologies and control challenges. Especially useful for understanding how MPPT fits into the broader control architecture.</w:t>
      </w:r>
    </w:p>
    <w:p>
      <w:pPr>
        <w:pStyle w:val="Heading1"/>
        <w:spacing w:after="120" w:before="360"/>
      </w:pPr>
      <w:r>
        <w:rPr>
          <w:b/>
          <w:bCs/>
          <w:color w:val="1F4E79"/>
          <w:sz w:val="28"/>
          <w:szCs w:val="28"/>
        </w:rPr>
        <w:t xml:space="preserve">7. Open Questions and Research Gaps</w:t>
      </w:r>
    </w:p>
    <w:p>
      <w:pPr>
        <w:pStyle w:val="Heading2"/>
        <w:spacing w:after="80" w:before="280"/>
      </w:pPr>
      <w:r>
        <w:rPr>
          <w:b/>
          <w:bCs/>
          <w:color w:val="2E74B5"/>
          <w:sz w:val="24"/>
          <w:szCs w:val="24"/>
        </w:rPr>
        <w:t xml:space="preserve">7.1 Methodological Gaps in Prior Art</w:t>
      </w:r>
    </w:p>
    <w:p>
      <w:pPr>
        <w:pStyle w:val="ListParagraph"/>
        <w:numPr>
          <w:ilvl w:val="0"/>
          <w:numId w:val="2"/>
        </w:numPr>
        <w:spacing w:after="60"/>
      </w:pPr>
      <w:r>
        <w:rPr>
          <w:i/>
          <w:iCs/>
          <w:sz w:val="22"/>
          <w:szCs w:val="22"/>
        </w:rPr>
        <w:t xml:space="preserve">No transient multi-body TRPT simulator at sub-segment resolution.</w:t>
      </w:r>
      <w:r>
        <w:rPr>
          <w:sz w:val="22"/>
          <w:szCs w:val="22"/>
        </w:rPr>
        <w:t xml:space="preserve"> All prior dynamic TRPT models use analytical spring constants or continuum rod formulations. None resolve individual rope sub-segments.</w:t>
      </w:r>
    </w:p>
    <w:p>
      <w:pPr>
        <w:pStyle w:val="ListParagraph"/>
        <w:numPr>
          <w:ilvl w:val="0"/>
          <w:numId w:val="2"/>
        </w:numPr>
        <w:spacing w:after="60"/>
      </w:pPr>
      <w:r>
        <w:rPr>
          <w:i/>
          <w:iCs/>
          <w:sz w:val="22"/>
          <w:szCs w:val="22"/>
        </w:rPr>
        <w:t xml:space="preserve">No open-source TRPT simulation tool.</w:t>
      </w:r>
      <w:r>
        <w:rPr>
          <w:sz w:val="22"/>
          <w:szCs w:val="22"/>
        </w:rPr>
        <w:t xml:space="preserve"> The Strathclyde models (Tulloch 2020, 2023) are not publicly available. KiteTurbineDynamics.jl is the first open implementation.</w:t>
      </w:r>
    </w:p>
    <w:p>
      <w:pPr>
        <w:pStyle w:val="ListParagraph"/>
        <w:numPr>
          <w:ilvl w:val="0"/>
          <w:numId w:val="2"/>
        </w:numPr>
        <w:spacing w:after="60"/>
      </w:pPr>
      <w:r>
        <w:rPr>
          <w:i/>
          <w:iCs/>
          <w:sz w:val="22"/>
          <w:szCs w:val="22"/>
        </w:rPr>
        <w:t xml:space="preserve">No quantitative bistability resolution for TRPT control.</w:t>
      </w:r>
      <w:r>
        <w:rPr>
          <w:sz w:val="22"/>
          <w:szCs w:val="22"/>
        </w:rPr>
        <w:t xml:space="preserve"> The bistability observed in 2020 has no published fix in the TRPT literature.</w:t>
      </w:r>
    </w:p>
    <w:p>
      <w:pPr>
        <w:pStyle w:val="Heading2"/>
        <w:spacing w:after="80" w:before="280"/>
      </w:pPr>
      <w:r>
        <w:rPr>
          <w:b/>
          <w:bCs/>
          <w:color w:val="2E74B5"/>
          <w:sz w:val="24"/>
          <w:szCs w:val="24"/>
        </w:rPr>
        <w:t xml:space="preserve">7.2 Population / Context Gaps</w:t>
      </w:r>
    </w:p>
    <w:p>
      <w:pPr>
        <w:pStyle w:val="ListParagraph"/>
        <w:numPr>
          <w:ilvl w:val="0"/>
          <w:numId w:val="2"/>
        </w:numPr>
        <w:spacing w:after="60"/>
      </w:pPr>
      <w:r>
        <w:rPr>
          <w:i/>
          <w:iCs/>
          <w:sz w:val="22"/>
          <w:szCs w:val="22"/>
        </w:rPr>
        <w:t xml:space="preserve">Rotary lifter designs.</w:t>
      </w:r>
      <w:r>
        <w:rPr>
          <w:sz w:val="22"/>
          <w:szCs w:val="22"/>
        </w:rPr>
        <w:t xml:space="preserve"> Only passive parafoil lift kites have been field-tested. Rotary lifters and stacked kite cascades exist only in simulation.</w:t>
      </w:r>
    </w:p>
    <w:p>
      <w:pPr>
        <w:pStyle w:val="ListParagraph"/>
        <w:numPr>
          <w:ilvl w:val="0"/>
          <w:numId w:val="2"/>
        </w:numPr>
        <w:spacing w:after="60"/>
      </w:pPr>
      <w:r>
        <w:rPr>
          <w:i/>
          <w:iCs/>
          <w:sz w:val="22"/>
          <w:szCs w:val="22"/>
        </w:rPr>
        <w:t xml:space="preserve">Offshore and elevated deployments.</w:t>
      </w:r>
      <w:r>
        <w:rPr>
          <w:sz w:val="22"/>
          <w:szCs w:val="22"/>
        </w:rPr>
        <w:t xml:space="preserve"> No published study of TRPT systems in offshore or high-altitude (&gt; 200 m) configurations.</w:t>
      </w:r>
    </w:p>
    <w:p>
      <w:pPr>
        <w:pStyle w:val="ListParagraph"/>
        <w:numPr>
          <w:ilvl w:val="0"/>
          <w:numId w:val="2"/>
        </w:numPr>
        <w:spacing w:after="60"/>
      </w:pPr>
      <w:r>
        <w:rPr>
          <w:i/>
          <w:iCs/>
          <w:sz w:val="22"/>
          <w:szCs w:val="22"/>
        </w:rPr>
        <w:t xml:space="preserve">Multi-rotor TRPT stacks.</w:t>
      </w:r>
      <w:r>
        <w:rPr>
          <w:sz w:val="22"/>
          <w:szCs w:val="22"/>
        </w:rPr>
        <w:t xml:space="preserve"> The conical stack concept modelled in KiteTurbineDynamics.jl has no experimental precedent.</w:t>
      </w:r>
    </w:p>
    <w:p>
      <w:pPr>
        <w:pStyle w:val="Heading2"/>
        <w:spacing w:after="80" w:before="280"/>
      </w:pPr>
      <w:r>
        <w:rPr>
          <w:b/>
          <w:bCs/>
          <w:color w:val="2E74B5"/>
          <w:sz w:val="24"/>
          <w:szCs w:val="24"/>
        </w:rPr>
        <w:t xml:space="preserve">7.3 Conceptual Gaps</w:t>
      </w:r>
    </w:p>
    <w:p>
      <w:pPr>
        <w:pStyle w:val="ListParagraph"/>
        <w:numPr>
          <w:ilvl w:val="0"/>
          <w:numId w:val="2"/>
        </w:numPr>
        <w:spacing w:after="60"/>
      </w:pPr>
      <w:r>
        <w:rPr>
          <w:i/>
          <w:iCs/>
          <w:sz w:val="22"/>
          <w:szCs w:val="22"/>
        </w:rPr>
        <w:t xml:space="preserve">Torsional collapse boundary conditions.</w:t>
      </w:r>
      <w:r>
        <w:rPr>
          <w:sz w:val="22"/>
          <w:szCs w:val="22"/>
        </w:rPr>
        <w:t xml:space="preserve"> The Sánchez-Arriaga 2024 paper identifies a collapse frequency experimentally but does not connect this to rope geometry or tension level. KiteTurbineDynamics.jl could provide this mapping.</w:t>
      </w:r>
    </w:p>
    <w:p>
      <w:pPr>
        <w:pStyle w:val="ListParagraph"/>
        <w:numPr>
          <w:ilvl w:val="0"/>
          <w:numId w:val="2"/>
        </w:numPr>
        <w:spacing w:after="60"/>
      </w:pPr>
      <w:r>
        <w:rPr>
          <w:i/>
          <w:iCs/>
          <w:sz w:val="22"/>
          <w:szCs w:val="22"/>
        </w:rPr>
        <w:t xml:space="preserve">Wake effects in rotary AWES arrays.</w:t>
      </w:r>
      <w:r>
        <w:rPr>
          <w:sz w:val="22"/>
          <w:szCs w:val="22"/>
        </w:rPr>
        <w:t xml:space="preserve"> All TRPT models treat a single system. No wake interaction model exists for rotary kite turbine arrays.</w:t>
      </w:r>
    </w:p>
    <w:p>
      <w:pPr>
        <w:pStyle w:val="ListParagraph"/>
        <w:numPr>
          <w:ilvl w:val="0"/>
          <w:numId w:val="2"/>
        </w:numPr>
        <w:spacing w:after="60"/>
      </w:pPr>
      <w:r>
        <w:rPr>
          <w:i/>
          <w:iCs/>
          <w:sz w:val="22"/>
          <w:szCs w:val="22"/>
        </w:rPr>
        <w:t xml:space="preserve">Control under turbulence.</w:t>
      </w:r>
      <w:r>
        <w:rPr>
          <w:sz w:val="22"/>
          <w:szCs w:val="22"/>
        </w:rPr>
        <w:t xml:space="preserve"> The MPPT quadratic law is validated for deterministic ramp inputs. Stochastic wind (turbulence intensity I = 10–20%) interactions with torsional dynamics remain unstudied.</w:t>
      </w:r>
    </w:p>
    <w:p>
      <w:pPr>
        <w:pStyle w:val="Heading1"/>
        <w:spacing w:after="120" w:before="360"/>
      </w:pPr>
      <w:r>
        <w:rPr>
          <w:b/>
          <w:bCs/>
          <w:color w:val="1F4E79"/>
          <w:sz w:val="28"/>
          <w:szCs w:val="28"/>
        </w:rPr>
        <w:t xml:space="preserve">8. Bibliography</w:t>
      </w:r>
    </w:p>
    <w:p>
      <w:pPr>
        <w:spacing w:after="120"/>
      </w:pPr>
      <w:r>
        <w:rPr>
          <w:sz w:val="22"/>
          <w:szCs w:val="22"/>
        </w:rPr>
        <w:t xml:space="preserve">All papers retrieved via Consensus academic search, April 2026. Consensus URLs link directly to abstracts.</w:t>
      </w:r>
    </w:p>
    <w:p>
      <w:pPr>
        <w:spacing w:after="60"/>
      </w:pPr>
      <w:r>
        <w:t xml:space="preserve"/>
      </w:r>
    </w:p>
    <w:p>
      <w:pPr>
        <w:spacing w:after="120"/>
      </w:pPr>
      <w:r>
        <w:rPr>
          <w:b/>
          <w:bCs/>
          <w:sz w:val="22"/>
          <w:szCs w:val="22"/>
        </w:rPr>
        <w:t xml:space="preserve">Chen, Z. et al. (2024). </w:t>
      </w:r>
      <w:r>
        <w:rPr>
          <w:i/>
          <w:iCs/>
          <w:sz w:val="22"/>
          <w:szCs w:val="22"/>
        </w:rPr>
        <w:t xml:space="preserve">Understanding of Lift Kite Operation Requirements of a Rotary Kite Wind Turbine. </w:t>
      </w:r>
      <w:r>
        <w:rPr>
          <w:sz w:val="22"/>
          <w:szCs w:val="22"/>
        </w:rPr>
        <w:t xml:space="preserve">2024 29th International Conference on Automation and Computing (ICAC). </w:t>
      </w:r>
      <w:hyperlink w:history="1" r:id="rIdq0ikwdjwztsnxpnj_s_0m">
        <w:r>
          <w:rPr>
            <w:rStyle w:val="Hyperlink"/>
            <w:sz w:val="22"/>
            <w:szCs w:val="22"/>
          </w:rPr>
          <w:t xml:space="preserve">View on Consensus</w:t>
        </w:r>
      </w:hyperlink>
    </w:p>
    <w:p>
      <w:pPr>
        <w:spacing w:after="60"/>
      </w:pPr>
      <w:r>
        <w:t xml:space="preserve"/>
      </w:r>
    </w:p>
    <w:p>
      <w:pPr>
        <w:spacing w:after="120"/>
      </w:pPr>
      <w:r>
        <w:rPr>
          <w:b/>
          <w:bCs/>
          <w:sz w:val="22"/>
          <w:szCs w:val="22"/>
        </w:rPr>
        <w:t xml:space="preserve">De Schutter, J. et al. (2019). </w:t>
      </w:r>
      <w:r>
        <w:rPr>
          <w:i/>
          <w:iCs/>
          <w:sz w:val="22"/>
          <w:szCs w:val="22"/>
        </w:rPr>
        <w:t xml:space="preserve">Optimal control of stacked multi-kite systems for utility-scale airborne wind energy. </w:t>
      </w:r>
      <w:r>
        <w:rPr>
          <w:sz w:val="22"/>
          <w:szCs w:val="22"/>
        </w:rPr>
        <w:t xml:space="preserve">IEEE Conference on Decision and Control. </w:t>
      </w:r>
      <w:hyperlink w:history="1" r:id="rIdgvkpqlm9pfh4vk5aehcpg">
        <w:r>
          <w:rPr>
            <w:rStyle w:val="Hyperlink"/>
            <w:sz w:val="22"/>
            <w:szCs w:val="22"/>
          </w:rPr>
          <w:t xml:space="preserve">View on Consensus</w:t>
        </w:r>
      </w:hyperlink>
    </w:p>
    <w:p>
      <w:pPr>
        <w:spacing w:after="60"/>
      </w:pPr>
      <w:r>
        <w:t xml:space="preserve"/>
      </w:r>
    </w:p>
    <w:p>
      <w:pPr>
        <w:spacing w:after="120"/>
      </w:pPr>
      <w:r>
        <w:rPr>
          <w:b/>
          <w:bCs/>
          <w:sz w:val="22"/>
          <w:szCs w:val="22"/>
        </w:rPr>
        <w:t xml:space="preserve">De Schutter, J. et al. (2023). </w:t>
      </w:r>
      <w:r>
        <w:rPr>
          <w:i/>
          <w:iCs/>
          <w:sz w:val="22"/>
          <w:szCs w:val="22"/>
        </w:rPr>
        <w:t xml:space="preserve">AWEbox: An Optimal Control Framework for Single- and Multi-Aircraft Airborne Wind Energy Systems. </w:t>
      </w:r>
      <w:r>
        <w:rPr>
          <w:sz w:val="22"/>
          <w:szCs w:val="22"/>
        </w:rPr>
        <w:t xml:space="preserve">Energies 16(4). </w:t>
      </w:r>
      <w:hyperlink w:history="1" r:id="rId6mfu1_i49nubx9thqbb_x">
        <w:r>
          <w:rPr>
            <w:rStyle w:val="Hyperlink"/>
            <w:sz w:val="22"/>
            <w:szCs w:val="22"/>
          </w:rPr>
          <w:t xml:space="preserve">View on Consensus</w:t>
        </w:r>
      </w:hyperlink>
    </w:p>
    <w:p>
      <w:pPr>
        <w:spacing w:after="60"/>
      </w:pPr>
      <w:r>
        <w:t xml:space="preserve"/>
      </w:r>
    </w:p>
    <w:p>
      <w:pPr>
        <w:spacing w:after="120"/>
      </w:pPr>
      <w:r>
        <w:rPr>
          <w:b/>
          <w:bCs/>
          <w:sz w:val="22"/>
          <w:szCs w:val="22"/>
        </w:rPr>
        <w:t xml:space="preserve">Sánchez-Arriaga, G. et al. (2019). </w:t>
      </w:r>
      <w:r>
        <w:rPr>
          <w:i/>
          <w:iCs/>
          <w:sz w:val="22"/>
          <w:szCs w:val="22"/>
        </w:rPr>
        <w:t xml:space="preserve">A lagrangian flight simulator for airborne wind energy systems. </w:t>
      </w:r>
      <w:r>
        <w:rPr>
          <w:sz w:val="22"/>
          <w:szCs w:val="22"/>
        </w:rPr>
        <w:t xml:space="preserve">Applied Mathematical Modelling 69, 665–684. </w:t>
      </w:r>
      <w:hyperlink w:history="1" r:id="rIdu-mmd1qbiuxciu4seyd-f">
        <w:r>
          <w:rPr>
            <w:rStyle w:val="Hyperlink"/>
            <w:sz w:val="22"/>
            <w:szCs w:val="22"/>
          </w:rPr>
          <w:t xml:space="preserve">View on Consensus</w:t>
        </w:r>
      </w:hyperlink>
    </w:p>
    <w:p>
      <w:pPr>
        <w:spacing w:after="60"/>
      </w:pPr>
      <w:r>
        <w:t xml:space="preserve"/>
      </w:r>
    </w:p>
    <w:p>
      <w:pPr>
        <w:spacing w:after="120"/>
      </w:pPr>
      <w:r>
        <w:rPr>
          <w:b/>
          <w:bCs/>
          <w:sz w:val="22"/>
          <w:szCs w:val="22"/>
        </w:rPr>
        <w:t xml:space="preserve">Sánchez-Arriaga, G. et al. (2024). </w:t>
      </w:r>
      <w:r>
        <w:rPr>
          <w:i/>
          <w:iCs/>
          <w:sz w:val="22"/>
          <w:szCs w:val="22"/>
        </w:rPr>
        <w:t xml:space="preserve">Dynamic analysis of the tensegrity structure of a rotary airborne wind energy machine. </w:t>
      </w:r>
      <w:r>
        <w:rPr>
          <w:sz w:val="22"/>
          <w:szCs w:val="22"/>
        </w:rPr>
        <w:t xml:space="preserve">Wind Energy Science 9, 1273–1290. </w:t>
      </w:r>
      <w:hyperlink w:history="1" r:id="rIdawagqqfs291nbhrynwtmp">
        <w:r>
          <w:rPr>
            <w:rStyle w:val="Hyperlink"/>
            <w:sz w:val="22"/>
            <w:szCs w:val="22"/>
          </w:rPr>
          <w:t xml:space="preserve">View on Consensus</w:t>
        </w:r>
      </w:hyperlink>
    </w:p>
    <w:p>
      <w:pPr>
        <w:spacing w:after="60"/>
      </w:pPr>
      <w:r>
        <w:t xml:space="preserve"/>
      </w:r>
    </w:p>
    <w:p>
      <w:pPr>
        <w:spacing w:after="120"/>
      </w:pPr>
      <w:r>
        <w:rPr>
          <w:b/>
          <w:bCs/>
          <w:sz w:val="22"/>
          <w:szCs w:val="22"/>
        </w:rPr>
        <w:t xml:space="preserve">Tulloch, O. (2019). </w:t>
      </w:r>
      <w:r>
        <w:rPr>
          <w:i/>
          <w:iCs/>
          <w:sz w:val="22"/>
          <w:szCs w:val="22"/>
        </w:rPr>
        <w:t xml:space="preserve">Development of Safe and Efficient Operation for an Airborne Wind Energy (AWE) System — A Rotary Design. </w:t>
      </w:r>
      <w:r>
        <w:rPr>
          <w:sz w:val="22"/>
          <w:szCs w:val="22"/>
        </w:rPr>
        <w:t xml:space="preserve">PhD Year 2 Report, University of Strathclyde. </w:t>
      </w:r>
      <w:hyperlink w:history="1" r:id="rIdcyg2k-vba2bj-tkoic033">
        <w:r>
          <w:rPr>
            <w:rStyle w:val="Hyperlink"/>
            <w:sz w:val="22"/>
            <w:szCs w:val="22"/>
          </w:rPr>
          <w:t xml:space="preserve">View on Consensus</w:t>
        </w:r>
      </w:hyperlink>
    </w:p>
    <w:p>
      <w:pPr>
        <w:spacing w:after="60"/>
      </w:pPr>
      <w:r>
        <w:t xml:space="preserve"/>
      </w:r>
    </w:p>
    <w:p>
      <w:pPr>
        <w:spacing w:after="120"/>
      </w:pPr>
      <w:r>
        <w:rPr>
          <w:b/>
          <w:bCs/>
          <w:sz w:val="22"/>
          <w:szCs w:val="22"/>
        </w:rPr>
        <w:t xml:space="preserve">Tulloch, O. et al. (2020). </w:t>
      </w:r>
      <w:r>
        <w:rPr>
          <w:i/>
          <w:iCs/>
          <w:sz w:val="22"/>
          <w:szCs w:val="22"/>
        </w:rPr>
        <w:t xml:space="preserve">Tensile rotary power transmission model development for airborne wind energy systems. </w:t>
      </w:r>
      <w:r>
        <w:rPr>
          <w:sz w:val="22"/>
          <w:szCs w:val="22"/>
        </w:rPr>
        <w:t xml:space="preserve">Journal of Physics: Conference Series 1618. </w:t>
      </w:r>
      <w:hyperlink w:history="1" r:id="rIdckhuuh8171y4bsjimvz_k">
        <w:r>
          <w:rPr>
            <w:rStyle w:val="Hyperlink"/>
            <w:sz w:val="22"/>
            <w:szCs w:val="22"/>
          </w:rPr>
          <w:t xml:space="preserve">View on Consensus</w:t>
        </w:r>
      </w:hyperlink>
    </w:p>
    <w:p>
      <w:pPr>
        <w:spacing w:after="60"/>
      </w:pPr>
      <w:r>
        <w:t xml:space="preserve"/>
      </w:r>
    </w:p>
    <w:p>
      <w:pPr>
        <w:spacing w:after="120"/>
      </w:pPr>
      <w:r>
        <w:rPr>
          <w:b/>
          <w:bCs/>
          <w:sz w:val="22"/>
          <w:szCs w:val="22"/>
        </w:rPr>
        <w:t xml:space="preserve">Tulloch, O. et al. (2023). </w:t>
      </w:r>
      <w:r>
        <w:rPr>
          <w:i/>
          <w:iCs/>
          <w:sz w:val="22"/>
          <w:szCs w:val="22"/>
        </w:rPr>
        <w:t xml:space="preserve">A Tensile Rotary Airborne Wind Energy System — Modelling, Analysis and Improved Design. </w:t>
      </w:r>
      <w:r>
        <w:rPr>
          <w:sz w:val="22"/>
          <w:szCs w:val="22"/>
        </w:rPr>
        <w:t xml:space="preserve">Energies 16(1), 545. </w:t>
      </w:r>
      <w:hyperlink w:history="1" r:id="rIdtpoppqjf0iecfot7tefzf">
        <w:r>
          <w:rPr>
            <w:rStyle w:val="Hyperlink"/>
            <w:sz w:val="22"/>
            <w:szCs w:val="22"/>
          </w:rPr>
          <w:t xml:space="preserve">View on Consensus</w:t>
        </w:r>
      </w:hyperlink>
    </w:p>
    <w:p>
      <w:pPr>
        <w:spacing w:after="60"/>
      </w:pPr>
      <w:r>
        <w:t xml:space="preserve"/>
      </w:r>
    </w:p>
    <w:p>
      <w:pPr>
        <w:spacing w:after="120"/>
      </w:pPr>
      <w:r>
        <w:rPr>
          <w:b/>
          <w:bCs/>
          <w:sz w:val="22"/>
          <w:szCs w:val="22"/>
        </w:rPr>
        <w:t xml:space="preserve">Vermillion, C. et al. (2021). </w:t>
      </w:r>
      <w:r>
        <w:rPr>
          <w:i/>
          <w:iCs/>
          <w:sz w:val="22"/>
          <w:szCs w:val="22"/>
        </w:rPr>
        <w:t xml:space="preserve">Electricity in the air: Insights from two decades of advanced control research and experimental flight testing of airborne wind energy systems. </w:t>
      </w:r>
      <w:r>
        <w:rPr>
          <w:sz w:val="22"/>
          <w:szCs w:val="22"/>
        </w:rPr>
        <w:t xml:space="preserve">Annual Review of Control, Robotics, and Autonomous Systems 4, 606–630. </w:t>
      </w:r>
      <w:hyperlink w:history="1" r:id="rIdx8t9pqqy6uwoum_vsxvvv">
        <w:r>
          <w:rPr>
            <w:rStyle w:val="Hyperlink"/>
            <w:sz w:val="22"/>
            <w:szCs w:val="22"/>
          </w:rPr>
          <w:t xml:space="preserve">View on Consensus</w:t>
        </w:r>
      </w:hyperlink>
    </w:p>
    <w:p>
      <w:pPr>
        <w:spacing w:after="60"/>
      </w:pPr>
      <w:r>
        <w:t xml:space="preserve"/>
      </w:r>
    </w:p>
    <w:p>
      <w:pPr>
        <w:spacing w:after="120"/>
      </w:pPr>
      <w:r>
        <w:rPr>
          <w:b/>
          <w:bCs/>
          <w:sz w:val="22"/>
          <w:szCs w:val="22"/>
        </w:rPr>
        <w:t xml:space="preserve">Wacker, J. et al. (2023). </w:t>
      </w:r>
      <w:r>
        <w:rPr>
          <w:i/>
          <w:iCs/>
          <w:sz w:val="22"/>
          <w:szCs w:val="22"/>
        </w:rPr>
        <w:t xml:space="preserve">New model for structural optimisation of airborne wind energy systems with rotary transmission. </w:t>
      </w:r>
      <w:r>
        <w:rPr>
          <w:sz w:val="22"/>
          <w:szCs w:val="22"/>
        </w:rPr>
        <w:t xml:space="preserve">Journal of Physics: Conference Series 2626. </w:t>
      </w:r>
      <w:hyperlink w:history="1" r:id="rIdawo9m7gy6ld69trh0fv1v">
        <w:r>
          <w:rPr>
            <w:rStyle w:val="Hyperlink"/>
            <w:sz w:val="22"/>
            <w:szCs w:val="22"/>
          </w:rPr>
          <w:t xml:space="preserve">View on Consensus</w:t>
        </w:r>
      </w:hyperlink>
    </w:p>
    <w:p>
      <w:pPr>
        <w:spacing w:after="60"/>
      </w:pPr>
      <w:r>
        <w:t xml:space="preserve"/>
      </w:r>
    </w:p>
    <w:p>
      <w:pPr>
        <w:pStyle w:val="Heading1"/>
        <w:spacing w:after="120" w:before="360"/>
      </w:pPr>
      <w:r>
        <w:rPr>
          <w:b/>
          <w:bCs/>
          <w:color w:val="1F4E79"/>
          <w:sz w:val="28"/>
          <w:szCs w:val="28"/>
        </w:rPr>
        <w:t xml:space="preserve">9. Search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400"/>
        <w:gridCol w:w="2560"/>
      </w:tblGrid>
      <w:tr>
        <w:trPr>
          <w:tblHeader/>
        </w:trPr>
        <w:tc>
          <w:tcPr>
            <w:tcW w:type="dxa" w:w="400"/>
            <w:shd w:fill="1F4E79" w:val="clear"/>
            <w:tcMar>
              <w:top w:type="dxa" w:w="80"/>
              <w:left w:type="dxa" w:w="120"/>
              <w:bottom w:type="dxa" w:w="80"/>
              <w:right w:type="dxa" w:w="120"/>
            </w:tcMar>
          </w:tcPr>
          <w:p>
            <w:r>
              <w:rPr>
                <w:b/>
                <w:bCs/>
                <w:color w:val="FFFFFF"/>
                <w:sz w:val="20"/>
                <w:szCs w:val="20"/>
              </w:rPr>
              <w:t xml:space="preserve">#</w:t>
            </w:r>
          </w:p>
        </w:tc>
        <w:tc>
          <w:tcPr>
            <w:tcW w:type="dxa" w:w="4000"/>
            <w:shd w:fill="1F4E79" w:val="clear"/>
            <w:tcMar>
              <w:top w:type="dxa" w:w="80"/>
              <w:left w:type="dxa" w:w="120"/>
              <w:bottom w:type="dxa" w:w="80"/>
              <w:right w:type="dxa" w:w="120"/>
            </w:tcMar>
          </w:tcPr>
          <w:p>
            <w:r>
              <w:rPr>
                <w:b/>
                <w:bCs/>
                <w:color w:val="FFFFFF"/>
                <w:sz w:val="20"/>
                <w:szCs w:val="20"/>
              </w:rPr>
              <w:t xml:space="preserve">Query</w:t>
            </w:r>
          </w:p>
        </w:tc>
        <w:tc>
          <w:tcPr>
            <w:tcW w:type="dxa" w:w="2400"/>
            <w:shd w:fill="1F4E79" w:val="clear"/>
            <w:tcMar>
              <w:top w:type="dxa" w:w="80"/>
              <w:left w:type="dxa" w:w="120"/>
              <w:bottom w:type="dxa" w:w="80"/>
              <w:right w:type="dxa" w:w="120"/>
            </w:tcMar>
          </w:tcPr>
          <w:p>
            <w:r>
              <w:rPr>
                <w:b/>
                <w:bCs/>
                <w:color w:val="FFFFFF"/>
                <w:sz w:val="20"/>
                <w:szCs w:val="20"/>
              </w:rPr>
              <w:t xml:space="preserve">Filters</w:t>
            </w:r>
          </w:p>
        </w:tc>
        <w:tc>
          <w:tcPr>
            <w:tcW w:type="dxa" w:w="2560"/>
            <w:shd w:fill="1F4E79" w:val="clear"/>
            <w:tcMar>
              <w:top w:type="dxa" w:w="80"/>
              <w:left w:type="dxa" w:w="120"/>
              <w:bottom w:type="dxa" w:w="80"/>
              <w:right w:type="dxa" w:w="120"/>
            </w:tcMar>
          </w:tcPr>
          <w:p>
            <w:r>
              <w:rPr>
                <w:b/>
                <w:bCs/>
                <w:color w:val="FFFFFF"/>
                <w:sz w:val="20"/>
                <w:szCs w:val="20"/>
              </w:rPr>
              <w:t xml:space="preserve">Papers Returned</w:t>
            </w:r>
          </w:p>
        </w:tc>
      </w:tr>
      <w:tr>
        <w:tc>
          <w:tcPr>
            <w:tcW w:type="dxa" w:w="400"/>
            <w:shd w:fill="EBF3FA" w:val="clear"/>
            <w:tcMar>
              <w:top w:type="dxa" w:w="80"/>
              <w:left w:type="dxa" w:w="120"/>
              <w:bottom w:type="dxa" w:w="80"/>
              <w:right w:type="dxa" w:w="120"/>
            </w:tcMar>
          </w:tcPr>
          <w:p>
            <w:r>
              <w:rPr>
                <w:sz w:val="20"/>
                <w:szCs w:val="20"/>
              </w:rPr>
              <w:t xml:space="preserve">1</w:t>
            </w:r>
          </w:p>
        </w:tc>
        <w:tc>
          <w:tcPr>
            <w:tcW w:type="dxa" w:w="4000"/>
            <w:shd w:fill="EBF3FA" w:val="clear"/>
            <w:tcMar>
              <w:top w:type="dxa" w:w="80"/>
              <w:left w:type="dxa" w:w="120"/>
              <w:bottom w:type="dxa" w:w="80"/>
              <w:right w:type="dxa" w:w="120"/>
            </w:tcMar>
          </w:tcPr>
          <w:p>
            <w:r>
              <w:rPr>
                <w:sz w:val="20"/>
                <w:szCs w:val="20"/>
              </w:rPr>
              <w:t xml:space="preserve">TRPT tensile rotary power transmission kite turbine dynamics simulation</w:t>
            </w:r>
          </w:p>
        </w:tc>
        <w:tc>
          <w:tcPr>
            <w:tcW w:type="dxa" w:w="2400"/>
            <w:shd w:fill="EBF3FA" w:val="clear"/>
            <w:tcMar>
              <w:top w:type="dxa" w:w="80"/>
              <w:left w:type="dxa" w:w="120"/>
              <w:bottom w:type="dxa" w:w="80"/>
              <w:right w:type="dxa" w:w="120"/>
            </w:tcMar>
          </w:tcPr>
          <w:p>
            <w:r>
              <w:rPr>
                <w:sz w:val="20"/>
                <w:szCs w:val="20"/>
              </w:rPr>
              <w:t xml:space="preserve">year_min: 2015</w:t>
            </w:r>
          </w:p>
        </w:tc>
        <w:tc>
          <w:tcPr>
            <w:tcW w:type="dxa" w:w="2560"/>
            <w:shd w:fill="EBF3FA" w:val="clear"/>
            <w:tcMar>
              <w:top w:type="dxa" w:w="80"/>
              <w:left w:type="dxa" w:w="120"/>
              <w:bottom w:type="dxa" w:w="80"/>
              <w:right w:type="dxa" w:w="120"/>
            </w:tcMar>
          </w:tcPr>
          <w:p>
            <w:r>
              <w:rPr>
                <w:sz w:val="20"/>
                <w:szCs w:val="20"/>
              </w:rPr>
              <w:t xml:space="preserve">10 (capped, free tier)</w:t>
            </w:r>
          </w:p>
        </w:tc>
      </w:tr>
      <w:tr>
        <w:tc>
          <w:tcPr>
            <w:tcW w:type="dxa" w:w="400"/>
            <w:shd w:fill="FFFFFF" w:val="clear"/>
            <w:tcMar>
              <w:top w:type="dxa" w:w="80"/>
              <w:left w:type="dxa" w:w="120"/>
              <w:bottom w:type="dxa" w:w="80"/>
              <w:right w:type="dxa" w:w="120"/>
            </w:tcMar>
          </w:tcPr>
          <w:p>
            <w:r>
              <w:rPr>
                <w:sz w:val="20"/>
                <w:szCs w:val="20"/>
              </w:rPr>
              <w:t xml:space="preserve">2</w:t>
            </w:r>
          </w:p>
        </w:tc>
        <w:tc>
          <w:tcPr>
            <w:tcW w:type="dxa" w:w="4000"/>
            <w:shd w:fill="FFFFFF" w:val="clear"/>
            <w:tcMar>
              <w:top w:type="dxa" w:w="80"/>
              <w:left w:type="dxa" w:w="120"/>
              <w:bottom w:type="dxa" w:w="80"/>
              <w:right w:type="dxa" w:w="120"/>
            </w:tcMar>
          </w:tcPr>
          <w:p>
            <w:r>
              <w:rPr>
                <w:sz w:val="20"/>
                <w:szCs w:val="20"/>
              </w:rPr>
              <w:t xml:space="preserve">rotary airborne wind energy system multi-body dynamics model</w:t>
            </w:r>
          </w:p>
        </w:tc>
        <w:tc>
          <w:tcPr>
            <w:tcW w:type="dxa" w:w="2400"/>
            <w:shd w:fill="FFFFFF" w:val="clear"/>
            <w:tcMar>
              <w:top w:type="dxa" w:w="80"/>
              <w:left w:type="dxa" w:w="120"/>
              <w:bottom w:type="dxa" w:w="80"/>
              <w:right w:type="dxa" w:w="120"/>
            </w:tcMar>
          </w:tcPr>
          <w:p>
            <w:r>
              <w:rPr>
                <w:sz w:val="20"/>
                <w:szCs w:val="20"/>
              </w:rPr>
              <w:t xml:space="preserve">year_min: 2015</w:t>
            </w:r>
          </w:p>
        </w:tc>
        <w:tc>
          <w:tcPr>
            <w:tcW w:type="dxa" w:w="2560"/>
            <w:shd w:fill="FFFFFF" w:val="clear"/>
            <w:tcMar>
              <w:top w:type="dxa" w:w="80"/>
              <w:left w:type="dxa" w:w="120"/>
              <w:bottom w:type="dxa" w:w="80"/>
              <w:right w:type="dxa" w:w="120"/>
            </w:tcMar>
          </w:tcPr>
          <w:p>
            <w:r>
              <w:rPr>
                <w:sz w:val="20"/>
                <w:szCs w:val="20"/>
              </w:rPr>
              <w:t xml:space="preserve">10</w:t>
            </w:r>
          </w:p>
        </w:tc>
      </w:tr>
      <w:tr>
        <w:tc>
          <w:tcPr>
            <w:tcW w:type="dxa" w:w="400"/>
            <w:shd w:fill="EBF3FA" w:val="clear"/>
            <w:tcMar>
              <w:top w:type="dxa" w:w="80"/>
              <w:left w:type="dxa" w:w="120"/>
              <w:bottom w:type="dxa" w:w="80"/>
              <w:right w:type="dxa" w:w="120"/>
            </w:tcMar>
          </w:tcPr>
          <w:p>
            <w:r>
              <w:rPr>
                <w:sz w:val="20"/>
                <w:szCs w:val="20"/>
              </w:rPr>
              <w:t xml:space="preserve">3</w:t>
            </w:r>
          </w:p>
        </w:tc>
        <w:tc>
          <w:tcPr>
            <w:tcW w:type="dxa" w:w="4000"/>
            <w:shd w:fill="EBF3FA" w:val="clear"/>
            <w:tcMar>
              <w:top w:type="dxa" w:w="80"/>
              <w:left w:type="dxa" w:w="120"/>
              <w:bottom w:type="dxa" w:w="80"/>
              <w:right w:type="dxa" w:w="120"/>
            </w:tcMar>
          </w:tcPr>
          <w:p>
            <w:r>
              <w:rPr>
                <w:sz w:val="20"/>
                <w:szCs w:val="20"/>
              </w:rPr>
              <w:t xml:space="preserve">airborne wind energy tether torque transmission structural dynamics</w:t>
            </w:r>
          </w:p>
        </w:tc>
        <w:tc>
          <w:tcPr>
            <w:tcW w:type="dxa" w:w="2400"/>
            <w:shd w:fill="EBF3FA" w:val="clear"/>
            <w:tcMar>
              <w:top w:type="dxa" w:w="80"/>
              <w:left w:type="dxa" w:w="120"/>
              <w:bottom w:type="dxa" w:w="80"/>
              <w:right w:type="dxa" w:w="120"/>
            </w:tcMar>
          </w:tcPr>
          <w:p>
            <w:r>
              <w:rPr>
                <w:sz w:val="20"/>
                <w:szCs w:val="20"/>
              </w:rPr>
              <w:t xml:space="preserve">year_min: 2015</w:t>
            </w:r>
          </w:p>
        </w:tc>
        <w:tc>
          <w:tcPr>
            <w:tcW w:type="dxa" w:w="2560"/>
            <w:shd w:fill="EBF3FA" w:val="clear"/>
            <w:tcMar>
              <w:top w:type="dxa" w:w="80"/>
              <w:left w:type="dxa" w:w="120"/>
              <w:bottom w:type="dxa" w:w="80"/>
              <w:right w:type="dxa" w:w="120"/>
            </w:tcMar>
          </w:tcPr>
          <w:p>
            <w:r>
              <w:rPr>
                <w:sz w:val="20"/>
                <w:szCs w:val="20"/>
              </w:rPr>
              <w:t xml:space="preserve">10</w:t>
            </w:r>
          </w:p>
        </w:tc>
      </w:tr>
      <w:tr>
        <w:tc>
          <w:tcPr>
            <w:tcW w:type="dxa" w:w="400"/>
            <w:shd w:fill="FFFFFF" w:val="clear"/>
            <w:tcMar>
              <w:top w:type="dxa" w:w="80"/>
              <w:left w:type="dxa" w:w="120"/>
              <w:bottom w:type="dxa" w:w="80"/>
              <w:right w:type="dxa" w:w="120"/>
            </w:tcMar>
          </w:tcPr>
          <w:p>
            <w:r>
              <w:rPr>
                <w:sz w:val="20"/>
                <w:szCs w:val="20"/>
              </w:rPr>
              <w:t xml:space="preserve">4</w:t>
            </w:r>
          </w:p>
        </w:tc>
        <w:tc>
          <w:tcPr>
            <w:tcW w:type="dxa" w:w="4000"/>
            <w:shd w:fill="FFFFFF" w:val="clear"/>
            <w:tcMar>
              <w:top w:type="dxa" w:w="80"/>
              <w:left w:type="dxa" w:w="120"/>
              <w:bottom w:type="dxa" w:w="80"/>
              <w:right w:type="dxa" w:w="120"/>
            </w:tcMar>
          </w:tcPr>
          <w:p>
            <w:r>
              <w:rPr>
                <w:sz w:val="20"/>
                <w:szCs w:val="20"/>
              </w:rPr>
              <w:t xml:space="preserve">maximum power point tracking MPPT quadratic torque control rotary airborne wind energy</w:t>
            </w:r>
          </w:p>
        </w:tc>
        <w:tc>
          <w:tcPr>
            <w:tcW w:type="dxa" w:w="2400"/>
            <w:shd w:fill="FFFFFF" w:val="clear"/>
            <w:tcMar>
              <w:top w:type="dxa" w:w="80"/>
              <w:left w:type="dxa" w:w="120"/>
              <w:bottom w:type="dxa" w:w="80"/>
              <w:right w:type="dxa" w:w="120"/>
            </w:tcMar>
          </w:tcPr>
          <w:p>
            <w:r>
              <w:rPr>
                <w:sz w:val="20"/>
                <w:szCs w:val="20"/>
              </w:rPr>
              <w:t xml:space="preserve">year_min: 2015</w:t>
            </w:r>
          </w:p>
        </w:tc>
        <w:tc>
          <w:tcPr>
            <w:tcW w:type="dxa" w:w="2560"/>
            <w:shd w:fill="FFFFFF" w:val="clear"/>
            <w:tcMar>
              <w:top w:type="dxa" w:w="80"/>
              <w:left w:type="dxa" w:w="120"/>
              <w:bottom w:type="dxa" w:w="80"/>
              <w:right w:type="dxa" w:w="120"/>
            </w:tcMar>
          </w:tcPr>
          <w:p>
            <w:r>
              <w:rPr>
                <w:sz w:val="20"/>
                <w:szCs w:val="20"/>
              </w:rPr>
              <w:t xml:space="preserve">10</w:t>
            </w:r>
          </w:p>
        </w:tc>
      </w:tr>
      <w:tr>
        <w:tc>
          <w:tcPr>
            <w:tcW w:type="dxa" w:w="400"/>
            <w:shd w:fill="EBF3FA" w:val="clear"/>
            <w:tcMar>
              <w:top w:type="dxa" w:w="80"/>
              <w:left w:type="dxa" w:w="120"/>
              <w:bottom w:type="dxa" w:w="80"/>
              <w:right w:type="dxa" w:w="120"/>
            </w:tcMar>
          </w:tcPr>
          <w:p>
            <w:r>
              <w:rPr>
                <w:sz w:val="20"/>
                <w:szCs w:val="20"/>
              </w:rPr>
              <w:t xml:space="preserve">5</w:t>
            </w:r>
          </w:p>
        </w:tc>
        <w:tc>
          <w:tcPr>
            <w:tcW w:type="dxa" w:w="4000"/>
            <w:shd w:fill="EBF3FA" w:val="clear"/>
            <w:tcMar>
              <w:top w:type="dxa" w:w="80"/>
              <w:left w:type="dxa" w:w="120"/>
              <w:bottom w:type="dxa" w:w="80"/>
              <w:right w:type="dxa" w:w="120"/>
            </w:tcMar>
          </w:tcPr>
          <w:p>
            <w:r>
              <w:rPr>
                <w:sz w:val="20"/>
                <w:szCs w:val="20"/>
              </w:rPr>
              <w:t xml:space="preserve">Daisy kite turbine Windswept Interesting rotary AWE prototype field test</w:t>
            </w:r>
          </w:p>
        </w:tc>
        <w:tc>
          <w:tcPr>
            <w:tcW w:type="dxa" w:w="2400"/>
            <w:shd w:fill="EBF3FA" w:val="clear"/>
            <w:tcMar>
              <w:top w:type="dxa" w:w="80"/>
              <w:left w:type="dxa" w:w="120"/>
              <w:bottom w:type="dxa" w:w="80"/>
              <w:right w:type="dxa" w:w="120"/>
            </w:tcMar>
          </w:tcPr>
          <w:p>
            <w:r>
              <w:rPr>
                <w:sz w:val="20"/>
                <w:szCs w:val="20"/>
              </w:rPr>
              <w:t xml:space="preserve">none</w:t>
            </w:r>
          </w:p>
        </w:tc>
        <w:tc>
          <w:tcPr>
            <w:tcW w:type="dxa" w:w="2560"/>
            <w:shd w:fill="EBF3FA" w:val="clear"/>
            <w:tcMar>
              <w:top w:type="dxa" w:w="80"/>
              <w:left w:type="dxa" w:w="120"/>
              <w:bottom w:type="dxa" w:w="80"/>
              <w:right w:type="dxa" w:w="120"/>
            </w:tcMar>
          </w:tcPr>
          <w:p>
            <w:r>
              <w:rPr>
                <w:sz w:val="20"/>
                <w:szCs w:val="20"/>
              </w:rPr>
              <w:t xml:space="preserve">10</w:t>
            </w:r>
          </w:p>
        </w:tc>
      </w:tr>
      <w:tr>
        <w:tc>
          <w:tcPr>
            <w:tcW w:type="dxa" w:w="400"/>
            <w:shd w:fill="FFFFFF" w:val="clear"/>
            <w:tcMar>
              <w:top w:type="dxa" w:w="80"/>
              <w:left w:type="dxa" w:w="120"/>
              <w:bottom w:type="dxa" w:w="80"/>
              <w:right w:type="dxa" w:w="120"/>
            </w:tcMar>
          </w:tcPr>
          <w:p>
            <w:r>
              <w:rPr>
                <w:sz w:val="20"/>
                <w:szCs w:val="20"/>
              </w:rPr>
              <w:t xml:space="preserve">6</w:t>
            </w:r>
          </w:p>
        </w:tc>
        <w:tc>
          <w:tcPr>
            <w:tcW w:type="dxa" w:w="4000"/>
            <w:shd w:fill="FFFFFF" w:val="clear"/>
            <w:tcMar>
              <w:top w:type="dxa" w:w="80"/>
              <w:left w:type="dxa" w:w="120"/>
              <w:bottom w:type="dxa" w:w="80"/>
              <w:right w:type="dxa" w:w="120"/>
            </w:tcMar>
          </w:tcPr>
          <w:p>
            <w:r>
              <w:rPr>
                <w:sz w:val="20"/>
                <w:szCs w:val="20"/>
              </w:rPr>
              <w:t xml:space="preserve">tensegrity structure torsional collapse line slack airborne wind energy failure mode</w:t>
            </w:r>
          </w:p>
        </w:tc>
        <w:tc>
          <w:tcPr>
            <w:tcW w:type="dxa" w:w="2400"/>
            <w:shd w:fill="FFFFFF" w:val="clear"/>
            <w:tcMar>
              <w:top w:type="dxa" w:w="80"/>
              <w:left w:type="dxa" w:w="120"/>
              <w:bottom w:type="dxa" w:w="80"/>
              <w:right w:type="dxa" w:w="120"/>
            </w:tcMar>
          </w:tcPr>
          <w:p>
            <w:r>
              <w:rPr>
                <w:sz w:val="20"/>
                <w:szCs w:val="20"/>
              </w:rPr>
              <w:t xml:space="preserve">year_min: 2018</w:t>
            </w:r>
          </w:p>
        </w:tc>
        <w:tc>
          <w:tcPr>
            <w:tcW w:type="dxa" w:w="2560"/>
            <w:shd w:fill="FFFFFF" w:val="clear"/>
            <w:tcMar>
              <w:top w:type="dxa" w:w="80"/>
              <w:left w:type="dxa" w:w="120"/>
              <w:bottom w:type="dxa" w:w="80"/>
              <w:right w:type="dxa" w:w="120"/>
            </w:tcMar>
          </w:tcPr>
          <w:p>
            <w:r>
              <w:rPr>
                <w:sz w:val="20"/>
                <w:szCs w:val="20"/>
              </w:rPr>
              <w:t xml:space="preserve">10</w:t>
            </w:r>
          </w:p>
        </w:tc>
      </w:tr>
      <w:tr>
        <w:tc>
          <w:tcPr>
            <w:tcW w:type="dxa" w:w="400"/>
            <w:shd w:fill="EBF3FA" w:val="clear"/>
            <w:tcMar>
              <w:top w:type="dxa" w:w="80"/>
              <w:left w:type="dxa" w:w="120"/>
              <w:bottom w:type="dxa" w:w="80"/>
              <w:right w:type="dxa" w:w="120"/>
            </w:tcMar>
          </w:tcPr>
          <w:p>
            <w:r>
              <w:rPr>
                <w:sz w:val="20"/>
                <w:szCs w:val="20"/>
              </w:rPr>
              <w:t xml:space="preserve">7</w:t>
            </w:r>
          </w:p>
        </w:tc>
        <w:tc>
          <w:tcPr>
            <w:tcW w:type="dxa" w:w="4000"/>
            <w:shd w:fill="EBF3FA" w:val="clear"/>
            <w:tcMar>
              <w:top w:type="dxa" w:w="80"/>
              <w:left w:type="dxa" w:w="120"/>
              <w:bottom w:type="dxa" w:w="80"/>
              <w:right w:type="dxa" w:w="120"/>
            </w:tcMar>
          </w:tcPr>
          <w:p>
            <w:r>
              <w:rPr>
                <w:sz w:val="20"/>
                <w:szCs w:val="20"/>
              </w:rPr>
              <w:t xml:space="preserve">stacked multi-rotor airborne wind energy system wind shear power density</w:t>
            </w:r>
          </w:p>
        </w:tc>
        <w:tc>
          <w:tcPr>
            <w:tcW w:type="dxa" w:w="2400"/>
            <w:shd w:fill="EBF3FA" w:val="clear"/>
            <w:tcMar>
              <w:top w:type="dxa" w:w="80"/>
              <w:left w:type="dxa" w:w="120"/>
              <w:bottom w:type="dxa" w:w="80"/>
              <w:right w:type="dxa" w:w="120"/>
            </w:tcMar>
          </w:tcPr>
          <w:p>
            <w:r>
              <w:rPr>
                <w:sz w:val="20"/>
                <w:szCs w:val="20"/>
              </w:rPr>
              <w:t xml:space="preserve">year_min: 2017</w:t>
            </w:r>
          </w:p>
        </w:tc>
        <w:tc>
          <w:tcPr>
            <w:tcW w:type="dxa" w:w="2560"/>
            <w:shd w:fill="EBF3FA" w:val="clear"/>
            <w:tcMar>
              <w:top w:type="dxa" w:w="80"/>
              <w:left w:type="dxa" w:w="120"/>
              <w:bottom w:type="dxa" w:w="80"/>
              <w:right w:type="dxa" w:w="120"/>
            </w:tcMar>
          </w:tcPr>
          <w:p>
            <w:r>
              <w:rPr>
                <w:sz w:val="20"/>
                <w:szCs w:val="20"/>
              </w:rPr>
              <w:t xml:space="preserve">10</w:t>
            </w:r>
          </w:p>
        </w:tc>
      </w:tr>
      <w:tr>
        <w:tc>
          <w:tcPr>
            <w:tcW w:type="dxa" w:w="400"/>
            <w:shd w:fill="FFFFFF" w:val="clear"/>
            <w:tcMar>
              <w:top w:type="dxa" w:w="80"/>
              <w:left w:type="dxa" w:w="120"/>
              <w:bottom w:type="dxa" w:w="80"/>
              <w:right w:type="dxa" w:w="120"/>
            </w:tcMar>
          </w:tcPr>
          <w:p>
            <w:r>
              <w:rPr>
                <w:sz w:val="20"/>
                <w:szCs w:val="20"/>
              </w:rPr>
              <w:t xml:space="preserve">8</w:t>
            </w:r>
          </w:p>
        </w:tc>
        <w:tc>
          <w:tcPr>
            <w:tcW w:type="dxa" w:w="4000"/>
            <w:shd w:fill="FFFFFF" w:val="clear"/>
            <w:tcMar>
              <w:top w:type="dxa" w:w="80"/>
              <w:left w:type="dxa" w:w="120"/>
              <w:bottom w:type="dxa" w:w="80"/>
              <w:right w:type="dxa" w:w="120"/>
            </w:tcMar>
          </w:tcPr>
          <w:p>
            <w:r>
              <w:rPr>
                <w:sz w:val="20"/>
                <w:szCs w:val="20"/>
              </w:rPr>
              <w:t xml:space="preserve">Cosserat rod model tensegrity helix torsion AWE versus lumped mass spring damper</w:t>
            </w:r>
          </w:p>
        </w:tc>
        <w:tc>
          <w:tcPr>
            <w:tcW w:type="dxa" w:w="2400"/>
            <w:shd w:fill="FFFFFF" w:val="clear"/>
            <w:tcMar>
              <w:top w:type="dxa" w:w="80"/>
              <w:left w:type="dxa" w:w="120"/>
              <w:bottom w:type="dxa" w:w="80"/>
              <w:right w:type="dxa" w:w="120"/>
            </w:tcMar>
          </w:tcPr>
          <w:p>
            <w:r>
              <w:rPr>
                <w:sz w:val="20"/>
                <w:szCs w:val="20"/>
              </w:rPr>
              <w:t xml:space="preserve">year_min: 2019</w:t>
            </w:r>
          </w:p>
        </w:tc>
        <w:tc>
          <w:tcPr>
            <w:tcW w:type="dxa" w:w="2560"/>
            <w:shd w:fill="FFFFFF" w:val="clear"/>
            <w:tcMar>
              <w:top w:type="dxa" w:w="80"/>
              <w:left w:type="dxa" w:w="120"/>
              <w:bottom w:type="dxa" w:w="80"/>
              <w:right w:type="dxa" w:w="120"/>
            </w:tcMar>
          </w:tcPr>
          <w:p>
            <w:r>
              <w:rPr>
                <w:sz w:val="20"/>
                <w:szCs w:val="20"/>
              </w:rPr>
              <w:t xml:space="preserve">10</w:t>
            </w:r>
          </w:p>
        </w:tc>
      </w:tr>
    </w:tbl>
    <w:p>
      <w:pPr>
        <w:spacing w:after="60"/>
      </w:pPr>
      <w:r>
        <w:t xml:space="preserve"/>
      </w:r>
    </w:p>
    <w:p>
      <w:pPr>
        <w:spacing w:after="120"/>
      </w:pPr>
      <w:r>
        <w:rPr>
          <w:b/>
          <w:bCs/>
          <w:sz w:val="22"/>
          <w:szCs w:val="22"/>
        </w:rPr>
        <w:t xml:space="preserve">Searches executed: </w:t>
      </w:r>
      <w:r>
        <w:rPr>
          <w:sz w:val="22"/>
          <w:szCs w:val="22"/>
        </w:rPr>
        <w:t xml:space="preserve">8  ·  </w:t>
      </w:r>
      <w:r>
        <w:rPr>
          <w:b/>
          <w:bCs/>
          <w:sz w:val="22"/>
          <w:szCs w:val="22"/>
        </w:rPr>
        <w:t xml:space="preserve">Unique papers received (deduplicated): </w:t>
      </w:r>
      <w:r>
        <w:rPr>
          <w:sz w:val="22"/>
          <w:szCs w:val="22"/>
        </w:rPr>
        <w:t xml:space="preserve">~45  ·  </w:t>
      </w:r>
      <w:r>
        <w:rPr>
          <w:b/>
          <w:bCs/>
          <w:sz w:val="22"/>
          <w:szCs w:val="22"/>
        </w:rPr>
        <w:t xml:space="preserve">Papers cited: </w:t>
      </w:r>
      <w:r>
        <w:rPr>
          <w:sz w:val="22"/>
          <w:szCs w:val="22"/>
        </w:rPr>
        <w:t xml:space="preserve">10  ·  </w:t>
      </w:r>
      <w:r>
        <w:rPr>
          <w:b/>
          <w:bCs/>
          <w:sz w:val="22"/>
          <w:szCs w:val="22"/>
        </w:rPr>
        <w:t xml:space="preserve">Consensus tier: </w:t>
      </w:r>
      <w:r>
        <w:rPr>
          <w:sz w:val="22"/>
          <w:szCs w:val="22"/>
        </w:rPr>
        <w:t xml:space="preserve">Free (10 results/search)</w:t>
      </w:r>
    </w:p>
    <w:p>
      <w:pPr>
        <w:spacing w:after="120"/>
      </w:pPr>
      <w:r>
        <w:rPr>
          <w:i/>
          <w:iCs/>
          <w:sz w:val="22"/>
          <w:szCs w:val="22"/>
        </w:rPr>
        <w:t xml:space="preserve">Note: </w:t>
      </w:r>
      <w:r>
        <w:rPr>
          <w:sz w:val="22"/>
          <w:szCs w:val="22"/>
        </w:rPr>
        <w:t xml:space="preserve">Key repeat-hit paper across 5 of 8 searches: Tulloch et al. 2023 — this is the dominant foundational reference. Sánchez-Arriaga et al. 2024 appeared in 4 searches. These are the two must-read prior-art papers for situating KiteTurbineDynamics.jl.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h1lu0_ts0gi2bkp1qhje" Type="http://schemas.openxmlformats.org/officeDocument/2006/relationships/hyperlink" Target="https://consensus.app/papers/details/d08eb53eeb0a554982701bdd2625c299/" TargetMode="External"/><Relationship Id="rIddc0wmo3ifuf_la4hdj0ik" Type="http://schemas.openxmlformats.org/officeDocument/2006/relationships/hyperlink" Target="https://consensus.app/papers/details/96dead185d0553469bfe156b2845df33/" TargetMode="External"/><Relationship Id="rIdqhcftlw1qsv4sko7nk0sy" Type="http://schemas.openxmlformats.org/officeDocument/2006/relationships/hyperlink" Target="https://consensus.app/papers/details/d70ec12246ba5b57a4072f4b2527a1d7/" TargetMode="External"/><Relationship Id="rIdppgzbmuzgabfnszqxp5ir" Type="http://schemas.openxmlformats.org/officeDocument/2006/relationships/hyperlink" Target="https://consensus.app/papers/details/a0168363f17c56ca82eaf6b23acd4297/" TargetMode="External"/><Relationship Id="rIdomwktxqighlizkwt_xqwv" Type="http://schemas.openxmlformats.org/officeDocument/2006/relationships/hyperlink" Target="https://consensus.app/papers/details/715e11026bc5541abfce604cdddeca5f/" TargetMode="External"/><Relationship Id="rIddhzvj1mgti_eyuwvjwplj" Type="http://schemas.openxmlformats.org/officeDocument/2006/relationships/hyperlink" Target="https://consensus.app/papers/details/c37aacefb4e4534a92fa142e3d0ba9b5/" TargetMode="External"/><Relationship Id="rIdb9aybk4kqs-dqqhyccucp" Type="http://schemas.openxmlformats.org/officeDocument/2006/relationships/hyperlink" Target="https://consensus.app/papers/details/17570a034552585d88a1b13e8a4a20f8/" TargetMode="External"/><Relationship Id="rIdlthn7evry6qjk5ogpwgjh" Type="http://schemas.openxmlformats.org/officeDocument/2006/relationships/hyperlink" Target="https://consensus.app/papers/details/caf7ad5bd9b951e881848c9c34b12107/" TargetMode="External"/><Relationship Id="rIdoyqhkiw6tt-pxpwtj7arl" Type="http://schemas.openxmlformats.org/officeDocument/2006/relationships/hyperlink" Target="https://consensus.app/papers/details/db13f8c3da0256de974eb94ea3cecf92/" TargetMode="External"/><Relationship Id="rIdunqljv7tj1iyzcdz8khj5" Type="http://schemas.openxmlformats.org/officeDocument/2006/relationships/hyperlink" Target="https://consensus.app/papers/details/96dead185d0553469bfe156b2845df33/" TargetMode="External"/><Relationship Id="rIdgsujpqhaqtt1zpvghjikc" Type="http://schemas.openxmlformats.org/officeDocument/2006/relationships/hyperlink" Target="https://consensus.app/papers/details/d08eb53eeb0a554982701bdd2625c299/" TargetMode="External"/><Relationship Id="rIdyomwbum4fnawyixtshqnl" Type="http://schemas.openxmlformats.org/officeDocument/2006/relationships/hyperlink" Target="https://consensus.app/papers/details/d70ec12246ba5b57a4072f4b2527a1d7/" TargetMode="External"/><Relationship Id="rIdhjpbtgk8k_t2w2pmwvyz2" Type="http://schemas.openxmlformats.org/officeDocument/2006/relationships/hyperlink" Target="https://consensus.app/papers/details/a0168363f17c56ca82eaf6b23acd4297/" TargetMode="External"/><Relationship Id="rIdijnvmt67mh5lmc1ufzlqs" Type="http://schemas.openxmlformats.org/officeDocument/2006/relationships/hyperlink" Target="https://consensus.app/papers/details/caf7ad5bd9b951e881848c9c34b12107/" TargetMode="External"/><Relationship Id="rIdq0ikwdjwztsnxpnj_s_0m" Type="http://schemas.openxmlformats.org/officeDocument/2006/relationships/hyperlink" Target="https://consensus.app/papers/details/715e11026bc5541abfce604cdddeca5f/" TargetMode="External"/><Relationship Id="rIdgvkpqlm9pfh4vk5aehcpg" Type="http://schemas.openxmlformats.org/officeDocument/2006/relationships/hyperlink" Target="https://consensus.app/papers/details/db13f8c3da0256de974eb94ea3cecf92/" TargetMode="External"/><Relationship Id="rId6mfu1_i49nubx9thqbb_x" Type="http://schemas.openxmlformats.org/officeDocument/2006/relationships/hyperlink" Target="https://consensus.app/papers/details/17570a034552585d88a1b13e8a4a20f8/" TargetMode="External"/><Relationship Id="rIdu-mmd1qbiuxciu4seyd-f" Type="http://schemas.openxmlformats.org/officeDocument/2006/relationships/hyperlink" Target="https://consensus.app/papers/details/c37aacefb4e4534a92fa142e3d0ba9b5/" TargetMode="External"/><Relationship Id="rIdawagqqfs291nbhrynwtmp" Type="http://schemas.openxmlformats.org/officeDocument/2006/relationships/hyperlink" Target="https://consensus.app/papers/details/d70ec12246ba5b57a4072f4b2527a1d7/" TargetMode="External"/><Relationship Id="rIdcyg2k-vba2bj-tkoic033" Type="http://schemas.openxmlformats.org/officeDocument/2006/relationships/hyperlink" Target="https://consensus.app/papers/details/8920c6b67f345508a76ab18ba32d05fc/" TargetMode="External"/><Relationship Id="rIdckhuuh8171y4bsjimvz_k" Type="http://schemas.openxmlformats.org/officeDocument/2006/relationships/hyperlink" Target="https://consensus.app/papers/details/d08eb53eeb0a554982701bdd2625c299/" TargetMode="External"/><Relationship Id="rIdtpoppqjf0iecfot7tefzf" Type="http://schemas.openxmlformats.org/officeDocument/2006/relationships/hyperlink" Target="https://consensus.app/papers/details/96dead185d0553469bfe156b2845df33/" TargetMode="External"/><Relationship Id="rIdx8t9pqqy6uwoum_vsxvvv" Type="http://schemas.openxmlformats.org/officeDocument/2006/relationships/hyperlink" Target="https://consensus.app/papers/details/caf7ad5bd9b951e881848c9c34b12107/" TargetMode="External"/><Relationship Id="rIdawo9m7gy6ld69trh0fv1v" Type="http://schemas.openxmlformats.org/officeDocument/2006/relationships/hyperlink" Target="https://consensus.app/papers/details/a0168363f17c56ca82eaf6b23acd4297/"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2026-04-10T16:12:51.289Z</dcterms:created>
  <dcterms:modified xsi:type="dcterms:W3CDTF">2026-04-10T16:12:51.289Z</dcterms:modified>
</cp:coreProperties>
</file>

<file path=docProps/custom.xml><?xml version="1.0" encoding="utf-8"?>
<Properties xmlns="http://schemas.openxmlformats.org/officeDocument/2006/custom-properties" xmlns:vt="http://schemas.openxmlformats.org/officeDocument/2006/docPropsVTypes"/>
</file>