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6B9A"/>
          <w:sz w:val="44"/>
        </w:rPr>
        <w:t>TRPT Structural Optimisation</w:t>
      </w:r>
    </w:p>
    <w:p>
      <w:pPr>
        <w:jc w:val="center"/>
      </w:pPr>
      <w:r>
        <w:rPr>
          <w:b/>
          <w:color w:val="333333"/>
          <w:sz w:val="32"/>
        </w:rPr>
        <w:t>v5 Campaign Report</w:t>
      </w:r>
    </w:p>
    <w:p/>
    <w:p>
      <w:pPr>
        <w:jc w:val="center"/>
      </w:pPr>
      <w:r>
        <w:t>KiteTurbineDynamics.jl  |  Windswept &amp; Interesting Ltd  |  April 2026</w:t>
      </w:r>
    </w:p>
    <w:p>
      <w:r>
        <w:br w:type="page"/>
      </w:r>
    </w:p>
    <w:p>
      <w:pPr>
        <w:pStyle w:val="Heading1"/>
        <w:spacing w:before="280" w:after="120"/>
      </w:pPr>
      <w:r>
        <w:rPr>
          <w:b/>
          <w:color w:val="1A6B9A"/>
        </w:rPr>
        <w:t>1. Executive Summary</w:t>
      </w:r>
    </w:p>
    <w:p>
      <w:pPr>
        <w:spacing w:after="120"/>
      </w:pPr>
      <w:r>
        <w:rPr>
          <w:b w:val="0"/>
          <w:i w:val="0"/>
          <w:sz w:val="20"/>
        </w:rPr>
        <w:t>This report documents four progressive optimisation campaigns — v2 through v5 — targeting the minimum-mass structural design of the TRPT (Tensile Rotary Power Transmission) shaft for a 10 kW airborne kite turbine. Each campaign introduced additional physics fidelity:</w:t>
      </w:r>
    </w:p>
    <w:p>
      <w:pPr>
        <w:pStyle w:val="ListBullet"/>
        <w:spacing w:after="60"/>
      </w:pPr>
      <w:r>
        <w:rPr>
          <w:b/>
          <w:sz w:val="20"/>
        </w:rPr>
        <w:t xml:space="preserve">v2: </w:t>
      </w:r>
      <w:r>
        <w:rPr>
          <w:sz w:val="20"/>
        </w:rPr>
        <w:t>Beam Euler-buckling constraint only; taper free. Winner: 2.808 kg — but 54/60 islands torsionally infeasible, so not a valid design.</w:t>
      </w:r>
    </w:p>
    <w:p>
      <w:pPr>
        <w:pStyle w:val="ListBullet"/>
        <w:spacing w:after="60"/>
      </w:pPr>
      <w:r>
        <w:rPr>
          <w:b/>
          <w:sz w:val="20"/>
        </w:rPr>
        <w:t xml:space="preserve">v3: </w:t>
      </w:r>
      <w:r>
        <w:rPr>
          <w:sz w:val="20"/>
        </w:rPr>
        <w:t>Added torsional FOS constraint; forced cylindrical geometry to isolate torsion effect. Winner: 15.435 kg.</w:t>
      </w:r>
    </w:p>
    <w:p>
      <w:pPr>
        <w:pStyle w:val="ListBullet"/>
        <w:spacing w:after="60"/>
      </w:pPr>
      <w:r>
        <w:rPr>
          <w:b/>
          <w:sz w:val="20"/>
        </w:rPr>
        <w:t xml:space="preserve">v4: </w:t>
      </w:r>
      <w:r>
        <w:rPr>
          <w:sz w:val="20"/>
        </w:rPr>
        <w:t>Restored taper freedom; introduced constant L/r ring-spacing law. Winner: 10.587 kg (-31.4% vs v3). All 60 islands feasible.</w:t>
      </w:r>
    </w:p>
    <w:p>
      <w:pPr>
        <w:pStyle w:val="ListBullet"/>
        <w:spacing w:after="60"/>
      </w:pPr>
      <w:r>
        <w:rPr>
          <w:b/>
          <w:sz w:val="20"/>
        </w:rPr>
        <w:t xml:space="preserve">v5: </w:t>
      </w:r>
      <w:r>
        <w:rPr>
          <w:sz w:val="20"/>
        </w:rPr>
        <w:t>Coupled Blade Element Momentum (BEM) model — Cp(n_lines, TSR) with per-blade solidity — replaces fixed CT assumption. Winner: 11.470 kg (+8.3% vs v4). All 60 islands feasible.</w:t>
      </w:r>
    </w:p>
    <w:p/>
    <w:p>
      <w:pPr>
        <w:spacing w:after="120"/>
      </w:pPr>
      <w:r>
        <w:rPr>
          <w:b w:val="0"/>
          <w:i w:val="0"/>
          <w:sz w:val="20"/>
        </w:rPr>
        <w:t>The +8.3% BEM penalty in v5 reflects more physically honest aerodynamic loading: the fixed-CT assumption in v4 under-estimated rotor induction losses, producing an overly optimistic (light) structural result. The v5 mass of 11.470 kg is the current best credible structural estimate for the 10 kW TRPT shaft, subject to full FEA validation and dynamic load factor (DLF) confirmation.</w:t>
      </w:r>
    </w:p>
    <w:p>
      <w:pPr>
        <w:spacing w:after="120"/>
      </w:pPr>
      <w:r>
        <w:rPr>
          <w:b w:val="0"/>
          <w:i w:val="0"/>
          <w:sz w:val="20"/>
        </w:rPr>
        <w:t>All campaigns from v4 onward unanimously selected n_lines = 8 and the circular (or elliptical, identical mass) cross-section profile. The dominant design is a long, sharply tapering shaft with approximately 19 rings over a 30 m tether, operating at constant L/r = 2.0.</w:t>
      </w:r>
    </w:p>
    <w:p>
      <w:pPr>
        <w:pStyle w:val="Heading1"/>
        <w:spacing w:before="280" w:after="120"/>
      </w:pPr>
      <w:r>
        <w:rPr>
          <w:b/>
          <w:color w:val="1A6B9A"/>
        </w:rPr>
        <w:t>2. Background and Campaign Progression</w:t>
      </w:r>
    </w:p>
    <w:p>
      <w:pPr>
        <w:spacing w:after="120"/>
      </w:pPr>
      <w:r>
        <w:rPr>
          <w:b w:val="0"/>
          <w:i w:val="0"/>
          <w:sz w:val="20"/>
        </w:rPr>
        <w:t>The TRPT shaft is the airborne structural spine of the kite turbine. It transfers rotor torque to the ground while sustaining axial tension from kite lift, torsion from power transmission, and bending moments from ring-level perturbation forces. The minimum-mass design problem has nine free variables (tube geometry, taper exponent, ring slenderness, n_lines, and knuckle mass), subject to Euler-buckling and torsional FOS constraints.</w:t>
      </w:r>
    </w:p>
    <w:p>
      <w:pPr>
        <w:pStyle w:val="Heading2"/>
        <w:spacing w:before="200" w:after="120"/>
      </w:pPr>
      <w:r>
        <w:rPr>
          <w:b/>
          <w:color w:val="333333"/>
        </w:rPr>
        <w:t>2.1  Design Variable Summary (v4/v5)</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D5E8F0"/>
            <w:vAlign w:val="center"/>
          </w:tcPr>
          <w:p>
            <w:pPr>
              <w:jc w:val="center"/>
            </w:pPr>
            <w:r>
              <w:rPr>
                <w:b/>
                <w:color w:val="333333"/>
                <w:sz w:val="18"/>
              </w:rPr>
              <w:t>Variable</w:t>
            </w:r>
          </w:p>
        </w:tc>
        <w:tc>
          <w:tcPr>
            <w:tcW w:type="dxa" w:w="1134"/>
            <w:shd w:val="clear" w:color="auto" w:fill="D5E8F0"/>
            <w:vAlign w:val="center"/>
          </w:tcPr>
          <w:p>
            <w:pPr>
              <w:jc w:val="center"/>
            </w:pPr>
            <w:r>
              <w:rPr>
                <w:b/>
                <w:color w:val="333333"/>
                <w:sz w:val="18"/>
              </w:rPr>
              <w:t>Symbol</w:t>
            </w:r>
          </w:p>
        </w:tc>
        <w:tc>
          <w:tcPr>
            <w:tcW w:type="dxa" w:w="1701"/>
            <w:shd w:val="clear" w:color="auto" w:fill="D5E8F0"/>
            <w:vAlign w:val="center"/>
          </w:tcPr>
          <w:p>
            <w:pPr>
              <w:jc w:val="center"/>
            </w:pPr>
            <w:r>
              <w:rPr>
                <w:b/>
                <w:color w:val="333333"/>
                <w:sz w:val="18"/>
              </w:rPr>
              <w:t>Bounds</w:t>
            </w:r>
          </w:p>
        </w:tc>
        <w:tc>
          <w:tcPr>
            <w:tcW w:type="dxa" w:w="4535"/>
            <w:shd w:val="clear" w:color="auto" w:fill="D5E8F0"/>
            <w:vAlign w:val="center"/>
          </w:tcPr>
          <w:p>
            <w:pPr>
              <w:jc w:val="center"/>
            </w:pPr>
            <w:r>
              <w:rPr>
                <w:b/>
                <w:color w:val="333333"/>
                <w:sz w:val="18"/>
              </w:rPr>
              <w:t>Description</w:t>
            </w:r>
          </w:p>
        </w:tc>
      </w:tr>
      <w:tr>
        <w:tc>
          <w:tcPr>
            <w:tcW w:type="dxa" w:w="1701"/>
            <w:shd w:val="clear" w:color="auto" w:fill="FFFFFF"/>
          </w:tcPr>
          <w:p>
            <w:pPr>
              <w:jc w:val="left"/>
            </w:pPr>
            <w:r>
              <w:rPr>
                <w:sz w:val="18"/>
              </w:rPr>
              <w:t>Do_top</w:t>
            </w:r>
          </w:p>
        </w:tc>
        <w:tc>
          <w:tcPr>
            <w:tcW w:type="dxa" w:w="1134"/>
            <w:shd w:val="clear" w:color="auto" w:fill="FFFFFF"/>
          </w:tcPr>
          <w:p>
            <w:pPr>
              <w:jc w:val="center"/>
            </w:pPr>
            <w:r>
              <w:rPr>
                <w:sz w:val="18"/>
              </w:rPr>
              <w:t>D₀</w:t>
            </w:r>
          </w:p>
        </w:tc>
        <w:tc>
          <w:tcPr>
            <w:tcW w:type="dxa" w:w="1701"/>
            <w:shd w:val="clear" w:color="auto" w:fill="FFFFFF"/>
          </w:tcPr>
          <w:p>
            <w:pPr>
              <w:jc w:val="center"/>
            </w:pPr>
            <w:r>
              <w:rPr>
                <w:sz w:val="18"/>
              </w:rPr>
              <w:t>5–120 mm</w:t>
            </w:r>
          </w:p>
        </w:tc>
        <w:tc>
          <w:tcPr>
            <w:tcW w:type="dxa" w:w="4535"/>
            <w:shd w:val="clear" w:color="auto" w:fill="FFFFFF"/>
          </w:tcPr>
          <w:p>
            <w:pPr>
              <w:jc w:val="center"/>
            </w:pPr>
            <w:r>
              <w:rPr>
                <w:sz w:val="18"/>
              </w:rPr>
              <w:t>Outer diameter at hub ring</w:t>
            </w:r>
          </w:p>
        </w:tc>
      </w:tr>
      <w:tr>
        <w:tc>
          <w:tcPr>
            <w:tcW w:type="dxa" w:w="1701"/>
            <w:shd w:val="clear" w:color="auto" w:fill="F7FBFD"/>
          </w:tcPr>
          <w:p>
            <w:pPr>
              <w:jc w:val="left"/>
            </w:pPr>
            <w:r>
              <w:rPr>
                <w:sz w:val="18"/>
              </w:rPr>
              <w:t>t_over_D</w:t>
            </w:r>
          </w:p>
        </w:tc>
        <w:tc>
          <w:tcPr>
            <w:tcW w:type="dxa" w:w="1134"/>
            <w:shd w:val="clear" w:color="auto" w:fill="F7FBFD"/>
          </w:tcPr>
          <w:p>
            <w:pPr>
              <w:jc w:val="center"/>
            </w:pPr>
            <w:r>
              <w:rPr>
                <w:sz w:val="18"/>
              </w:rPr>
              <w:t>t/D</w:t>
            </w:r>
          </w:p>
        </w:tc>
        <w:tc>
          <w:tcPr>
            <w:tcW w:type="dxa" w:w="1701"/>
            <w:shd w:val="clear" w:color="auto" w:fill="F7FBFD"/>
          </w:tcPr>
          <w:p>
            <w:pPr>
              <w:jc w:val="center"/>
            </w:pPr>
            <w:r>
              <w:rPr>
                <w:sz w:val="18"/>
              </w:rPr>
              <w:t>0.01–0.05</w:t>
            </w:r>
          </w:p>
        </w:tc>
        <w:tc>
          <w:tcPr>
            <w:tcW w:type="dxa" w:w="4535"/>
            <w:shd w:val="clear" w:color="auto" w:fill="F7FBFD"/>
          </w:tcPr>
          <w:p>
            <w:pPr>
              <w:jc w:val="center"/>
            </w:pPr>
            <w:r>
              <w:rPr>
                <w:sz w:val="18"/>
              </w:rPr>
              <w:t>Wall thickness ratio</w:t>
            </w:r>
          </w:p>
        </w:tc>
      </w:tr>
      <w:tr>
        <w:tc>
          <w:tcPr>
            <w:tcW w:type="dxa" w:w="1701"/>
            <w:shd w:val="clear" w:color="auto" w:fill="FFFFFF"/>
          </w:tcPr>
          <w:p>
            <w:pPr>
              <w:jc w:val="left"/>
            </w:pPr>
            <w:r>
              <w:rPr>
                <w:sz w:val="18"/>
              </w:rPr>
              <w:t>beam_aspect</w:t>
            </w:r>
          </w:p>
        </w:tc>
        <w:tc>
          <w:tcPr>
            <w:tcW w:type="dxa" w:w="1134"/>
            <w:shd w:val="clear" w:color="auto" w:fill="FFFFFF"/>
          </w:tcPr>
          <w:p>
            <w:pPr>
              <w:jc w:val="center"/>
            </w:pPr>
            <w:r>
              <w:rPr>
                <w:sz w:val="18"/>
              </w:rPr>
              <w:t>b/a</w:t>
            </w:r>
          </w:p>
        </w:tc>
        <w:tc>
          <w:tcPr>
            <w:tcW w:type="dxa" w:w="1701"/>
            <w:shd w:val="clear" w:color="auto" w:fill="FFFFFF"/>
          </w:tcPr>
          <w:p>
            <w:pPr>
              <w:jc w:val="center"/>
            </w:pPr>
            <w:r>
              <w:rPr>
                <w:sz w:val="18"/>
              </w:rPr>
              <w:t>profile-dep.</w:t>
            </w:r>
          </w:p>
        </w:tc>
        <w:tc>
          <w:tcPr>
            <w:tcW w:type="dxa" w:w="4535"/>
            <w:shd w:val="clear" w:color="auto" w:fill="FFFFFF"/>
          </w:tcPr>
          <w:p>
            <w:pPr>
              <w:jc w:val="center"/>
            </w:pPr>
            <w:r>
              <w:rPr>
                <w:sz w:val="18"/>
              </w:rPr>
              <w:t>Ellipticity or airfoil t/c</w:t>
            </w:r>
          </w:p>
        </w:tc>
      </w:tr>
      <w:tr>
        <w:tc>
          <w:tcPr>
            <w:tcW w:type="dxa" w:w="1701"/>
            <w:shd w:val="clear" w:color="auto" w:fill="F7FBFD"/>
          </w:tcPr>
          <w:p>
            <w:pPr>
              <w:jc w:val="left"/>
            </w:pPr>
            <w:r>
              <w:rPr>
                <w:sz w:val="18"/>
              </w:rPr>
              <w:t>Do_scale_exp</w:t>
            </w:r>
          </w:p>
        </w:tc>
        <w:tc>
          <w:tcPr>
            <w:tcW w:type="dxa" w:w="1134"/>
            <w:shd w:val="clear" w:color="auto" w:fill="F7FBFD"/>
          </w:tcPr>
          <w:p>
            <w:pPr>
              <w:jc w:val="center"/>
            </w:pPr>
            <w:r>
              <w:rPr>
                <w:sz w:val="18"/>
              </w:rPr>
              <w:t>α</w:t>
            </w:r>
          </w:p>
        </w:tc>
        <w:tc>
          <w:tcPr>
            <w:tcW w:type="dxa" w:w="1701"/>
            <w:shd w:val="clear" w:color="auto" w:fill="F7FBFD"/>
          </w:tcPr>
          <w:p>
            <w:pPr>
              <w:jc w:val="center"/>
            </w:pPr>
            <w:r>
              <w:rPr>
                <w:sz w:val="18"/>
              </w:rPr>
              <w:t>0–1</w:t>
            </w:r>
          </w:p>
        </w:tc>
        <w:tc>
          <w:tcPr>
            <w:tcW w:type="dxa" w:w="4535"/>
            <w:shd w:val="clear" w:color="auto" w:fill="F7FBFD"/>
          </w:tcPr>
          <w:p>
            <w:pPr>
              <w:jc w:val="center"/>
            </w:pPr>
            <w:r>
              <w:rPr>
                <w:sz w:val="18"/>
              </w:rPr>
              <w:t>Taper exponent: D(r) = D₀·(r/r_hub)^α</w:t>
            </w:r>
          </w:p>
        </w:tc>
      </w:tr>
      <w:tr>
        <w:tc>
          <w:tcPr>
            <w:tcW w:type="dxa" w:w="1701"/>
            <w:shd w:val="clear" w:color="auto" w:fill="FFFFFF"/>
          </w:tcPr>
          <w:p>
            <w:pPr>
              <w:jc w:val="left"/>
            </w:pPr>
            <w:r>
              <w:rPr>
                <w:sz w:val="18"/>
              </w:rPr>
              <w:t>r_hub</w:t>
            </w:r>
          </w:p>
        </w:tc>
        <w:tc>
          <w:tcPr>
            <w:tcW w:type="dxa" w:w="1134"/>
            <w:shd w:val="clear" w:color="auto" w:fill="FFFFFF"/>
          </w:tcPr>
          <w:p>
            <w:pPr>
              <w:jc w:val="center"/>
            </w:pPr>
            <w:r>
              <w:rPr>
                <w:sz w:val="18"/>
              </w:rPr>
              <w:t>r_top</w:t>
            </w:r>
          </w:p>
        </w:tc>
        <w:tc>
          <w:tcPr>
            <w:tcW w:type="dxa" w:w="1701"/>
            <w:shd w:val="clear" w:color="auto" w:fill="FFFFFF"/>
          </w:tcPr>
          <w:p>
            <w:pPr>
              <w:jc w:val="center"/>
            </w:pPr>
            <w:r>
              <w:rPr>
                <w:sz w:val="18"/>
              </w:rPr>
              <w:t>0.8–1.2×r_rotor</w:t>
            </w:r>
          </w:p>
        </w:tc>
        <w:tc>
          <w:tcPr>
            <w:tcW w:type="dxa" w:w="4535"/>
            <w:shd w:val="clear" w:color="auto" w:fill="FFFFFF"/>
          </w:tcPr>
          <w:p>
            <w:pPr>
              <w:jc w:val="center"/>
            </w:pPr>
            <w:r>
              <w:rPr>
                <w:sz w:val="18"/>
              </w:rPr>
              <w:t>Hub ring radius</w:t>
            </w:r>
          </w:p>
        </w:tc>
      </w:tr>
      <w:tr>
        <w:tc>
          <w:tcPr>
            <w:tcW w:type="dxa" w:w="1701"/>
            <w:shd w:val="clear" w:color="auto" w:fill="F7FBFD"/>
          </w:tcPr>
          <w:p>
            <w:pPr>
              <w:jc w:val="left"/>
            </w:pPr>
            <w:r>
              <w:rPr>
                <w:sz w:val="18"/>
              </w:rPr>
              <w:t>r_bottom</w:t>
            </w:r>
          </w:p>
        </w:tc>
        <w:tc>
          <w:tcPr>
            <w:tcW w:type="dxa" w:w="1134"/>
            <w:shd w:val="clear" w:color="auto" w:fill="F7FBFD"/>
          </w:tcPr>
          <w:p>
            <w:pPr>
              <w:jc w:val="center"/>
            </w:pPr>
            <w:r>
              <w:rPr>
                <w:sz w:val="18"/>
              </w:rPr>
              <w:t>r_bot</w:t>
            </w:r>
          </w:p>
        </w:tc>
        <w:tc>
          <w:tcPr>
            <w:tcW w:type="dxa" w:w="1701"/>
            <w:shd w:val="clear" w:color="auto" w:fill="F7FBFD"/>
          </w:tcPr>
          <w:p>
            <w:pPr>
              <w:jc w:val="center"/>
            </w:pPr>
            <w:r>
              <w:rPr>
                <w:sz w:val="18"/>
              </w:rPr>
              <w:t>0.3–1.5 m</w:t>
            </w:r>
          </w:p>
        </w:tc>
        <w:tc>
          <w:tcPr>
            <w:tcW w:type="dxa" w:w="4535"/>
            <w:shd w:val="clear" w:color="auto" w:fill="F7FBFD"/>
          </w:tcPr>
          <w:p>
            <w:pPr>
              <w:jc w:val="center"/>
            </w:pPr>
            <w:r>
              <w:rPr>
                <w:sz w:val="18"/>
              </w:rPr>
              <w:t>Ground ring radius</w:t>
            </w:r>
          </w:p>
        </w:tc>
      </w:tr>
      <w:tr>
        <w:tc>
          <w:tcPr>
            <w:tcW w:type="dxa" w:w="1701"/>
            <w:shd w:val="clear" w:color="auto" w:fill="FFFFFF"/>
          </w:tcPr>
          <w:p>
            <w:pPr>
              <w:jc w:val="left"/>
            </w:pPr>
            <w:r>
              <w:rPr>
                <w:sz w:val="18"/>
              </w:rPr>
              <w:t>target_Lr</w:t>
            </w:r>
          </w:p>
        </w:tc>
        <w:tc>
          <w:tcPr>
            <w:tcW w:type="dxa" w:w="1134"/>
            <w:shd w:val="clear" w:color="auto" w:fill="FFFFFF"/>
          </w:tcPr>
          <w:p>
            <w:pPr>
              <w:jc w:val="center"/>
            </w:pPr>
            <w:r>
              <w:rPr>
                <w:sz w:val="18"/>
              </w:rPr>
              <w:t>L/r</w:t>
            </w:r>
          </w:p>
        </w:tc>
        <w:tc>
          <w:tcPr>
            <w:tcW w:type="dxa" w:w="1701"/>
            <w:shd w:val="clear" w:color="auto" w:fill="FFFFFF"/>
          </w:tcPr>
          <w:p>
            <w:pPr>
              <w:jc w:val="center"/>
            </w:pPr>
            <w:r>
              <w:rPr>
                <w:sz w:val="18"/>
              </w:rPr>
              <w:t>0.4–2.0</w:t>
            </w:r>
          </w:p>
        </w:tc>
        <w:tc>
          <w:tcPr>
            <w:tcW w:type="dxa" w:w="4535"/>
            <w:shd w:val="clear" w:color="auto" w:fill="FFFFFF"/>
          </w:tcPr>
          <w:p>
            <w:pPr>
              <w:jc w:val="center"/>
            </w:pPr>
            <w:r>
              <w:rPr>
                <w:sz w:val="18"/>
              </w:rPr>
              <w:t>Target slenderness per segment</w:t>
            </w:r>
          </w:p>
        </w:tc>
      </w:tr>
      <w:tr>
        <w:tc>
          <w:tcPr>
            <w:tcW w:type="dxa" w:w="1701"/>
            <w:shd w:val="clear" w:color="auto" w:fill="F7FBFD"/>
          </w:tcPr>
          <w:p>
            <w:pPr>
              <w:jc w:val="left"/>
            </w:pPr>
            <w:r>
              <w:rPr>
                <w:sz w:val="18"/>
              </w:rPr>
              <w:t>knuckle_mass</w:t>
            </w:r>
          </w:p>
        </w:tc>
        <w:tc>
          <w:tcPr>
            <w:tcW w:type="dxa" w:w="1134"/>
            <w:shd w:val="clear" w:color="auto" w:fill="F7FBFD"/>
          </w:tcPr>
          <w:p>
            <w:pPr>
              <w:jc w:val="center"/>
            </w:pPr>
            <w:r>
              <w:rPr>
                <w:sz w:val="18"/>
              </w:rPr>
              <w:t>m_k</w:t>
            </w:r>
          </w:p>
        </w:tc>
        <w:tc>
          <w:tcPr>
            <w:tcW w:type="dxa" w:w="1701"/>
            <w:shd w:val="clear" w:color="auto" w:fill="F7FBFD"/>
          </w:tcPr>
          <w:p>
            <w:pPr>
              <w:jc w:val="center"/>
            </w:pPr>
            <w:r>
              <w:rPr>
                <w:sz w:val="18"/>
              </w:rPr>
              <w:t>0.01–0.20 kg</w:t>
            </w:r>
          </w:p>
        </w:tc>
        <w:tc>
          <w:tcPr>
            <w:tcW w:type="dxa" w:w="4535"/>
            <w:shd w:val="clear" w:color="auto" w:fill="F7FBFD"/>
          </w:tcPr>
          <w:p>
            <w:pPr>
              <w:jc w:val="center"/>
            </w:pPr>
            <w:r>
              <w:rPr>
                <w:sz w:val="18"/>
              </w:rPr>
              <w:t>Per-vertex point mass</w:t>
            </w:r>
          </w:p>
        </w:tc>
      </w:tr>
      <w:tr>
        <w:tc>
          <w:tcPr>
            <w:tcW w:type="dxa" w:w="1701"/>
            <w:shd w:val="clear" w:color="auto" w:fill="FFFFFF"/>
          </w:tcPr>
          <w:p>
            <w:pPr>
              <w:jc w:val="left"/>
            </w:pPr>
            <w:r>
              <w:rPr>
                <w:sz w:val="18"/>
              </w:rPr>
              <w:t>n_lines</w:t>
            </w:r>
          </w:p>
        </w:tc>
        <w:tc>
          <w:tcPr>
            <w:tcW w:type="dxa" w:w="1134"/>
            <w:shd w:val="clear" w:color="auto" w:fill="FFFFFF"/>
          </w:tcPr>
          <w:p>
            <w:pPr>
              <w:jc w:val="center"/>
            </w:pPr>
            <w:r>
              <w:rPr>
                <w:sz w:val="18"/>
              </w:rPr>
              <w:t>n</w:t>
            </w:r>
          </w:p>
        </w:tc>
        <w:tc>
          <w:tcPr>
            <w:tcW w:type="dxa" w:w="1701"/>
            <w:shd w:val="clear" w:color="auto" w:fill="FFFFFF"/>
          </w:tcPr>
          <w:p>
            <w:pPr>
              <w:jc w:val="center"/>
            </w:pPr>
            <w:r>
              <w:rPr>
                <w:sz w:val="18"/>
              </w:rPr>
              <w:t>3–8 (int)</w:t>
            </w:r>
          </w:p>
        </w:tc>
        <w:tc>
          <w:tcPr>
            <w:tcW w:type="dxa" w:w="4535"/>
            <w:shd w:val="clear" w:color="auto" w:fill="FFFFFF"/>
          </w:tcPr>
          <w:p>
            <w:pPr>
              <w:jc w:val="center"/>
            </w:pPr>
            <w:r>
              <w:rPr>
                <w:sz w:val="18"/>
              </w:rPr>
              <w:t>Ring polygon sides</w:t>
            </w:r>
          </w:p>
        </w:tc>
      </w:tr>
    </w:tbl>
    <w:p/>
    <w:p>
      <w:pPr>
        <w:pStyle w:val="Heading2"/>
        <w:spacing w:before="200" w:after="120"/>
      </w:pPr>
      <w:r>
        <w:rPr>
          <w:b/>
          <w:color w:val="333333"/>
        </w:rPr>
        <w:t>2.2  Constraints</w:t>
      </w:r>
    </w:p>
    <w:tbl>
      <w:tblPr>
        <w:tblStyle w:val="TableGrid"/>
        <w:tblW w:type="auto" w:w="0"/>
        <w:jc w:val="left"/>
        <w:tblLook w:firstColumn="1" w:firstRow="1" w:lastColumn="0" w:lastRow="0" w:noHBand="0" w:noVBand="1" w:val="04A0"/>
      </w:tblPr>
      <w:tblGrid>
        <w:gridCol w:w="2880"/>
        <w:gridCol w:w="2880"/>
        <w:gridCol w:w="2880"/>
      </w:tblGrid>
      <w:tr>
        <w:tc>
          <w:tcPr>
            <w:tcW w:type="dxa" w:w="3118"/>
            <w:shd w:val="clear" w:color="auto" w:fill="D5E8F0"/>
            <w:vAlign w:val="center"/>
          </w:tcPr>
          <w:p>
            <w:pPr>
              <w:jc w:val="center"/>
            </w:pPr>
            <w:r>
              <w:rPr>
                <w:b/>
                <w:color w:val="333333"/>
                <w:sz w:val="18"/>
              </w:rPr>
              <w:t>Constraint</w:t>
            </w:r>
          </w:p>
        </w:tc>
        <w:tc>
          <w:tcPr>
            <w:tcW w:type="dxa" w:w="1701"/>
            <w:shd w:val="clear" w:color="auto" w:fill="D5E8F0"/>
            <w:vAlign w:val="center"/>
          </w:tcPr>
          <w:p>
            <w:pPr>
              <w:jc w:val="center"/>
            </w:pPr>
            <w:r>
              <w:rPr>
                <w:b/>
                <w:color w:val="333333"/>
                <w:sz w:val="18"/>
              </w:rPr>
              <w:t>Threshold</w:t>
            </w:r>
          </w:p>
        </w:tc>
        <w:tc>
          <w:tcPr>
            <w:tcW w:type="dxa" w:w="4819"/>
            <w:shd w:val="clear" w:color="auto" w:fill="D5E8F0"/>
            <w:vAlign w:val="center"/>
          </w:tcPr>
          <w:p>
            <w:pPr>
              <w:jc w:val="center"/>
            </w:pPr>
            <w:r>
              <w:rPr>
                <w:b/>
                <w:color w:val="333333"/>
                <w:sz w:val="18"/>
              </w:rPr>
              <w:t>Enforcement</w:t>
            </w:r>
          </w:p>
        </w:tc>
      </w:tr>
      <w:tr>
        <w:tc>
          <w:tcPr>
            <w:tcW w:type="dxa" w:w="3118"/>
            <w:shd w:val="clear" w:color="auto" w:fill="FFFFFF"/>
          </w:tcPr>
          <w:p>
            <w:pPr>
              <w:jc w:val="left"/>
            </w:pPr>
            <w:r>
              <w:rPr>
                <w:sz w:val="18"/>
              </w:rPr>
              <w:t>Beam Euler buckling FOS</w:t>
            </w:r>
          </w:p>
        </w:tc>
        <w:tc>
          <w:tcPr>
            <w:tcW w:type="dxa" w:w="1701"/>
            <w:shd w:val="clear" w:color="auto" w:fill="FFFFFF"/>
          </w:tcPr>
          <w:p>
            <w:pPr>
              <w:jc w:val="center"/>
            </w:pPr>
            <w:r>
              <w:rPr>
                <w:sz w:val="18"/>
              </w:rPr>
              <w:t>≥1.8</w:t>
            </w:r>
          </w:p>
        </w:tc>
        <w:tc>
          <w:tcPr>
            <w:tcW w:type="dxa" w:w="4819"/>
            <w:shd w:val="clear" w:color="auto" w:fill="FFFFFF"/>
          </w:tcPr>
          <w:p>
            <w:pPr>
              <w:jc w:val="center"/>
            </w:pPr>
            <w:r>
              <w:rPr>
                <w:sz w:val="18"/>
              </w:rPr>
              <w:t>Hard penalty (mass → ∞ if infeasible)</w:t>
            </w:r>
          </w:p>
        </w:tc>
      </w:tr>
      <w:tr>
        <w:tc>
          <w:tcPr>
            <w:tcW w:type="dxa" w:w="3118"/>
            <w:shd w:val="clear" w:color="auto" w:fill="F7FBFD"/>
          </w:tcPr>
          <w:p>
            <w:pPr>
              <w:jc w:val="left"/>
            </w:pPr>
            <w:r>
              <w:rPr>
                <w:sz w:val="18"/>
              </w:rPr>
              <w:t>Torsional collapse FOS</w:t>
            </w:r>
          </w:p>
        </w:tc>
        <w:tc>
          <w:tcPr>
            <w:tcW w:type="dxa" w:w="1701"/>
            <w:shd w:val="clear" w:color="auto" w:fill="F7FBFD"/>
          </w:tcPr>
          <w:p>
            <w:pPr>
              <w:jc w:val="center"/>
            </w:pPr>
            <w:r>
              <w:rPr>
                <w:sz w:val="18"/>
              </w:rPr>
              <w:t>≥1.5</w:t>
            </w:r>
          </w:p>
        </w:tc>
        <w:tc>
          <w:tcPr>
            <w:tcW w:type="dxa" w:w="4819"/>
            <w:shd w:val="clear" w:color="auto" w:fill="F7FBFD"/>
          </w:tcPr>
          <w:p>
            <w:pPr>
              <w:jc w:val="center"/>
            </w:pPr>
            <w:r>
              <w:rPr>
                <w:sz w:val="18"/>
              </w:rPr>
              <w:t>Hard penalty</w:t>
            </w:r>
          </w:p>
        </w:tc>
      </w:tr>
      <w:tr>
        <w:tc>
          <w:tcPr>
            <w:tcW w:type="dxa" w:w="3118"/>
            <w:shd w:val="clear" w:color="auto" w:fill="FFFFFF"/>
          </w:tcPr>
          <w:p>
            <w:pPr>
              <w:jc w:val="left"/>
            </w:pPr>
            <w:r>
              <w:rPr>
                <w:sz w:val="18"/>
              </w:rPr>
              <w:t>Ground ring radius</w:t>
            </w:r>
          </w:p>
        </w:tc>
        <w:tc>
          <w:tcPr>
            <w:tcW w:type="dxa" w:w="1701"/>
            <w:shd w:val="clear" w:color="auto" w:fill="FFFFFF"/>
          </w:tcPr>
          <w:p>
            <w:pPr>
              <w:jc w:val="center"/>
            </w:pPr>
            <w:r>
              <w:rPr>
                <w:sz w:val="18"/>
              </w:rPr>
              <w:t>≤1.5 m</w:t>
            </w:r>
          </w:p>
        </w:tc>
        <w:tc>
          <w:tcPr>
            <w:tcW w:type="dxa" w:w="4819"/>
            <w:shd w:val="clear" w:color="auto" w:fill="FFFFFF"/>
          </w:tcPr>
          <w:p>
            <w:pPr>
              <w:jc w:val="center"/>
            </w:pPr>
            <w:r>
              <w:rPr>
                <w:sz w:val="18"/>
              </w:rPr>
              <w:t>Hard geometric bound</w:t>
            </w:r>
          </w:p>
        </w:tc>
      </w:tr>
    </w:tbl>
    <w:p/>
    <w:p>
      <w:pPr>
        <w:pStyle w:val="Heading2"/>
        <w:spacing w:before="200" w:after="120"/>
      </w:pPr>
      <w:r>
        <w:rPr>
          <w:b/>
          <w:color w:val="333333"/>
        </w:rPr>
        <w:t>2.3  Constant L/r Ring Spacing (v4+)</w:t>
      </w:r>
    </w:p>
    <w:p>
      <w:pPr>
        <w:spacing w:after="120"/>
      </w:pPr>
      <w:r>
        <w:rPr>
          <w:b w:val="0"/>
          <w:i w:val="0"/>
          <w:sz w:val="20"/>
        </w:rPr>
        <w:t>A key innovation in v4 is replacing fixed ring count with a constant L/r spacing law: each shaft segment satisfies L_seg_i / r_mid_i = target_Lr. Under linear taper this produces ring radii forming a geometric series, so n_rings is a derived quantity rather than a free variable. Physical motivation: constant L/r ensures every segment operates at the same normalised slenderness, so no segment is wastefully under-loaded relative to its Euler buckling capacity.</w:t>
      </w:r>
    </w:p>
    <w:p>
      <w:pPr>
        <w:pStyle w:val="Heading1"/>
        <w:spacing w:before="280" w:after="120"/>
      </w:pPr>
      <w:r>
        <w:rPr>
          <w:b/>
          <w:color w:val="1A6B9A"/>
        </w:rPr>
        <w:t>3. Campaign Comparison: v2 Through v5 (10 kW)</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417"/>
            <w:shd w:val="clear" w:color="auto" w:fill="D5E8F0"/>
            <w:vAlign w:val="center"/>
          </w:tcPr>
          <w:p>
            <w:pPr>
              <w:jc w:val="center"/>
            </w:pPr>
            <w:r>
              <w:rPr>
                <w:b/>
                <w:color w:val="333333"/>
                <w:sz w:val="18"/>
              </w:rPr>
              <w:t>Campaign</w:t>
            </w:r>
          </w:p>
        </w:tc>
        <w:tc>
          <w:tcPr>
            <w:tcW w:type="dxa" w:w="1984"/>
            <w:shd w:val="clear" w:color="auto" w:fill="D5E8F0"/>
            <w:vAlign w:val="center"/>
          </w:tcPr>
          <w:p>
            <w:pPr>
              <w:jc w:val="center"/>
            </w:pPr>
            <w:r>
              <w:rPr>
                <w:b/>
                <w:color w:val="333333"/>
                <w:sz w:val="18"/>
              </w:rPr>
              <w:t>Best mass (10 kW)</w:t>
            </w:r>
          </w:p>
        </w:tc>
        <w:tc>
          <w:tcPr>
            <w:tcW w:type="dxa" w:w="1417"/>
            <w:shd w:val="clear" w:color="auto" w:fill="D5E8F0"/>
            <w:vAlign w:val="center"/>
          </w:tcPr>
          <w:p>
            <w:pPr>
              <w:jc w:val="center"/>
            </w:pPr>
            <w:r>
              <w:rPr>
                <w:b/>
                <w:color w:val="333333"/>
                <w:sz w:val="18"/>
              </w:rPr>
              <w:t>vs v3</w:t>
            </w:r>
          </w:p>
        </w:tc>
        <w:tc>
          <w:tcPr>
            <w:tcW w:type="dxa" w:w="3685"/>
            <w:shd w:val="clear" w:color="auto" w:fill="D5E8F0"/>
            <w:vAlign w:val="center"/>
          </w:tcPr>
          <w:p>
            <w:pPr>
              <w:jc w:val="center"/>
            </w:pPr>
            <w:r>
              <w:rPr>
                <w:b/>
                <w:color w:val="333333"/>
                <w:sz w:val="18"/>
              </w:rPr>
              <w:t>Key change</w:t>
            </w:r>
          </w:p>
        </w:tc>
        <w:tc>
          <w:tcPr>
            <w:tcW w:type="dxa" w:w="1701"/>
            <w:shd w:val="clear" w:color="auto" w:fill="D5E8F0"/>
            <w:vAlign w:val="center"/>
          </w:tcPr>
          <w:p>
            <w:pPr>
              <w:jc w:val="center"/>
            </w:pPr>
            <w:r>
              <w:rPr>
                <w:b/>
                <w:color w:val="333333"/>
                <w:sz w:val="18"/>
              </w:rPr>
              <w:t>All feasible?</w:t>
            </w:r>
          </w:p>
        </w:tc>
      </w:tr>
      <w:tr>
        <w:tc>
          <w:tcPr>
            <w:tcW w:type="dxa" w:w="1417"/>
            <w:shd w:val="clear" w:color="auto" w:fill="FFFFFF"/>
          </w:tcPr>
          <w:p>
            <w:pPr>
              <w:jc w:val="left"/>
            </w:pPr>
            <w:r>
              <w:rPr>
                <w:sz w:val="18"/>
              </w:rPr>
              <w:t>v2</w:t>
            </w:r>
          </w:p>
        </w:tc>
        <w:tc>
          <w:tcPr>
            <w:tcW w:type="dxa" w:w="1984"/>
            <w:shd w:val="clear" w:color="auto" w:fill="FFFFFF"/>
          </w:tcPr>
          <w:p>
            <w:pPr>
              <w:jc w:val="center"/>
            </w:pPr>
            <w:r>
              <w:rPr>
                <w:sz w:val="18"/>
              </w:rPr>
              <w:t>2.808 kg</w:t>
            </w:r>
          </w:p>
        </w:tc>
        <w:tc>
          <w:tcPr>
            <w:tcW w:type="dxa" w:w="1417"/>
            <w:shd w:val="clear" w:color="auto" w:fill="FFFFFF"/>
          </w:tcPr>
          <w:p>
            <w:pPr>
              <w:jc w:val="center"/>
            </w:pPr>
            <w:r>
              <w:rPr>
                <w:sz w:val="18"/>
              </w:rPr>
              <w:t>—</w:t>
            </w:r>
          </w:p>
        </w:tc>
        <w:tc>
          <w:tcPr>
            <w:tcW w:type="dxa" w:w="3685"/>
            <w:shd w:val="clear" w:color="auto" w:fill="FFFFFF"/>
          </w:tcPr>
          <w:p>
            <w:pPr>
              <w:jc w:val="center"/>
            </w:pPr>
            <w:r>
              <w:rPr>
                <w:sz w:val="18"/>
              </w:rPr>
              <w:t>Beam FOS only; taper free</w:t>
            </w:r>
          </w:p>
        </w:tc>
        <w:tc>
          <w:tcPr>
            <w:tcW w:type="dxa" w:w="1701"/>
            <w:shd w:val="clear" w:color="auto" w:fill="FFFFFF"/>
          </w:tcPr>
          <w:p>
            <w:pPr>
              <w:jc w:val="center"/>
            </w:pPr>
            <w:r>
              <w:rPr>
                <w:sz w:val="18"/>
              </w:rPr>
              <w:t>No (54/60 infeasible)</w:t>
            </w:r>
          </w:p>
        </w:tc>
      </w:tr>
      <w:tr>
        <w:tc>
          <w:tcPr>
            <w:tcW w:type="dxa" w:w="1417"/>
            <w:shd w:val="clear" w:color="auto" w:fill="F7FBFD"/>
          </w:tcPr>
          <w:p>
            <w:pPr>
              <w:jc w:val="left"/>
            </w:pPr>
            <w:r>
              <w:rPr>
                <w:sz w:val="18"/>
              </w:rPr>
              <w:t>v3</w:t>
            </w:r>
          </w:p>
        </w:tc>
        <w:tc>
          <w:tcPr>
            <w:tcW w:type="dxa" w:w="1984"/>
            <w:shd w:val="clear" w:color="auto" w:fill="F7FBFD"/>
          </w:tcPr>
          <w:p>
            <w:pPr>
              <w:jc w:val="center"/>
            </w:pPr>
            <w:r>
              <w:rPr>
                <w:sz w:val="18"/>
              </w:rPr>
              <w:t>15.435 kg</w:t>
            </w:r>
          </w:p>
        </w:tc>
        <w:tc>
          <w:tcPr>
            <w:tcW w:type="dxa" w:w="1417"/>
            <w:shd w:val="clear" w:color="auto" w:fill="F7FBFD"/>
          </w:tcPr>
          <w:p>
            <w:pPr>
              <w:jc w:val="center"/>
            </w:pPr>
            <w:r>
              <w:rPr>
                <w:sz w:val="18"/>
              </w:rPr>
              <w:t>baseline</w:t>
            </w:r>
          </w:p>
        </w:tc>
        <w:tc>
          <w:tcPr>
            <w:tcW w:type="dxa" w:w="3685"/>
            <w:shd w:val="clear" w:color="auto" w:fill="F7FBFD"/>
          </w:tcPr>
          <w:p>
            <w:pPr>
              <w:jc w:val="center"/>
            </w:pPr>
            <w:r>
              <w:rPr>
                <w:sz w:val="18"/>
              </w:rPr>
              <w:t>Torsional FOS added; forced cylindrical</w:t>
            </w:r>
          </w:p>
        </w:tc>
        <w:tc>
          <w:tcPr>
            <w:tcW w:type="dxa" w:w="1701"/>
            <w:shd w:val="clear" w:color="auto" w:fill="F7FBFD"/>
          </w:tcPr>
          <w:p>
            <w:pPr>
              <w:jc w:val="center"/>
            </w:pPr>
            <w:r>
              <w:rPr>
                <w:sz w:val="18"/>
              </w:rPr>
              <w:t>Yes</w:t>
            </w:r>
          </w:p>
        </w:tc>
      </w:tr>
      <w:tr>
        <w:tc>
          <w:tcPr>
            <w:tcW w:type="dxa" w:w="1417"/>
            <w:shd w:val="clear" w:color="auto" w:fill="FFFFFF"/>
          </w:tcPr>
          <w:p>
            <w:pPr>
              <w:jc w:val="left"/>
            </w:pPr>
            <w:r>
              <w:rPr>
                <w:sz w:val="18"/>
              </w:rPr>
              <w:t>v4</w:t>
            </w:r>
          </w:p>
        </w:tc>
        <w:tc>
          <w:tcPr>
            <w:tcW w:type="dxa" w:w="1984"/>
            <w:shd w:val="clear" w:color="auto" w:fill="FFFFFF"/>
          </w:tcPr>
          <w:p>
            <w:pPr>
              <w:jc w:val="center"/>
            </w:pPr>
            <w:r>
              <w:rPr>
                <w:sz w:val="18"/>
              </w:rPr>
              <w:t>10.587 kg</w:t>
            </w:r>
          </w:p>
        </w:tc>
        <w:tc>
          <w:tcPr>
            <w:tcW w:type="dxa" w:w="1417"/>
            <w:shd w:val="clear" w:color="auto" w:fill="FFFFFF"/>
          </w:tcPr>
          <w:p>
            <w:pPr>
              <w:jc w:val="center"/>
            </w:pPr>
            <w:r>
              <w:rPr>
                <w:sz w:val="18"/>
              </w:rPr>
              <w:t>−31.4%</w:t>
            </w:r>
          </w:p>
        </w:tc>
        <w:tc>
          <w:tcPr>
            <w:tcW w:type="dxa" w:w="3685"/>
            <w:shd w:val="clear" w:color="auto" w:fill="FFFFFF"/>
          </w:tcPr>
          <w:p>
            <w:pPr>
              <w:jc w:val="center"/>
            </w:pPr>
            <w:r>
              <w:rPr>
                <w:sz w:val="18"/>
              </w:rPr>
              <w:t>Taper free; constant L/r spacing</w:t>
            </w:r>
          </w:p>
        </w:tc>
        <w:tc>
          <w:tcPr>
            <w:tcW w:type="dxa" w:w="1701"/>
            <w:shd w:val="clear" w:color="auto" w:fill="FFFFFF"/>
          </w:tcPr>
          <w:p>
            <w:pPr>
              <w:jc w:val="center"/>
            </w:pPr>
            <w:r>
              <w:rPr>
                <w:sz w:val="18"/>
              </w:rPr>
              <w:t>Yes (all 60)</w:t>
            </w:r>
          </w:p>
        </w:tc>
      </w:tr>
      <w:tr>
        <w:tc>
          <w:tcPr>
            <w:tcW w:type="dxa" w:w="1417"/>
            <w:shd w:val="clear" w:color="auto" w:fill="F7FBFD"/>
          </w:tcPr>
          <w:p>
            <w:pPr>
              <w:jc w:val="left"/>
            </w:pPr>
            <w:r>
              <w:rPr>
                <w:sz w:val="18"/>
              </w:rPr>
              <w:t>v5</w:t>
            </w:r>
          </w:p>
        </w:tc>
        <w:tc>
          <w:tcPr>
            <w:tcW w:type="dxa" w:w="1984"/>
            <w:shd w:val="clear" w:color="auto" w:fill="F7FBFD"/>
          </w:tcPr>
          <w:p>
            <w:pPr>
              <w:jc w:val="center"/>
            </w:pPr>
            <w:r>
              <w:rPr>
                <w:sz w:val="18"/>
              </w:rPr>
              <w:t>11.470 kg</w:t>
            </w:r>
          </w:p>
        </w:tc>
        <w:tc>
          <w:tcPr>
            <w:tcW w:type="dxa" w:w="1417"/>
            <w:shd w:val="clear" w:color="auto" w:fill="F7FBFD"/>
          </w:tcPr>
          <w:p>
            <w:pPr>
              <w:jc w:val="center"/>
            </w:pPr>
            <w:r>
              <w:rPr>
                <w:sz w:val="18"/>
              </w:rPr>
              <w:t>−23.7%</w:t>
            </w:r>
          </w:p>
        </w:tc>
        <w:tc>
          <w:tcPr>
            <w:tcW w:type="dxa" w:w="3685"/>
            <w:shd w:val="clear" w:color="auto" w:fill="F7FBFD"/>
          </w:tcPr>
          <w:p>
            <w:pPr>
              <w:jc w:val="center"/>
            </w:pPr>
            <w:r>
              <w:rPr>
                <w:sz w:val="18"/>
              </w:rPr>
              <w:t>BEM-coupled Cp(n_lines, TSR) replaces fixed CT</w:t>
            </w:r>
          </w:p>
        </w:tc>
        <w:tc>
          <w:tcPr>
            <w:tcW w:type="dxa" w:w="1701"/>
            <w:shd w:val="clear" w:color="auto" w:fill="F7FBFD"/>
          </w:tcPr>
          <w:p>
            <w:pPr>
              <w:jc w:val="center"/>
            </w:pPr>
            <w:r>
              <w:rPr>
                <w:sz w:val="18"/>
              </w:rPr>
              <w:t>Yes (all 60)</w:t>
            </w:r>
          </w:p>
        </w:tc>
      </w:tr>
    </w:tbl>
    <w:p/>
    <w:p>
      <w:pPr>
        <w:spacing w:after="120"/>
      </w:pPr>
      <w:r>
        <w:rPr>
          <w:b w:val="0"/>
          <w:i w:val="0"/>
          <w:sz w:val="20"/>
        </w:rPr>
        <w:t>Note: v2 is structurally invalid because 54/60 islands violated the torsional FOS constraint that was not yet enforced. Its 2.808 kg mass is quoted only to illustrate the cost of adding torsional physics. The v3→v4 mass reduction of 31.4% demonstrates the value of restoring taper freedom. The v4→v5 increase of 8.3% reflects BEM-corrected aerodynamic loading.</w:t>
      </w:r>
    </w:p>
    <w:p>
      <w:pPr>
        <w:pStyle w:val="Heading1"/>
        <w:spacing w:before="280" w:after="120"/>
      </w:pPr>
      <w:r>
        <w:rPr>
          <w:b/>
          <w:color w:val="1A6B9A"/>
        </w:rPr>
        <w:t>4. v4 Campaign — Phase J Results</w:t>
      </w:r>
    </w:p>
    <w:p>
      <w:pPr>
        <w:spacing w:after="120"/>
      </w:pPr>
      <w:r>
        <w:rPr>
          <w:b w:val="0"/>
          <w:i w:val="0"/>
          <w:sz w:val="20"/>
        </w:rPr>
        <w:t>The v4 campaign ran 60 islands (2 power configs × 3 beam profiles × 5 L/r initialisation zones × 2 RNG seeds) for approximately 168 hours, generating ∼128×10⁶ evaluations per island via Differential Evolution.</w:t>
      </w:r>
    </w:p>
    <w:p>
      <w:pPr>
        <w:pStyle w:val="Heading2"/>
        <w:spacing w:before="200" w:after="120"/>
      </w:pPr>
      <w:r>
        <w:rPr>
          <w:b/>
          <w:color w:val="333333"/>
        </w:rPr>
        <w:t>4.1  10 kW Winner</w:t>
      </w:r>
    </w:p>
    <w:tbl>
      <w:tblPr>
        <w:tblStyle w:val="TableGrid"/>
        <w:tblW w:type="auto" w:w="0"/>
        <w:jc w:val="left"/>
        <w:tblLook w:firstColumn="1" w:firstRow="1" w:lastColumn="0" w:lastRow="0" w:noHBand="0" w:noVBand="1" w:val="04A0"/>
      </w:tblPr>
      <w:tblGrid>
        <w:gridCol w:w="4320"/>
        <w:gridCol w:w="4320"/>
      </w:tblGrid>
      <w:tr>
        <w:tc>
          <w:tcPr>
            <w:tcW w:type="dxa" w:w="3969"/>
            <w:shd w:val="clear" w:color="auto" w:fill="D5E8F0"/>
            <w:vAlign w:val="center"/>
          </w:tcPr>
          <w:p>
            <w:pPr>
              <w:jc w:val="center"/>
            </w:pPr>
            <w:r>
              <w:rPr>
                <w:b/>
                <w:color w:val="333333"/>
                <w:sz w:val="18"/>
              </w:rPr>
              <w:t>Parameter</w:t>
            </w:r>
          </w:p>
        </w:tc>
        <w:tc>
          <w:tcPr>
            <w:tcW w:type="dxa" w:w="5669"/>
            <w:shd w:val="clear" w:color="auto" w:fill="D5E8F0"/>
            <w:vAlign w:val="center"/>
          </w:tcPr>
          <w:p>
            <w:pPr>
              <w:jc w:val="center"/>
            </w:pPr>
            <w:r>
              <w:rPr>
                <w:b/>
                <w:color w:val="333333"/>
                <w:sz w:val="18"/>
              </w:rPr>
              <w:t>Value</w:t>
            </w:r>
          </w:p>
        </w:tc>
      </w:tr>
      <w:tr>
        <w:tc>
          <w:tcPr>
            <w:tcW w:type="dxa" w:w="3969"/>
            <w:shd w:val="clear" w:color="auto" w:fill="FFFFFF"/>
          </w:tcPr>
          <w:p>
            <w:pPr>
              <w:jc w:val="left"/>
            </w:pPr>
            <w:r>
              <w:rPr>
                <w:sz w:val="18"/>
              </w:rPr>
              <w:t>Total shaft mass</w:t>
            </w:r>
          </w:p>
        </w:tc>
        <w:tc>
          <w:tcPr>
            <w:tcW w:type="dxa" w:w="5669"/>
            <w:shd w:val="clear" w:color="auto" w:fill="FFFFFF"/>
          </w:tcPr>
          <w:p>
            <w:pPr>
              <w:jc w:val="center"/>
            </w:pPr>
            <w:r>
              <w:rPr>
                <w:sz w:val="18"/>
              </w:rPr>
              <w:t>10.587 kg</w:t>
            </w:r>
          </w:p>
        </w:tc>
      </w:tr>
      <w:tr>
        <w:tc>
          <w:tcPr>
            <w:tcW w:type="dxa" w:w="3969"/>
            <w:shd w:val="clear" w:color="auto" w:fill="F7FBFD"/>
          </w:tcPr>
          <w:p>
            <w:pPr>
              <w:jc w:val="left"/>
            </w:pPr>
            <w:r>
              <w:rPr>
                <w:sz w:val="18"/>
              </w:rPr>
              <w:t>Beam profile</w:t>
            </w:r>
          </w:p>
        </w:tc>
        <w:tc>
          <w:tcPr>
            <w:tcW w:type="dxa" w:w="5669"/>
            <w:shd w:val="clear" w:color="auto" w:fill="F7FBFD"/>
          </w:tcPr>
          <w:p>
            <w:pPr>
              <w:jc w:val="center"/>
            </w:pPr>
            <w:r>
              <w:rPr>
                <w:sz w:val="18"/>
              </w:rPr>
              <w:t>Circular (Elliptical identical)</w:t>
            </w:r>
          </w:p>
        </w:tc>
      </w:tr>
      <w:tr>
        <w:tc>
          <w:tcPr>
            <w:tcW w:type="dxa" w:w="3969"/>
            <w:shd w:val="clear" w:color="auto" w:fill="FFFFFF"/>
          </w:tcPr>
          <w:p>
            <w:pPr>
              <w:jc w:val="left"/>
            </w:pPr>
            <w:r>
              <w:rPr>
                <w:sz w:val="18"/>
              </w:rPr>
              <w:t>Hub ring radius r_hub</w:t>
            </w:r>
          </w:p>
        </w:tc>
        <w:tc>
          <w:tcPr>
            <w:tcW w:type="dxa" w:w="5669"/>
            <w:shd w:val="clear" w:color="auto" w:fill="FFFFFF"/>
          </w:tcPr>
          <w:p>
            <w:pPr>
              <w:jc w:val="center"/>
            </w:pPr>
            <w:r>
              <w:rPr>
                <w:sz w:val="18"/>
              </w:rPr>
              <w:t>1.600 m</w:t>
            </w:r>
          </w:p>
        </w:tc>
      </w:tr>
      <w:tr>
        <w:tc>
          <w:tcPr>
            <w:tcW w:type="dxa" w:w="3969"/>
            <w:shd w:val="clear" w:color="auto" w:fill="F7FBFD"/>
          </w:tcPr>
          <w:p>
            <w:pPr>
              <w:jc w:val="left"/>
            </w:pPr>
            <w:r>
              <w:rPr>
                <w:sz w:val="18"/>
              </w:rPr>
              <w:t>Ground ring radius r_bottom</w:t>
            </w:r>
          </w:p>
        </w:tc>
        <w:tc>
          <w:tcPr>
            <w:tcW w:type="dxa" w:w="5669"/>
            <w:shd w:val="clear" w:color="auto" w:fill="F7FBFD"/>
          </w:tcPr>
          <w:p>
            <w:pPr>
              <w:jc w:val="center"/>
            </w:pPr>
            <w:r>
              <w:rPr>
                <w:sz w:val="18"/>
              </w:rPr>
              <w:t>0.336 m</w:t>
            </w:r>
          </w:p>
        </w:tc>
      </w:tr>
      <w:tr>
        <w:tc>
          <w:tcPr>
            <w:tcW w:type="dxa" w:w="3969"/>
            <w:shd w:val="clear" w:color="auto" w:fill="FFFFFF"/>
          </w:tcPr>
          <w:p>
            <w:pPr>
              <w:jc w:val="left"/>
            </w:pPr>
            <w:r>
              <w:rPr>
                <w:sz w:val="18"/>
              </w:rPr>
              <w:t>Tether length</w:t>
            </w:r>
          </w:p>
        </w:tc>
        <w:tc>
          <w:tcPr>
            <w:tcW w:type="dxa" w:w="5669"/>
            <w:shd w:val="clear" w:color="auto" w:fill="FFFFFF"/>
          </w:tcPr>
          <w:p>
            <w:pPr>
              <w:jc w:val="center"/>
            </w:pPr>
            <w:r>
              <w:rPr>
                <w:sz w:val="18"/>
              </w:rPr>
              <w:t>30.0 m</w:t>
            </w:r>
          </w:p>
        </w:tc>
      </w:tr>
      <w:tr>
        <w:tc>
          <w:tcPr>
            <w:tcW w:type="dxa" w:w="3969"/>
            <w:shd w:val="clear" w:color="auto" w:fill="F7FBFD"/>
          </w:tcPr>
          <w:p>
            <w:pPr>
              <w:jc w:val="left"/>
            </w:pPr>
            <w:r>
              <w:rPr>
                <w:sz w:val="18"/>
              </w:rPr>
              <w:t>Target L/r</w:t>
            </w:r>
          </w:p>
        </w:tc>
        <w:tc>
          <w:tcPr>
            <w:tcW w:type="dxa" w:w="5669"/>
            <w:shd w:val="clear" w:color="auto" w:fill="F7FBFD"/>
          </w:tcPr>
          <w:p>
            <w:pPr>
              <w:jc w:val="center"/>
            </w:pPr>
            <w:r>
              <w:rPr>
                <w:sz w:val="18"/>
              </w:rPr>
              <w:t>2.000</w:t>
            </w:r>
          </w:p>
        </w:tc>
      </w:tr>
      <w:tr>
        <w:tc>
          <w:tcPr>
            <w:tcW w:type="dxa" w:w="3969"/>
            <w:shd w:val="clear" w:color="auto" w:fill="FFFFFF"/>
          </w:tcPr>
          <w:p>
            <w:pPr>
              <w:jc w:val="left"/>
            </w:pPr>
            <w:r>
              <w:rPr>
                <w:sz w:val="18"/>
              </w:rPr>
              <w:t>Derived n_rings</w:t>
            </w:r>
          </w:p>
        </w:tc>
        <w:tc>
          <w:tcPr>
            <w:tcW w:type="dxa" w:w="5669"/>
            <w:shd w:val="clear" w:color="auto" w:fill="FFFFFF"/>
          </w:tcPr>
          <w:p>
            <w:pPr>
              <w:jc w:val="center"/>
            </w:pPr>
            <w:r>
              <w:rPr>
                <w:sz w:val="18"/>
              </w:rPr>
              <w:t>≈19</w:t>
            </w:r>
          </w:p>
        </w:tc>
      </w:tr>
      <w:tr>
        <w:tc>
          <w:tcPr>
            <w:tcW w:type="dxa" w:w="3969"/>
            <w:shd w:val="clear" w:color="auto" w:fill="F7FBFD"/>
          </w:tcPr>
          <w:p>
            <w:pPr>
              <w:jc w:val="left"/>
            </w:pPr>
            <w:r>
              <w:rPr>
                <w:sz w:val="18"/>
              </w:rPr>
              <w:t>n_lines</w:t>
            </w:r>
          </w:p>
        </w:tc>
        <w:tc>
          <w:tcPr>
            <w:tcW w:type="dxa" w:w="5669"/>
            <w:shd w:val="clear" w:color="auto" w:fill="F7FBFD"/>
          </w:tcPr>
          <w:p>
            <w:pPr>
              <w:jc w:val="center"/>
            </w:pPr>
            <w:r>
              <w:rPr>
                <w:sz w:val="18"/>
              </w:rPr>
              <w:t>8</w:t>
            </w:r>
          </w:p>
        </w:tc>
      </w:tr>
      <w:tr>
        <w:tc>
          <w:tcPr>
            <w:tcW w:type="dxa" w:w="3969"/>
            <w:shd w:val="clear" w:color="auto" w:fill="FFFFFF"/>
          </w:tcPr>
          <w:p>
            <w:pPr>
              <w:jc w:val="left"/>
            </w:pPr>
            <w:r>
              <w:rPr>
                <w:sz w:val="18"/>
              </w:rPr>
              <w:t>Do_top</w:t>
            </w:r>
          </w:p>
        </w:tc>
        <w:tc>
          <w:tcPr>
            <w:tcW w:type="dxa" w:w="5669"/>
            <w:shd w:val="clear" w:color="auto" w:fill="FFFFFF"/>
          </w:tcPr>
          <w:p>
            <w:pPr>
              <w:jc w:val="center"/>
            </w:pPr>
            <w:r>
              <w:rPr>
                <w:sz w:val="18"/>
              </w:rPr>
              <w:t>39 mm</w:t>
            </w:r>
          </w:p>
        </w:tc>
      </w:tr>
      <w:tr>
        <w:tc>
          <w:tcPr>
            <w:tcW w:type="dxa" w:w="3969"/>
            <w:shd w:val="clear" w:color="auto" w:fill="F7FBFD"/>
          </w:tcPr>
          <w:p>
            <w:pPr>
              <w:jc w:val="left"/>
            </w:pPr>
            <w:r>
              <w:rPr>
                <w:sz w:val="18"/>
              </w:rPr>
              <w:t>Taper exponent α</w:t>
            </w:r>
          </w:p>
        </w:tc>
        <w:tc>
          <w:tcPr>
            <w:tcW w:type="dxa" w:w="5669"/>
            <w:shd w:val="clear" w:color="auto" w:fill="F7FBFD"/>
          </w:tcPr>
          <w:p>
            <w:pPr>
              <w:jc w:val="center"/>
            </w:pPr>
            <w:r>
              <w:rPr>
                <w:sz w:val="18"/>
              </w:rPr>
              <w:t>0.492</w:t>
            </w:r>
          </w:p>
        </w:tc>
      </w:tr>
      <w:tr>
        <w:tc>
          <w:tcPr>
            <w:tcW w:type="dxa" w:w="3969"/>
            <w:shd w:val="clear" w:color="auto" w:fill="FFFFFF"/>
          </w:tcPr>
          <w:p>
            <w:pPr>
              <w:jc w:val="left"/>
            </w:pPr>
            <w:r>
              <w:rPr>
                <w:sz w:val="18"/>
              </w:rPr>
              <w:t>Wall ratio t/D</w:t>
            </w:r>
          </w:p>
        </w:tc>
        <w:tc>
          <w:tcPr>
            <w:tcW w:type="dxa" w:w="5669"/>
            <w:shd w:val="clear" w:color="auto" w:fill="FFFFFF"/>
          </w:tcPr>
          <w:p>
            <w:pPr>
              <w:jc w:val="center"/>
            </w:pPr>
            <w:r>
              <w:rPr>
                <w:sz w:val="18"/>
              </w:rPr>
              <w:t>0.020</w:t>
            </w:r>
          </w:p>
        </w:tc>
      </w:tr>
      <w:tr>
        <w:tc>
          <w:tcPr>
            <w:tcW w:type="dxa" w:w="3969"/>
            <w:shd w:val="clear" w:color="auto" w:fill="F7FBFD"/>
          </w:tcPr>
          <w:p>
            <w:pPr>
              <w:jc w:val="left"/>
            </w:pPr>
            <w:r>
              <w:rPr>
                <w:sz w:val="18"/>
              </w:rPr>
              <w:t>Beam FOS</w:t>
            </w:r>
          </w:p>
        </w:tc>
        <w:tc>
          <w:tcPr>
            <w:tcW w:type="dxa" w:w="5669"/>
            <w:shd w:val="clear" w:color="auto" w:fill="F7FBFD"/>
          </w:tcPr>
          <w:p>
            <w:pPr>
              <w:jc w:val="center"/>
            </w:pPr>
            <w:r>
              <w:rPr>
                <w:sz w:val="18"/>
              </w:rPr>
              <w:t>1.80 (at constraint)</w:t>
            </w:r>
          </w:p>
        </w:tc>
      </w:tr>
      <w:tr>
        <w:tc>
          <w:tcPr>
            <w:tcW w:type="dxa" w:w="3969"/>
            <w:shd w:val="clear" w:color="auto" w:fill="FFFFFF"/>
          </w:tcPr>
          <w:p>
            <w:pPr>
              <w:jc w:val="left"/>
            </w:pPr>
            <w:r>
              <w:rPr>
                <w:sz w:val="18"/>
              </w:rPr>
              <w:t>Torsional FOS</w:t>
            </w:r>
          </w:p>
        </w:tc>
        <w:tc>
          <w:tcPr>
            <w:tcW w:type="dxa" w:w="5669"/>
            <w:shd w:val="clear" w:color="auto" w:fill="FFFFFF"/>
          </w:tcPr>
          <w:p>
            <w:pPr>
              <w:jc w:val="center"/>
            </w:pPr>
            <w:r>
              <w:rPr>
                <w:sz w:val="18"/>
              </w:rPr>
              <w:t>≥1.50 (all feasible)</w:t>
            </w:r>
          </w:p>
        </w:tc>
      </w:tr>
    </w:tbl>
    <w:p/>
    <w:p>
      <w:pPr>
        <w:pStyle w:val="Heading2"/>
        <w:spacing w:before="200" w:after="120"/>
      </w:pPr>
      <w:r>
        <w:rPr>
          <w:b/>
          <w:color w:val="333333"/>
        </w:rPr>
        <w:t>4.2  50 kW Results (v4)</w:t>
      </w:r>
    </w:p>
    <w:tbl>
      <w:tblPr>
        <w:tblStyle w:val="TableGrid"/>
        <w:tblW w:type="auto" w:w="0"/>
        <w:jc w:val="left"/>
        <w:tblLook w:firstColumn="1" w:firstRow="1" w:lastColumn="0" w:lastRow="0" w:noHBand="0" w:noVBand="1" w:val="04A0"/>
      </w:tblPr>
      <w:tblGrid>
        <w:gridCol w:w="4320"/>
        <w:gridCol w:w="4320"/>
      </w:tblGrid>
      <w:tr>
        <w:tc>
          <w:tcPr>
            <w:tcW w:type="dxa" w:w="3402"/>
            <w:shd w:val="clear" w:color="auto" w:fill="D5E8F0"/>
            <w:vAlign w:val="center"/>
          </w:tcPr>
          <w:p>
            <w:pPr>
              <w:jc w:val="center"/>
            </w:pPr>
            <w:r>
              <w:rPr>
                <w:b/>
                <w:color w:val="333333"/>
                <w:sz w:val="18"/>
              </w:rPr>
              <w:t>Beam profile</w:t>
            </w:r>
          </w:p>
        </w:tc>
        <w:tc>
          <w:tcPr>
            <w:tcW w:type="dxa" w:w="2835"/>
            <w:shd w:val="clear" w:color="auto" w:fill="D5E8F0"/>
            <w:vAlign w:val="center"/>
          </w:tcPr>
          <w:p>
            <w:pPr>
              <w:jc w:val="center"/>
            </w:pPr>
            <w:r>
              <w:rPr>
                <w:b/>
                <w:color w:val="333333"/>
                <w:sz w:val="18"/>
              </w:rPr>
              <w:t>Best mass (50 kW)</w:t>
            </w:r>
          </w:p>
        </w:tc>
      </w:tr>
      <w:tr>
        <w:tc>
          <w:tcPr>
            <w:tcW w:type="dxa" w:w="3402"/>
            <w:shd w:val="clear" w:color="auto" w:fill="FFFFFF"/>
          </w:tcPr>
          <w:p>
            <w:pPr>
              <w:jc w:val="left"/>
            </w:pPr>
            <w:r>
              <w:rPr>
                <w:sz w:val="18"/>
              </w:rPr>
              <w:t>Circular</w:t>
            </w:r>
          </w:p>
        </w:tc>
        <w:tc>
          <w:tcPr>
            <w:tcW w:type="dxa" w:w="2835"/>
            <w:shd w:val="clear" w:color="auto" w:fill="FFFFFF"/>
          </w:tcPr>
          <w:p>
            <w:pPr>
              <w:jc w:val="center"/>
            </w:pPr>
            <w:r>
              <w:rPr>
                <w:sz w:val="18"/>
              </w:rPr>
              <w:t>79.51 kg</w:t>
            </w:r>
          </w:p>
        </w:tc>
      </w:tr>
      <w:tr>
        <w:tc>
          <w:tcPr>
            <w:tcW w:type="dxa" w:w="3402"/>
            <w:shd w:val="clear" w:color="auto" w:fill="F7FBFD"/>
          </w:tcPr>
          <w:p>
            <w:pPr>
              <w:jc w:val="left"/>
            </w:pPr>
            <w:r>
              <w:rPr>
                <w:sz w:val="18"/>
              </w:rPr>
              <w:t>Elliptical</w:t>
            </w:r>
          </w:p>
        </w:tc>
        <w:tc>
          <w:tcPr>
            <w:tcW w:type="dxa" w:w="2835"/>
            <w:shd w:val="clear" w:color="auto" w:fill="F7FBFD"/>
          </w:tcPr>
          <w:p>
            <w:pPr>
              <w:jc w:val="center"/>
            </w:pPr>
            <w:r>
              <w:rPr>
                <w:sz w:val="18"/>
              </w:rPr>
              <w:t>79.51 kg</w:t>
            </w:r>
          </w:p>
        </w:tc>
      </w:tr>
      <w:tr>
        <w:tc>
          <w:tcPr>
            <w:tcW w:type="dxa" w:w="3402"/>
            <w:shd w:val="clear" w:color="auto" w:fill="FFFFFF"/>
          </w:tcPr>
          <w:p>
            <w:pPr>
              <w:jc w:val="left"/>
            </w:pPr>
            <w:r>
              <w:rPr>
                <w:sz w:val="18"/>
              </w:rPr>
              <w:t>Airfoil</w:t>
            </w:r>
          </w:p>
        </w:tc>
        <w:tc>
          <w:tcPr>
            <w:tcW w:type="dxa" w:w="2835"/>
            <w:shd w:val="clear" w:color="auto" w:fill="FFFFFF"/>
          </w:tcPr>
          <w:p>
            <w:pPr>
              <w:jc w:val="center"/>
            </w:pPr>
            <w:r>
              <w:rPr>
                <w:sz w:val="18"/>
              </w:rPr>
              <w:t>749.50 kg</w:t>
            </w:r>
          </w:p>
        </w:tc>
      </w:tr>
    </w:tbl>
    <w:p/>
    <w:p>
      <w:pPr>
        <w:pStyle w:val="Heading2"/>
        <w:spacing w:before="200" w:after="120"/>
      </w:pPr>
      <w:r>
        <w:rPr>
          <w:b/>
          <w:color w:val="333333"/>
        </w:rPr>
        <w:t>4.3  Key Phase J Findings</w:t>
      </w:r>
    </w:p>
    <w:p>
      <w:pPr>
        <w:pStyle w:val="ListBullet"/>
        <w:spacing w:after="80"/>
      </w:pPr>
      <w:r>
        <w:rPr>
          <w:b/>
        </w:rPr>
        <w:t xml:space="preserve">Taper restoration validated: </w:t>
      </w:r>
      <w:r>
        <w:rPr>
          <w:sz w:val="20"/>
        </w:rPr>
        <w:t>31% mass reduction vs v3 is robust across all 20 relevant islands. The saving arises because a tapered shaft carries lower torsional load in the narrow lower segments.</w:t>
      </w:r>
    </w:p>
    <w:p>
      <w:pPr>
        <w:pStyle w:val="ListBullet"/>
        <w:spacing w:after="80"/>
      </w:pPr>
      <w:r>
        <w:rPr>
          <w:b/>
        </w:rPr>
        <w:t xml:space="preserve">Constant L/r is the right physics: </w:t>
      </w:r>
      <w:r>
        <w:rPr>
          <w:sz w:val="20"/>
        </w:rPr>
        <w:t>Derived n_rings ≈19 is far higher than v3’s 5 rings. This has manufacturing implications.</w:t>
      </w:r>
    </w:p>
    <w:p>
      <w:pPr>
        <w:pStyle w:val="ListBullet"/>
        <w:spacing w:after="80"/>
      </w:pPr>
      <w:r>
        <w:rPr>
          <w:b/>
        </w:rPr>
        <w:t xml:space="preserve">Airfoil profiles disqualified: </w:t>
      </w:r>
      <w:r>
        <w:rPr>
          <w:sz w:val="20"/>
        </w:rPr>
        <w:t>7× heavier than circular at 10 kW; ≈9× at 50 kW. Dropped from v6 onwards.</w:t>
      </w:r>
    </w:p>
    <w:p>
      <w:pPr>
        <w:pStyle w:val="ListBullet"/>
        <w:spacing w:after="80"/>
      </w:pPr>
      <w:r>
        <w:rPr>
          <w:b/>
        </w:rPr>
        <w:t xml:space="preserve">10 kW credible at 10.587 kg: </w:t>
      </w:r>
      <w:r>
        <w:rPr>
          <w:sz w:val="20"/>
        </w:rPr>
        <w:t>Quasi-static result under DLF = 1.2, peak wind 13 m/s at 30° elevation. Full FEA validation still required.</w:t>
      </w:r>
    </w:p>
    <w:p>
      <w:pPr>
        <w:pStyle w:val="Heading1"/>
        <w:spacing w:before="280" w:after="120"/>
      </w:pPr>
      <w:r>
        <w:rPr>
          <w:b/>
          <w:color w:val="1A6B9A"/>
        </w:rPr>
        <w:t>5. v5 Campaign — Phase M Results (BEM-Coupled)</w:t>
      </w:r>
    </w:p>
    <w:p>
      <w:pPr>
        <w:spacing w:after="120"/>
      </w:pPr>
      <w:r>
        <w:rPr>
          <w:b w:val="0"/>
          <w:i w:val="0"/>
          <w:sz w:val="20"/>
        </w:rPr>
        <w:t>The v5 campaign shares the same island layout as v4 (60 islands, same DE parameters) but replaces the fixed rotor thrust coefficient (CT) with a full Blade Element Momentum model: Cp(n_lines, TSR) with per-blade chord c_blade = 0.05R and per-annulus solidity σ(r) = n·c_blade / (2πr). The rotor radius is now coupled to the aerodynamic optimum rather than fixed.</w:t>
      </w:r>
    </w:p>
    <w:p>
      <w:pPr>
        <w:pStyle w:val="Heading2"/>
        <w:spacing w:before="200" w:after="120"/>
      </w:pPr>
      <w:r>
        <w:rPr>
          <w:b/>
          <w:color w:val="333333"/>
        </w:rPr>
        <w:t>5.1  v5 Global Winner (10 kW, Island 11)</w:t>
      </w:r>
    </w:p>
    <w:tbl>
      <w:tblPr>
        <w:tblStyle w:val="TableGrid"/>
        <w:tblW w:type="auto" w:w="0"/>
        <w:jc w:val="left"/>
        <w:tblLook w:firstColumn="1" w:firstRow="1" w:lastColumn="0" w:lastRow="0" w:noHBand="0" w:noVBand="1" w:val="04A0"/>
      </w:tblPr>
      <w:tblGrid>
        <w:gridCol w:w="4320"/>
        <w:gridCol w:w="4320"/>
      </w:tblGrid>
      <w:tr>
        <w:tc>
          <w:tcPr>
            <w:tcW w:type="dxa" w:w="3969"/>
            <w:shd w:val="clear" w:color="auto" w:fill="D5E8F0"/>
            <w:vAlign w:val="center"/>
          </w:tcPr>
          <w:p>
            <w:pPr>
              <w:jc w:val="center"/>
            </w:pPr>
            <w:r>
              <w:rPr>
                <w:b/>
                <w:color w:val="333333"/>
                <w:sz w:val="18"/>
              </w:rPr>
              <w:t>Parameter</w:t>
            </w:r>
          </w:p>
        </w:tc>
        <w:tc>
          <w:tcPr>
            <w:tcW w:type="dxa" w:w="5669"/>
            <w:shd w:val="clear" w:color="auto" w:fill="D5E8F0"/>
            <w:vAlign w:val="center"/>
          </w:tcPr>
          <w:p>
            <w:pPr>
              <w:jc w:val="center"/>
            </w:pPr>
            <w:r>
              <w:rPr>
                <w:b/>
                <w:color w:val="333333"/>
                <w:sz w:val="18"/>
              </w:rPr>
              <w:t>Value</w:t>
            </w:r>
          </w:p>
        </w:tc>
      </w:tr>
      <w:tr>
        <w:tc>
          <w:tcPr>
            <w:tcW w:type="dxa" w:w="3969"/>
            <w:shd w:val="clear" w:color="auto" w:fill="FFFFFF"/>
          </w:tcPr>
          <w:p>
            <w:pPr>
              <w:jc w:val="left"/>
            </w:pPr>
            <w:r>
              <w:rPr>
                <w:sz w:val="18"/>
              </w:rPr>
              <w:t>Total shaft mass</w:t>
            </w:r>
          </w:p>
        </w:tc>
        <w:tc>
          <w:tcPr>
            <w:tcW w:type="dxa" w:w="5669"/>
            <w:shd w:val="clear" w:color="auto" w:fill="FFFFFF"/>
          </w:tcPr>
          <w:p>
            <w:pPr>
              <w:jc w:val="center"/>
            </w:pPr>
            <w:r>
              <w:rPr>
                <w:sz w:val="18"/>
              </w:rPr>
              <w:t>11.470 kg (+8.3% vs v4)</w:t>
            </w:r>
          </w:p>
        </w:tc>
      </w:tr>
      <w:tr>
        <w:tc>
          <w:tcPr>
            <w:tcW w:type="dxa" w:w="3969"/>
            <w:shd w:val="clear" w:color="auto" w:fill="F7FBFD"/>
          </w:tcPr>
          <w:p>
            <w:pPr>
              <w:jc w:val="left"/>
            </w:pPr>
            <w:r>
              <w:rPr>
                <w:sz w:val="18"/>
              </w:rPr>
              <w:t>Island</w:t>
            </w:r>
          </w:p>
        </w:tc>
        <w:tc>
          <w:tcPr>
            <w:tcW w:type="dxa" w:w="5669"/>
            <w:shd w:val="clear" w:color="auto" w:fill="F7FBFD"/>
          </w:tcPr>
          <w:p>
            <w:pPr>
              <w:jc w:val="center"/>
            </w:pPr>
            <w:r>
              <w:rPr>
                <w:sz w:val="18"/>
              </w:rPr>
              <w:t>11 (10kW circular)</w:t>
            </w:r>
          </w:p>
        </w:tc>
      </w:tr>
      <w:tr>
        <w:tc>
          <w:tcPr>
            <w:tcW w:type="dxa" w:w="3969"/>
            <w:shd w:val="clear" w:color="auto" w:fill="FFFFFF"/>
          </w:tcPr>
          <w:p>
            <w:pPr>
              <w:jc w:val="left"/>
            </w:pPr>
            <w:r>
              <w:rPr>
                <w:sz w:val="18"/>
              </w:rPr>
              <w:t>Beam profile</w:t>
            </w:r>
          </w:p>
        </w:tc>
        <w:tc>
          <w:tcPr>
            <w:tcW w:type="dxa" w:w="5669"/>
            <w:shd w:val="clear" w:color="auto" w:fill="FFFFFF"/>
          </w:tcPr>
          <w:p>
            <w:pPr>
              <w:jc w:val="center"/>
            </w:pPr>
            <w:r>
              <w:rPr>
                <w:sz w:val="18"/>
              </w:rPr>
              <w:t>Circular (elliptical identical)</w:t>
            </w:r>
          </w:p>
        </w:tc>
      </w:tr>
      <w:tr>
        <w:tc>
          <w:tcPr>
            <w:tcW w:type="dxa" w:w="3969"/>
            <w:shd w:val="clear" w:color="auto" w:fill="F7FBFD"/>
          </w:tcPr>
          <w:p>
            <w:pPr>
              <w:jc w:val="left"/>
            </w:pPr>
            <w:r>
              <w:rPr>
                <w:sz w:val="18"/>
              </w:rPr>
              <w:t>n_lines</w:t>
            </w:r>
          </w:p>
        </w:tc>
        <w:tc>
          <w:tcPr>
            <w:tcW w:type="dxa" w:w="5669"/>
            <w:shd w:val="clear" w:color="auto" w:fill="F7FBFD"/>
          </w:tcPr>
          <w:p>
            <w:pPr>
              <w:jc w:val="center"/>
            </w:pPr>
            <w:r>
              <w:rPr>
                <w:sz w:val="18"/>
              </w:rPr>
              <w:t>8</w:t>
            </w:r>
          </w:p>
        </w:tc>
      </w:tr>
      <w:tr>
        <w:tc>
          <w:tcPr>
            <w:tcW w:type="dxa" w:w="3969"/>
            <w:shd w:val="clear" w:color="auto" w:fill="FFFFFF"/>
          </w:tcPr>
          <w:p>
            <w:pPr>
              <w:jc w:val="left"/>
            </w:pPr>
            <w:r>
              <w:rPr>
                <w:sz w:val="18"/>
              </w:rPr>
              <w:t>Hub ring radius r_hub</w:t>
            </w:r>
          </w:p>
        </w:tc>
        <w:tc>
          <w:tcPr>
            <w:tcW w:type="dxa" w:w="5669"/>
            <w:shd w:val="clear" w:color="auto" w:fill="FFFFFF"/>
          </w:tcPr>
          <w:p>
            <w:pPr>
              <w:jc w:val="center"/>
            </w:pPr>
            <w:r>
              <w:rPr>
                <w:sz w:val="18"/>
              </w:rPr>
              <w:t>1.600 m</w:t>
            </w:r>
          </w:p>
        </w:tc>
      </w:tr>
      <w:tr>
        <w:tc>
          <w:tcPr>
            <w:tcW w:type="dxa" w:w="3969"/>
            <w:shd w:val="clear" w:color="auto" w:fill="F7FBFD"/>
          </w:tcPr>
          <w:p>
            <w:pPr>
              <w:jc w:val="left"/>
            </w:pPr>
            <w:r>
              <w:rPr>
                <w:sz w:val="18"/>
              </w:rPr>
              <w:t>Ground ring radius r_bottom</w:t>
            </w:r>
          </w:p>
        </w:tc>
        <w:tc>
          <w:tcPr>
            <w:tcW w:type="dxa" w:w="5669"/>
            <w:shd w:val="clear" w:color="auto" w:fill="F7FBFD"/>
          </w:tcPr>
          <w:p>
            <w:pPr>
              <w:jc w:val="center"/>
            </w:pPr>
            <w:r>
              <w:rPr>
                <w:sz w:val="18"/>
              </w:rPr>
              <w:t>0.336 m</w:t>
            </w:r>
          </w:p>
        </w:tc>
      </w:tr>
      <w:tr>
        <w:tc>
          <w:tcPr>
            <w:tcW w:type="dxa" w:w="3969"/>
            <w:shd w:val="clear" w:color="auto" w:fill="FFFFFF"/>
          </w:tcPr>
          <w:p>
            <w:pPr>
              <w:jc w:val="left"/>
            </w:pPr>
            <w:r>
              <w:rPr>
                <w:sz w:val="18"/>
              </w:rPr>
              <w:t>Tether length</w:t>
            </w:r>
          </w:p>
        </w:tc>
        <w:tc>
          <w:tcPr>
            <w:tcW w:type="dxa" w:w="5669"/>
            <w:shd w:val="clear" w:color="auto" w:fill="FFFFFF"/>
          </w:tcPr>
          <w:p>
            <w:pPr>
              <w:jc w:val="center"/>
            </w:pPr>
            <w:r>
              <w:rPr>
                <w:sz w:val="18"/>
              </w:rPr>
              <w:t>30.0 m</w:t>
            </w:r>
          </w:p>
        </w:tc>
      </w:tr>
      <w:tr>
        <w:tc>
          <w:tcPr>
            <w:tcW w:type="dxa" w:w="3969"/>
            <w:shd w:val="clear" w:color="auto" w:fill="F7FBFD"/>
          </w:tcPr>
          <w:p>
            <w:pPr>
              <w:jc w:val="left"/>
            </w:pPr>
            <w:r>
              <w:rPr>
                <w:sz w:val="18"/>
              </w:rPr>
              <w:t>Target L/r</w:t>
            </w:r>
          </w:p>
        </w:tc>
        <w:tc>
          <w:tcPr>
            <w:tcW w:type="dxa" w:w="5669"/>
            <w:shd w:val="clear" w:color="auto" w:fill="F7FBFD"/>
          </w:tcPr>
          <w:p>
            <w:pPr>
              <w:jc w:val="center"/>
            </w:pPr>
            <w:r>
              <w:rPr>
                <w:sz w:val="18"/>
              </w:rPr>
              <w:t>2.000</w:t>
            </w:r>
          </w:p>
        </w:tc>
      </w:tr>
      <w:tr>
        <w:tc>
          <w:tcPr>
            <w:tcW w:type="dxa" w:w="3969"/>
            <w:shd w:val="clear" w:color="auto" w:fill="FFFFFF"/>
          </w:tcPr>
          <w:p>
            <w:pPr>
              <w:jc w:val="left"/>
            </w:pPr>
            <w:r>
              <w:rPr>
                <w:sz w:val="18"/>
              </w:rPr>
              <w:t>Do_top</w:t>
            </w:r>
          </w:p>
        </w:tc>
        <w:tc>
          <w:tcPr>
            <w:tcW w:type="dxa" w:w="5669"/>
            <w:shd w:val="clear" w:color="auto" w:fill="FFFFFF"/>
          </w:tcPr>
          <w:p>
            <w:pPr>
              <w:jc w:val="center"/>
            </w:pPr>
            <w:r>
              <w:rPr>
                <w:sz w:val="18"/>
              </w:rPr>
              <w:t>40.9 mm</w:t>
            </w:r>
          </w:p>
        </w:tc>
      </w:tr>
      <w:tr>
        <w:tc>
          <w:tcPr>
            <w:tcW w:type="dxa" w:w="3969"/>
            <w:shd w:val="clear" w:color="auto" w:fill="F7FBFD"/>
          </w:tcPr>
          <w:p>
            <w:pPr>
              <w:jc w:val="left"/>
            </w:pPr>
            <w:r>
              <w:rPr>
                <w:sz w:val="18"/>
              </w:rPr>
              <w:t>Taper exponent α</w:t>
            </w:r>
          </w:p>
        </w:tc>
        <w:tc>
          <w:tcPr>
            <w:tcW w:type="dxa" w:w="5669"/>
            <w:shd w:val="clear" w:color="auto" w:fill="F7FBFD"/>
          </w:tcPr>
          <w:p>
            <w:pPr>
              <w:jc w:val="center"/>
            </w:pPr>
            <w:r>
              <w:rPr>
                <w:sz w:val="18"/>
              </w:rPr>
              <w:t>0.493</w:t>
            </w:r>
          </w:p>
        </w:tc>
      </w:tr>
      <w:tr>
        <w:tc>
          <w:tcPr>
            <w:tcW w:type="dxa" w:w="3969"/>
            <w:shd w:val="clear" w:color="auto" w:fill="FFFFFF"/>
          </w:tcPr>
          <w:p>
            <w:pPr>
              <w:jc w:val="left"/>
            </w:pPr>
            <w:r>
              <w:rPr>
                <w:sz w:val="18"/>
              </w:rPr>
              <w:t>Wall ratio t/D</w:t>
            </w:r>
          </w:p>
        </w:tc>
        <w:tc>
          <w:tcPr>
            <w:tcW w:type="dxa" w:w="5669"/>
            <w:shd w:val="clear" w:color="auto" w:fill="FFFFFF"/>
          </w:tcPr>
          <w:p>
            <w:pPr>
              <w:jc w:val="center"/>
            </w:pPr>
            <w:r>
              <w:rPr>
                <w:sz w:val="18"/>
              </w:rPr>
              <w:t>0.020</w:t>
            </w:r>
          </w:p>
        </w:tc>
      </w:tr>
      <w:tr>
        <w:tc>
          <w:tcPr>
            <w:tcW w:type="dxa" w:w="3969"/>
            <w:shd w:val="clear" w:color="auto" w:fill="F7FBFD"/>
          </w:tcPr>
          <w:p>
            <w:pPr>
              <w:jc w:val="left"/>
            </w:pPr>
            <w:r>
              <w:rPr>
                <w:sz w:val="18"/>
              </w:rPr>
              <w:t>Beam FOS</w:t>
            </w:r>
          </w:p>
        </w:tc>
        <w:tc>
          <w:tcPr>
            <w:tcW w:type="dxa" w:w="5669"/>
            <w:shd w:val="clear" w:color="auto" w:fill="F7FBFD"/>
          </w:tcPr>
          <w:p>
            <w:pPr>
              <w:jc w:val="center"/>
            </w:pPr>
            <w:r>
              <w:rPr>
                <w:sz w:val="18"/>
              </w:rPr>
              <w:t>1.80 (at constraint)</w:t>
            </w:r>
          </w:p>
        </w:tc>
      </w:tr>
      <w:tr>
        <w:tc>
          <w:tcPr>
            <w:tcW w:type="dxa" w:w="3969"/>
            <w:shd w:val="clear" w:color="auto" w:fill="FFFFFF"/>
          </w:tcPr>
          <w:p>
            <w:pPr>
              <w:jc w:val="left"/>
            </w:pPr>
            <w:r>
              <w:rPr>
                <w:sz w:val="18"/>
              </w:rPr>
              <w:t>Evaluations</w:t>
            </w:r>
          </w:p>
        </w:tc>
        <w:tc>
          <w:tcPr>
            <w:tcW w:type="dxa" w:w="5669"/>
            <w:shd w:val="clear" w:color="auto" w:fill="FFFFFF"/>
          </w:tcPr>
          <w:p>
            <w:pPr>
              <w:jc w:val="center"/>
            </w:pPr>
            <w:r>
              <w:rPr>
                <w:sz w:val="18"/>
              </w:rPr>
              <w:t>≈128×10⁶</w:t>
            </w:r>
          </w:p>
        </w:tc>
      </w:tr>
    </w:tbl>
    <w:p/>
    <w:p>
      <w:pPr>
        <w:pStyle w:val="Heading2"/>
        <w:spacing w:before="200" w:after="120"/>
      </w:pPr>
      <w:r>
        <w:rPr>
          <w:b/>
          <w:color w:val="333333"/>
        </w:rPr>
        <w:t>5.2  v4 vs v5 Mass Comparison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835"/>
            <w:shd w:val="clear" w:color="auto" w:fill="D5E8F0"/>
            <w:vAlign w:val="center"/>
          </w:tcPr>
          <w:p>
            <w:pPr>
              <w:jc w:val="center"/>
            </w:pPr>
            <w:r>
              <w:rPr>
                <w:b/>
                <w:color w:val="333333"/>
                <w:sz w:val="18"/>
              </w:rPr>
              <w:t>Config / Profile</w:t>
            </w:r>
          </w:p>
        </w:tc>
        <w:tc>
          <w:tcPr>
            <w:tcW w:type="dxa" w:w="1984"/>
            <w:shd w:val="clear" w:color="auto" w:fill="D5E8F0"/>
            <w:vAlign w:val="center"/>
          </w:tcPr>
          <w:p>
            <w:pPr>
              <w:jc w:val="center"/>
            </w:pPr>
            <w:r>
              <w:rPr>
                <w:b/>
                <w:color w:val="333333"/>
                <w:sz w:val="18"/>
              </w:rPr>
              <w:t>v4 mass</w:t>
            </w:r>
          </w:p>
        </w:tc>
        <w:tc>
          <w:tcPr>
            <w:tcW w:type="dxa" w:w="1984"/>
            <w:shd w:val="clear" w:color="auto" w:fill="D5E8F0"/>
            <w:vAlign w:val="center"/>
          </w:tcPr>
          <w:p>
            <w:pPr>
              <w:jc w:val="center"/>
            </w:pPr>
            <w:r>
              <w:rPr>
                <w:b/>
                <w:color w:val="333333"/>
                <w:sz w:val="18"/>
              </w:rPr>
              <w:t>v5 mass</w:t>
            </w:r>
          </w:p>
        </w:tc>
        <w:tc>
          <w:tcPr>
            <w:tcW w:type="dxa" w:w="1701"/>
            <w:shd w:val="clear" w:color="auto" w:fill="D5E8F0"/>
            <w:vAlign w:val="center"/>
          </w:tcPr>
          <w:p>
            <w:pPr>
              <w:jc w:val="center"/>
            </w:pPr>
            <w:r>
              <w:rPr>
                <w:b/>
                <w:color w:val="333333"/>
                <w:sz w:val="18"/>
              </w:rPr>
              <w:t>Change</w:t>
            </w:r>
          </w:p>
        </w:tc>
      </w:tr>
      <w:tr>
        <w:tc>
          <w:tcPr>
            <w:tcW w:type="dxa" w:w="2835"/>
            <w:shd w:val="clear" w:color="auto" w:fill="FFFFFF"/>
          </w:tcPr>
          <w:p>
            <w:pPr>
              <w:jc w:val="left"/>
            </w:pPr>
            <w:r>
              <w:rPr>
                <w:sz w:val="18"/>
              </w:rPr>
              <w:t>10 kW circular</w:t>
            </w:r>
          </w:p>
        </w:tc>
        <w:tc>
          <w:tcPr>
            <w:tcW w:type="dxa" w:w="1984"/>
            <w:shd w:val="clear" w:color="auto" w:fill="FFFFFF"/>
          </w:tcPr>
          <w:p>
            <w:pPr>
              <w:jc w:val="center"/>
            </w:pPr>
            <w:r>
              <w:rPr>
                <w:sz w:val="18"/>
              </w:rPr>
              <w:t>10.587 kg</w:t>
            </w:r>
          </w:p>
        </w:tc>
        <w:tc>
          <w:tcPr>
            <w:tcW w:type="dxa" w:w="1984"/>
            <w:shd w:val="clear" w:color="auto" w:fill="FFFFFF"/>
          </w:tcPr>
          <w:p>
            <w:pPr>
              <w:jc w:val="center"/>
            </w:pPr>
            <w:r>
              <w:rPr>
                <w:sz w:val="18"/>
              </w:rPr>
              <w:t>11.470 kg</w:t>
            </w:r>
          </w:p>
        </w:tc>
        <w:tc>
          <w:tcPr>
            <w:tcW w:type="dxa" w:w="1701"/>
            <w:shd w:val="clear" w:color="auto" w:fill="FFFFFF"/>
          </w:tcPr>
          <w:p>
            <w:pPr>
              <w:jc w:val="center"/>
            </w:pPr>
            <w:r>
              <w:rPr>
                <w:sz w:val="18"/>
              </w:rPr>
              <w:t>+8.3%</w:t>
            </w:r>
          </w:p>
        </w:tc>
      </w:tr>
      <w:tr>
        <w:tc>
          <w:tcPr>
            <w:tcW w:type="dxa" w:w="2835"/>
            <w:shd w:val="clear" w:color="auto" w:fill="F7FBFD"/>
          </w:tcPr>
          <w:p>
            <w:pPr>
              <w:jc w:val="left"/>
            </w:pPr>
            <w:r>
              <w:rPr>
                <w:sz w:val="18"/>
              </w:rPr>
              <w:t>10 kW elliptical</w:t>
            </w:r>
          </w:p>
        </w:tc>
        <w:tc>
          <w:tcPr>
            <w:tcW w:type="dxa" w:w="1984"/>
            <w:shd w:val="clear" w:color="auto" w:fill="F7FBFD"/>
          </w:tcPr>
          <w:p>
            <w:pPr>
              <w:jc w:val="center"/>
            </w:pPr>
            <w:r>
              <w:rPr>
                <w:sz w:val="18"/>
              </w:rPr>
              <w:t>10.587 kg</w:t>
            </w:r>
          </w:p>
        </w:tc>
        <w:tc>
          <w:tcPr>
            <w:tcW w:type="dxa" w:w="1984"/>
            <w:shd w:val="clear" w:color="auto" w:fill="F7FBFD"/>
          </w:tcPr>
          <w:p>
            <w:pPr>
              <w:jc w:val="center"/>
            </w:pPr>
            <w:r>
              <w:rPr>
                <w:sz w:val="18"/>
              </w:rPr>
              <w:t>11.470 kg</w:t>
            </w:r>
          </w:p>
        </w:tc>
        <w:tc>
          <w:tcPr>
            <w:tcW w:type="dxa" w:w="1701"/>
            <w:shd w:val="clear" w:color="auto" w:fill="F7FBFD"/>
          </w:tcPr>
          <w:p>
            <w:pPr>
              <w:jc w:val="center"/>
            </w:pPr>
            <w:r>
              <w:rPr>
                <w:sz w:val="18"/>
              </w:rPr>
              <w:t>+8.3%</w:t>
            </w:r>
          </w:p>
        </w:tc>
      </w:tr>
      <w:tr>
        <w:tc>
          <w:tcPr>
            <w:tcW w:type="dxa" w:w="2835"/>
            <w:shd w:val="clear" w:color="auto" w:fill="FFFFFF"/>
          </w:tcPr>
          <w:p>
            <w:pPr>
              <w:jc w:val="left"/>
            </w:pPr>
            <w:r>
              <w:rPr>
                <w:sz w:val="18"/>
              </w:rPr>
              <w:t>10 kW airfoil</w:t>
            </w:r>
          </w:p>
        </w:tc>
        <w:tc>
          <w:tcPr>
            <w:tcW w:type="dxa" w:w="1984"/>
            <w:shd w:val="clear" w:color="auto" w:fill="FFFFFF"/>
          </w:tcPr>
          <w:p>
            <w:pPr>
              <w:jc w:val="center"/>
            </w:pPr>
            <w:r>
              <w:rPr>
                <w:sz w:val="18"/>
              </w:rPr>
              <w:t>70.78 kg</w:t>
            </w:r>
          </w:p>
        </w:tc>
        <w:tc>
          <w:tcPr>
            <w:tcW w:type="dxa" w:w="1984"/>
            <w:shd w:val="clear" w:color="auto" w:fill="FFFFFF"/>
          </w:tcPr>
          <w:p>
            <w:pPr>
              <w:jc w:val="center"/>
            </w:pPr>
            <w:r>
              <w:rPr>
                <w:sz w:val="18"/>
              </w:rPr>
              <w:t>85.78 kg</w:t>
            </w:r>
          </w:p>
        </w:tc>
        <w:tc>
          <w:tcPr>
            <w:tcW w:type="dxa" w:w="1701"/>
            <w:shd w:val="clear" w:color="auto" w:fill="FFFFFF"/>
          </w:tcPr>
          <w:p>
            <w:pPr>
              <w:jc w:val="center"/>
            </w:pPr>
            <w:r>
              <w:rPr>
                <w:sz w:val="18"/>
              </w:rPr>
              <w:t>+21%</w:t>
            </w:r>
          </w:p>
        </w:tc>
      </w:tr>
      <w:tr>
        <w:tc>
          <w:tcPr>
            <w:tcW w:type="dxa" w:w="2835"/>
            <w:shd w:val="clear" w:color="auto" w:fill="F7FBFD"/>
          </w:tcPr>
          <w:p>
            <w:pPr>
              <w:jc w:val="left"/>
            </w:pPr>
            <w:r>
              <w:rPr>
                <w:sz w:val="18"/>
              </w:rPr>
              <w:t>50 kW circular</w:t>
            </w:r>
          </w:p>
        </w:tc>
        <w:tc>
          <w:tcPr>
            <w:tcW w:type="dxa" w:w="1984"/>
            <w:shd w:val="clear" w:color="auto" w:fill="F7FBFD"/>
          </w:tcPr>
          <w:p>
            <w:pPr>
              <w:jc w:val="center"/>
            </w:pPr>
            <w:r>
              <w:rPr>
                <w:sz w:val="18"/>
              </w:rPr>
              <w:t>79.51 kg</w:t>
            </w:r>
          </w:p>
        </w:tc>
        <w:tc>
          <w:tcPr>
            <w:tcW w:type="dxa" w:w="1984"/>
            <w:shd w:val="clear" w:color="auto" w:fill="F7FBFD"/>
          </w:tcPr>
          <w:p>
            <w:pPr>
              <w:jc w:val="center"/>
            </w:pPr>
            <w:r>
              <w:rPr>
                <w:sz w:val="18"/>
              </w:rPr>
              <w:t>39.30 kg</w:t>
            </w:r>
          </w:p>
        </w:tc>
        <w:tc>
          <w:tcPr>
            <w:tcW w:type="dxa" w:w="1701"/>
            <w:shd w:val="clear" w:color="auto" w:fill="F7FBFD"/>
          </w:tcPr>
          <w:p>
            <w:pPr>
              <w:jc w:val="center"/>
            </w:pPr>
            <w:r>
              <w:rPr>
                <w:sz w:val="18"/>
              </w:rPr>
              <w:t>−51%</w:t>
            </w:r>
          </w:p>
        </w:tc>
      </w:tr>
      <w:tr>
        <w:tc>
          <w:tcPr>
            <w:tcW w:type="dxa" w:w="2835"/>
            <w:shd w:val="clear" w:color="auto" w:fill="FFFFFF"/>
          </w:tcPr>
          <w:p>
            <w:pPr>
              <w:jc w:val="left"/>
            </w:pPr>
            <w:r>
              <w:rPr>
                <w:sz w:val="18"/>
              </w:rPr>
              <w:t>50 kW elliptical</w:t>
            </w:r>
          </w:p>
        </w:tc>
        <w:tc>
          <w:tcPr>
            <w:tcW w:type="dxa" w:w="1984"/>
            <w:shd w:val="clear" w:color="auto" w:fill="FFFFFF"/>
          </w:tcPr>
          <w:p>
            <w:pPr>
              <w:jc w:val="center"/>
            </w:pPr>
            <w:r>
              <w:rPr>
                <w:sz w:val="18"/>
              </w:rPr>
              <w:t>79.51 kg</w:t>
            </w:r>
          </w:p>
        </w:tc>
        <w:tc>
          <w:tcPr>
            <w:tcW w:type="dxa" w:w="1984"/>
            <w:shd w:val="clear" w:color="auto" w:fill="FFFFFF"/>
          </w:tcPr>
          <w:p>
            <w:pPr>
              <w:jc w:val="center"/>
            </w:pPr>
            <w:r>
              <w:rPr>
                <w:sz w:val="18"/>
              </w:rPr>
              <w:t>39.30 kg</w:t>
            </w:r>
          </w:p>
        </w:tc>
        <w:tc>
          <w:tcPr>
            <w:tcW w:type="dxa" w:w="1701"/>
            <w:shd w:val="clear" w:color="auto" w:fill="FFFFFF"/>
          </w:tcPr>
          <w:p>
            <w:pPr>
              <w:jc w:val="center"/>
            </w:pPr>
            <w:r>
              <w:rPr>
                <w:sz w:val="18"/>
              </w:rPr>
              <w:t>−51%</w:t>
            </w:r>
          </w:p>
        </w:tc>
      </w:tr>
      <w:tr>
        <w:tc>
          <w:tcPr>
            <w:tcW w:type="dxa" w:w="2835"/>
            <w:shd w:val="clear" w:color="auto" w:fill="F7FBFD"/>
          </w:tcPr>
          <w:p>
            <w:pPr>
              <w:jc w:val="left"/>
            </w:pPr>
            <w:r>
              <w:rPr>
                <w:sz w:val="18"/>
              </w:rPr>
              <w:t>50 kW airfoil</w:t>
            </w:r>
          </w:p>
        </w:tc>
        <w:tc>
          <w:tcPr>
            <w:tcW w:type="dxa" w:w="1984"/>
            <w:shd w:val="clear" w:color="auto" w:fill="F7FBFD"/>
          </w:tcPr>
          <w:p>
            <w:pPr>
              <w:jc w:val="center"/>
            </w:pPr>
            <w:r>
              <w:rPr>
                <w:sz w:val="18"/>
              </w:rPr>
              <w:t>749.50 kg</w:t>
            </w:r>
          </w:p>
        </w:tc>
        <w:tc>
          <w:tcPr>
            <w:tcW w:type="dxa" w:w="1984"/>
            <w:shd w:val="clear" w:color="auto" w:fill="F7FBFD"/>
          </w:tcPr>
          <w:p>
            <w:pPr>
              <w:jc w:val="center"/>
            </w:pPr>
            <w:r>
              <w:rPr>
                <w:sz w:val="18"/>
              </w:rPr>
              <w:t>226.94 kg</w:t>
            </w:r>
          </w:p>
        </w:tc>
        <w:tc>
          <w:tcPr>
            <w:tcW w:type="dxa" w:w="1701"/>
            <w:shd w:val="clear" w:color="auto" w:fill="F7FBFD"/>
          </w:tcPr>
          <w:p>
            <w:pPr>
              <w:jc w:val="center"/>
            </w:pPr>
            <w:r>
              <w:rPr>
                <w:sz w:val="18"/>
              </w:rPr>
              <w:t>−70%</w:t>
            </w:r>
          </w:p>
        </w:tc>
      </w:tr>
    </w:tbl>
    <w:p/>
    <w:p>
      <w:pPr>
        <w:pStyle w:val="Heading2"/>
        <w:spacing w:before="200" w:after="120"/>
      </w:pPr>
      <w:r>
        <w:rPr>
          <w:b/>
          <w:color w:val="333333"/>
        </w:rPr>
        <w:t>5.3  Interpretation</w:t>
      </w:r>
    </w:p>
    <w:p>
      <w:pPr>
        <w:pStyle w:val="ListBullet"/>
        <w:spacing w:after="80"/>
      </w:pPr>
      <w:r>
        <w:rPr>
          <w:b/>
        </w:rPr>
        <w:t xml:space="preserve">10 kW mass increases +8.3%: </w:t>
      </w:r>
      <w:r>
        <w:rPr>
          <w:sz w:val="20"/>
        </w:rPr>
        <w:t>BEM coupling adds realism that slightly tightens the 10 kW feasible envelope. The higher mass reflects a more physically honest objective.</w:t>
      </w:r>
    </w:p>
    <w:p>
      <w:pPr>
        <w:pStyle w:val="ListBullet"/>
        <w:spacing w:after="80"/>
      </w:pPr>
      <w:r>
        <w:rPr>
          <w:b/>
        </w:rPr>
        <w:t xml:space="preserve">50 kW mass decreases −51%: </w:t>
      </w:r>
      <w:r>
        <w:rPr>
          <w:sz w:val="20"/>
        </w:rPr>
        <w:t>With fixed CT, the optimiser over-estimated loads at 50 kW scale, producing conservative heavy designs. BEM captures true aerodynamic loading, allowing the optimiser to find a much lighter feasible solution (79.5 → 39.3 kg). This is the headline result.</w:t>
      </w:r>
    </w:p>
    <w:p>
      <w:pPr>
        <w:pStyle w:val="ListBullet"/>
        <w:spacing w:after="80"/>
      </w:pPr>
      <w:r>
        <w:rPr>
          <w:b/>
        </w:rPr>
        <w:t xml:space="preserve">n_lines = 8 universally: </w:t>
      </w:r>
      <w:r>
        <w:rPr>
          <w:sz w:val="20"/>
        </w:rPr>
        <w:t>Every island at both scales converged on 8 lines. No island found a lower-mass solution at any other n_lines value.</w:t>
      </w:r>
    </w:p>
    <w:p>
      <w:pPr>
        <w:pStyle w:val="ListBullet"/>
        <w:spacing w:after="80"/>
      </w:pPr>
      <w:r>
        <w:rPr>
          <w:b/>
        </w:rPr>
        <w:t xml:space="preserve">Circular ≈ elliptical: </w:t>
      </w:r>
      <w:r>
        <w:rPr>
          <w:sz w:val="20"/>
        </w:rPr>
        <w:t>Both profiles produce identical mass. Circular is the preferred default for manufacturing simplicity.</w:t>
      </w:r>
    </w:p>
    <w:p>
      <w:pPr>
        <w:pStyle w:val="ListBullet"/>
        <w:spacing w:after="80"/>
      </w:pPr>
      <w:r>
        <w:rPr>
          <w:b/>
        </w:rPr>
        <w:t xml:space="preserve">Airfoil consistently disadvantaged: </w:t>
      </w:r>
      <w:r>
        <w:rPr>
          <w:sz w:val="20"/>
        </w:rPr>
        <w:t>7–9× heavier at 10 kW; 5× heavier at 50 kW. Dropped from v6 planning.</w:t>
      </w:r>
    </w:p>
    <w:p>
      <w:pPr>
        <w:pStyle w:val="Heading1"/>
        <w:spacing w:before="280" w:after="120"/>
      </w:pPr>
      <w:r>
        <w:rPr>
          <w:b/>
          <w:color w:val="1A6B9A"/>
        </w:rPr>
        <w:t>6. Phase K Analysis — Design Space Insights</w:t>
      </w:r>
    </w:p>
    <w:p>
      <w:pPr>
        <w:spacing w:after="120"/>
      </w:pPr>
      <w:r>
        <w:rPr>
          <w:b w:val="0"/>
          <w:i w:val="0"/>
          <w:sz w:val="20"/>
        </w:rPr>
        <w:t>Phase K performed post-hoc analysis of the combined v4 and v5 island populations to extract design-space lessons, validate convergence, and identify risks for v6.</w:t>
      </w:r>
    </w:p>
    <w:p>
      <w:pPr>
        <w:pStyle w:val="Heading2"/>
        <w:spacing w:before="200" w:after="120"/>
      </w:pPr>
      <w:r>
        <w:rPr>
          <w:b/>
          <w:color w:val="333333"/>
        </w:rPr>
        <w:t>6.1  n_lines: Universal Convergence on 8</w:t>
      </w:r>
    </w:p>
    <w:p>
      <w:pPr>
        <w:spacing w:after="120"/>
      </w:pPr>
      <w:r>
        <w:rPr>
          <w:b w:val="0"/>
          <w:i w:val="0"/>
          <w:sz w:val="20"/>
        </w:rPr>
        <w:t>All 60 v4 islands and all 60 v5 islands (120 total) converged independently on n_lines = 8. No island found a lower-mass solution at n = 3, 4, 5, 6, or 7.</w:t>
      </w:r>
    </w:p>
    <w:p>
      <w:pPr>
        <w:spacing w:after="120"/>
      </w:pPr>
      <w:r>
        <w:rPr>
          <w:b w:val="0"/>
          <w:i w:val="0"/>
          <w:sz w:val="20"/>
        </w:rPr>
        <w:t>This is a strong signal that 8-line rotor architecture is optimal within the current model assumptions. However, an aerodynamic validity caveat applies (see Section 7).</w:t>
      </w:r>
    </w:p>
    <w:p>
      <w:pPr>
        <w:pStyle w:val="Heading2"/>
        <w:spacing w:before="200" w:after="120"/>
      </w:pPr>
      <w:r>
        <w:rPr>
          <w:b/>
          <w:color w:val="333333"/>
        </w:rPr>
        <w:t>6.2  Beam Profile: Elliptical / Circular Dominate</w:t>
      </w:r>
    </w:p>
    <w:tbl>
      <w:tblPr>
        <w:tblStyle w:val="TableGrid"/>
        <w:tblW w:type="auto" w:w="0"/>
        <w:jc w:val="left"/>
        <w:tblLook w:firstColumn="1" w:firstRow="1" w:lastColumn="0" w:lastRow="0" w:noHBand="0" w:noVBand="1" w:val="04A0"/>
      </w:tblPr>
      <w:tblGrid>
        <w:gridCol w:w="2880"/>
        <w:gridCol w:w="2880"/>
        <w:gridCol w:w="2880"/>
      </w:tblGrid>
      <w:tr>
        <w:tc>
          <w:tcPr>
            <w:tcW w:type="dxa" w:w="1984"/>
            <w:shd w:val="clear" w:color="auto" w:fill="D5E8F0"/>
            <w:vAlign w:val="center"/>
          </w:tcPr>
          <w:p>
            <w:pPr>
              <w:jc w:val="center"/>
            </w:pPr>
            <w:r>
              <w:rPr>
                <w:b/>
                <w:color w:val="333333"/>
                <w:sz w:val="18"/>
              </w:rPr>
              <w:t>Profile</w:t>
            </w:r>
          </w:p>
        </w:tc>
        <w:tc>
          <w:tcPr>
            <w:tcW w:type="dxa" w:w="3118"/>
            <w:shd w:val="clear" w:color="auto" w:fill="D5E8F0"/>
            <w:vAlign w:val="center"/>
          </w:tcPr>
          <w:p>
            <w:pPr>
              <w:jc w:val="center"/>
            </w:pPr>
            <w:r>
              <w:rPr>
                <w:b/>
                <w:color w:val="333333"/>
                <w:sz w:val="18"/>
              </w:rPr>
              <w:t>Median mass (v4, 60 islands)</w:t>
            </w:r>
          </w:p>
        </w:tc>
        <w:tc>
          <w:tcPr>
            <w:tcW w:type="dxa" w:w="4535"/>
            <w:shd w:val="clear" w:color="auto" w:fill="D5E8F0"/>
            <w:vAlign w:val="center"/>
          </w:tcPr>
          <w:p>
            <w:pPr>
              <w:jc w:val="center"/>
            </w:pPr>
            <w:r>
              <w:rPr>
                <w:b/>
                <w:color w:val="333333"/>
                <w:sz w:val="18"/>
              </w:rPr>
              <w:t>Notes</w:t>
            </w:r>
          </w:p>
        </w:tc>
      </w:tr>
      <w:tr>
        <w:tc>
          <w:tcPr>
            <w:tcW w:type="dxa" w:w="1984"/>
            <w:shd w:val="clear" w:color="auto" w:fill="FFFFFF"/>
          </w:tcPr>
          <w:p>
            <w:pPr>
              <w:jc w:val="left"/>
            </w:pPr>
            <w:r>
              <w:rPr>
                <w:sz w:val="18"/>
              </w:rPr>
              <w:t>Circular</w:t>
            </w:r>
          </w:p>
        </w:tc>
        <w:tc>
          <w:tcPr>
            <w:tcW w:type="dxa" w:w="3118"/>
            <w:shd w:val="clear" w:color="auto" w:fill="FFFFFF"/>
          </w:tcPr>
          <w:p>
            <w:pPr>
              <w:jc w:val="center"/>
            </w:pPr>
            <w:r>
              <w:rPr>
                <w:sz w:val="18"/>
              </w:rPr>
              <w:t>≈45.0 kg</w:t>
            </w:r>
          </w:p>
        </w:tc>
        <w:tc>
          <w:tcPr>
            <w:tcW w:type="dxa" w:w="4535"/>
            <w:shd w:val="clear" w:color="auto" w:fill="FFFFFF"/>
          </w:tcPr>
          <w:p>
            <w:pPr>
              <w:jc w:val="center"/>
            </w:pPr>
            <w:r>
              <w:rPr>
                <w:sz w:val="18"/>
              </w:rPr>
              <w:t>Tied with elliptical; preferred for manufacturing</w:t>
            </w:r>
          </w:p>
        </w:tc>
      </w:tr>
      <w:tr>
        <w:tc>
          <w:tcPr>
            <w:tcW w:type="dxa" w:w="1984"/>
            <w:shd w:val="clear" w:color="auto" w:fill="F7FBFD"/>
          </w:tcPr>
          <w:p>
            <w:pPr>
              <w:jc w:val="left"/>
            </w:pPr>
            <w:r>
              <w:rPr>
                <w:sz w:val="18"/>
              </w:rPr>
              <w:t>Elliptical</w:t>
            </w:r>
          </w:p>
        </w:tc>
        <w:tc>
          <w:tcPr>
            <w:tcW w:type="dxa" w:w="3118"/>
            <w:shd w:val="clear" w:color="auto" w:fill="F7FBFD"/>
          </w:tcPr>
          <w:p>
            <w:pPr>
              <w:jc w:val="center"/>
            </w:pPr>
            <w:r>
              <w:rPr>
                <w:sz w:val="18"/>
              </w:rPr>
              <w:t>≈45.0 kg</w:t>
            </w:r>
          </w:p>
        </w:tc>
        <w:tc>
          <w:tcPr>
            <w:tcW w:type="dxa" w:w="4535"/>
            <w:shd w:val="clear" w:color="auto" w:fill="F7FBFD"/>
          </w:tcPr>
          <w:p>
            <w:pPr>
              <w:jc w:val="center"/>
            </w:pPr>
            <w:r>
              <w:rPr>
                <w:sz w:val="18"/>
              </w:rPr>
              <w:t>Theoretically equal; complex manufacturing</w:t>
            </w:r>
          </w:p>
        </w:tc>
      </w:tr>
      <w:tr>
        <w:tc>
          <w:tcPr>
            <w:tcW w:type="dxa" w:w="1984"/>
            <w:shd w:val="clear" w:color="auto" w:fill="FFFFFF"/>
          </w:tcPr>
          <w:p>
            <w:pPr>
              <w:jc w:val="left"/>
            </w:pPr>
            <w:r>
              <w:rPr>
                <w:sz w:val="18"/>
              </w:rPr>
              <w:t>Airfoil</w:t>
            </w:r>
          </w:p>
        </w:tc>
        <w:tc>
          <w:tcPr>
            <w:tcW w:type="dxa" w:w="3118"/>
            <w:shd w:val="clear" w:color="auto" w:fill="FFFFFF"/>
          </w:tcPr>
          <w:p>
            <w:pPr>
              <w:jc w:val="center"/>
            </w:pPr>
            <w:r>
              <w:rPr>
                <w:sz w:val="18"/>
              </w:rPr>
              <w:t>&gt;&gt;100 kg</w:t>
            </w:r>
          </w:p>
        </w:tc>
        <w:tc>
          <w:tcPr>
            <w:tcW w:type="dxa" w:w="4535"/>
            <w:shd w:val="clear" w:color="auto" w:fill="FFFFFF"/>
          </w:tcPr>
          <w:p>
            <w:pPr>
              <w:jc w:val="center"/>
            </w:pPr>
            <w:r>
              <w:rPr>
                <w:sz w:val="18"/>
              </w:rPr>
              <w:t>Inefficient at tube-scale loading</w:t>
            </w:r>
          </w:p>
        </w:tc>
      </w:tr>
    </w:tbl>
    <w:p/>
    <w:p>
      <w:pPr>
        <w:spacing w:after="120"/>
      </w:pPr>
      <w:r>
        <w:rPr>
          <w:b w:val="0"/>
          <w:i w:val="0"/>
          <w:sz w:val="20"/>
        </w:rPr>
        <w:t>The dominance of circular tubes is expected: circular cross-sections maximise second moment of area per unit mass for thin-walled sections, minimising both bending and torsional deflection under the combined shaft loading.</w:t>
      </w:r>
    </w:p>
    <w:p>
      <w:pPr>
        <w:pStyle w:val="Heading2"/>
        <w:spacing w:before="200" w:after="120"/>
      </w:pPr>
      <w:r>
        <w:rPr>
          <w:b/>
          <w:color w:val="333333"/>
        </w:rPr>
        <w:t>6.3  L/r Sensitivity</w:t>
      </w:r>
    </w:p>
    <w:p>
      <w:pPr>
        <w:spacing w:after="120"/>
      </w:pPr>
      <w:r>
        <w:rPr>
          <w:b w:val="0"/>
          <w:i w:val="0"/>
          <w:sz w:val="20"/>
        </w:rPr>
        <w:t>The optimiser explored target_Lr ∈ [0.44, 2.00]. The top-10 lightest v4 designs all converged at target_Lr = 2.00, the upper bound. Values outside this range either produce insufficient torque arm (low L/r → high tether tension for the same power) or drive excessive buckling in slender beams (high L/r → wall thickness must increase). The v5 global winner is also at target_Lr = 2.00.</w:t>
      </w:r>
    </w:p>
    <w:p>
      <w:pPr>
        <w:spacing w:after="120"/>
      </w:pPr>
      <w:r>
        <w:rPr>
          <w:b w:val="0"/>
          <w:i w:val="0"/>
          <w:sz w:val="20"/>
        </w:rPr>
        <w:t>This suggests the L/r upper bound (currently 2.0) may be artificially constraining the design space. A sensitivity run at target_Lr up to 3.0 is recommended for v6.</w:t>
      </w:r>
    </w:p>
    <w:p>
      <w:pPr>
        <w:pStyle w:val="Heading2"/>
        <w:spacing w:before="200" w:after="120"/>
      </w:pPr>
      <w:r>
        <w:rPr>
          <w:b/>
          <w:color w:val="333333"/>
        </w:rPr>
        <w:t>6.4  Taper Ratio</w:t>
      </w:r>
    </w:p>
    <w:p>
      <w:pPr>
        <w:spacing w:after="120"/>
      </w:pPr>
      <w:r>
        <w:rPr>
          <w:b w:val="0"/>
          <w:i w:val="0"/>
          <w:sz w:val="20"/>
        </w:rPr>
        <w:t>Taper ratios (r_bottom / r_hub) ranged 0.084–0.210 across feasible islands. The lightest designs clustered near r_bottom/r_hub ≈ 0.21, with the global winner at r_bottom/r_hub = 0.336/1.600 = 0.210. Mild taper reduces root-section torsional loads; extreme taper adds manufacturing complexity without further mass savings.</w:t>
      </w:r>
    </w:p>
    <w:p>
      <w:pPr>
        <w:pStyle w:val="Heading2"/>
        <w:spacing w:before="200" w:after="120"/>
      </w:pPr>
      <w:r>
        <w:rPr>
          <w:b/>
          <w:color w:val="333333"/>
        </w:rPr>
        <w:t>6.5  Torsional Binding</w:t>
      </w:r>
    </w:p>
    <w:p>
      <w:pPr>
        <w:spacing w:after="120"/>
      </w:pPr>
      <w:r>
        <w:rPr>
          <w:b w:val="0"/>
          <w:i w:val="0"/>
          <w:sz w:val="20"/>
        </w:rPr>
        <w:t>In the v4 campaign, 0 of 60 islands were torsionally infeasible (min_fos &lt; 1.5). All feasible designs cluster at FoS ≈ 1.80, suggesting the beam buckling constraint is the active binding constraint and torsional FoS is satisfied with margin. This pattern is consistent in v5.</w:t>
      </w:r>
    </w:p>
    <w:p>
      <w:pPr>
        <w:pStyle w:val="Heading1"/>
        <w:spacing w:before="280" w:after="120"/>
      </w:pPr>
      <w:r>
        <w:rPr>
          <w:b/>
          <w:color w:val="1A6B9A"/>
        </w:rPr>
        <w:t>7. n_lines Aerodynamic Validity Caveat</w:t>
      </w:r>
    </w:p>
    <w:p>
      <w:pPr>
        <w:spacing w:after="120"/>
      </w:pPr>
      <w:r>
        <w:rPr>
          <w:b w:val="0"/>
          <w:i w:val="0"/>
          <w:sz w:val="20"/>
        </w:rPr>
        <w:t>The v4 campaign used a fixed rotor thrust coefficient CT (no aerodynamic penalty for varying n_lines). The v5 campaign introduced per-blade BEM with:</w:t>
      </w:r>
    </w:p>
    <w:p>
      <w:pPr>
        <w:pStyle w:val="ListBullet"/>
        <w:spacing w:after="60"/>
      </w:pPr>
      <w:r>
        <w:t>blade chord: c_blade = 0.05 R</w:t>
      </w:r>
    </w:p>
    <w:p>
      <w:pPr>
        <w:pStyle w:val="ListBullet"/>
        <w:spacing w:after="60"/>
      </w:pPr>
      <w:r>
        <w:t>local solidity: σ(r) = n · c_blade / (2πr)</w:t>
      </w:r>
    </w:p>
    <w:p>
      <w:pPr>
        <w:pStyle w:val="ListBullet"/>
        <w:spacing w:after="60"/>
      </w:pPr>
      <w:r>
        <w:t>total solidity at r = R: σ_total = 8 × 0.05R / (2πR) ≈ 0.064</w:t>
      </w:r>
    </w:p>
    <w:p/>
    <w:p>
      <w:pPr>
        <w:spacing w:after="120"/>
      </w:pPr>
      <w:r>
        <w:rPr>
          <w:b w:val="0"/>
          <w:i w:val="0"/>
          <w:sz w:val="20"/>
        </w:rPr>
        <w:t>With n = 8 and σ_total ≈ 0.064, the rotor operates in a low-to-moderate solidity regime where BEM theory is well-conditioned and Prandtl tip-loss corrections are applicable. The BEM model predicts higher induction losses at n = 8 than at n = 3–6 (fewer, wider-chord blades), which is why 8 lines still win despite the aerodynamic penalty: the structural benefit of more support lines outweighs the aero penalty for this shaft geometry.</w:t>
      </w:r>
    </w:p>
    <w:p>
      <w:pPr>
        <w:spacing w:after="120"/>
      </w:pPr>
      <w:r>
        <w:rPr>
          <w:b w:val="0"/>
          <w:i/>
          <w:sz w:val="20"/>
        </w:rPr>
        <w:t>However, the relative Cp(n=3) vs Cp(n=8) ranking in this BEM implementation has not been benchmarked against a higher-fidelity vortex or CFD model. It is possible that the BEM under-estimates lift-line interference at high n, or that Prandtl tip-loss over-estimates it at low n. This uncertainty should be resolved before v6 draws final conclusions about optimal blade count.</w:t>
      </w:r>
    </w:p>
    <w:p>
      <w:pPr>
        <w:spacing w:after="120"/>
      </w:pPr>
      <w:r>
        <w:rPr>
          <w:b w:val="0"/>
          <w:i w:val="0"/>
          <w:sz w:val="20"/>
        </w:rPr>
        <w:t>Recommendation: run a dedicated n_lines sweep (n = 3, 4, 6, 8, 10) at 50 kW scale with the v5 BEM objective (Phase N), and benchmark against the VortexStepMethod.jl implementation for at least the n = 4 and n = 8 cases.</w:t>
      </w:r>
    </w:p>
    <w:p>
      <w:pPr>
        <w:pStyle w:val="Heading1"/>
        <w:spacing w:before="280" w:after="120"/>
      </w:pPr>
      <w:r>
        <w:rPr>
          <w:b/>
          <w:color w:val="1A6B9A"/>
        </w:rPr>
        <w:t>8. Conclusions</w:t>
      </w:r>
    </w:p>
    <w:p>
      <w:pPr>
        <w:spacing w:after="120"/>
      </w:pPr>
      <w:r>
        <w:rPr>
          <w:b/>
        </w:rPr>
        <w:t xml:space="preserve">1. v5 is the current structural baseline. </w:t>
      </w:r>
      <w:r>
        <w:t>The BEM-coupled 10 kW winner at 11.470 kg (island 11) is the most physically credible shaft mass estimate to date. The +8.3% overhead vs v4 is expected and should propagate into all system-level mass budgets.</w:t>
      </w:r>
    </w:p>
    <w:p>
      <w:pPr>
        <w:spacing w:after="120"/>
      </w:pPr>
      <w:r>
        <w:rPr>
          <w:b/>
        </w:rPr>
        <w:t xml:space="preserve">2. 50 kW is dramatically improved by BEM. </w:t>
      </w:r>
      <w:r>
        <w:t>The 50 kW shaft mass falls from 79.5 kg to 39.3 kg (−51%) when BEM replaces fixed CT. For a 50 kW system scaled at mass ∝ P^0.7, this significantly reduces projected system mass.</w:t>
      </w:r>
    </w:p>
    <w:p>
      <w:pPr>
        <w:spacing w:after="120"/>
      </w:pPr>
      <w:r>
        <w:rPr>
          <w:b/>
        </w:rPr>
        <w:t xml:space="preserve">3. 8-line rotor is robustly optimal. </w:t>
      </w:r>
      <w:r>
        <w:t>120 independent islands across v4 and v5 unanimously selected n_lines = 8. This is strong evidence for the 8-line architecture, pending n_lines sweep validation (Phase N).</w:t>
      </w:r>
    </w:p>
    <w:p>
      <w:pPr>
        <w:spacing w:after="120"/>
      </w:pPr>
      <w:r>
        <w:rPr>
          <w:b/>
        </w:rPr>
        <w:t xml:space="preserve">4. Constant L/r = 2.0 dominates. </w:t>
      </w:r>
      <w:r>
        <w:t>Both campaigns prefer target_Lr at the upper bound. The bound should be relaxed (to 3.0) in v6 to determine whether further mass reduction is available.</w:t>
      </w:r>
    </w:p>
    <w:p>
      <w:pPr>
        <w:spacing w:after="120"/>
      </w:pPr>
      <w:r>
        <w:rPr>
          <w:b/>
        </w:rPr>
        <w:t xml:space="preserve">5. Circular tube is the structural default. </w:t>
      </w:r>
      <w:r>
        <w:t>Elliptical achieves the same mass with added manufacturing complexity; airfoil is 5–9× heavier and is dropped from further campaigns.</w:t>
      </w:r>
    </w:p>
    <w:p>
      <w:pPr>
        <w:spacing w:after="120"/>
      </w:pPr>
      <w:r>
        <w:rPr>
          <w:b/>
        </w:rPr>
        <w:t xml:space="preserve">6. Validation required before v6. </w:t>
      </w:r>
      <w:r>
        <w:t>Quasi-static DE results should be validated: (a) FEA of the winning geometry; (b) turbulent DLF &gt; 1.2; (c) n_lines Cp benchmark vs VortexStepMethod; (d) full 50 kW FEA for Do_top = 58.6 mm, t/D = 0.02 at r_hub = 3.58 m.</w:t>
      </w:r>
    </w:p>
    <w:p>
      <w:pPr>
        <w:pStyle w:val="Heading1"/>
        <w:spacing w:before="280" w:after="120"/>
      </w:pPr>
      <w:r>
        <w:rPr>
          <w:b/>
          <w:color w:val="1A6B9A"/>
        </w:rPr>
        <w:t>9. Next Steps — v6 Roadmap</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D5E8F0"/>
            <w:vAlign w:val="center"/>
          </w:tcPr>
          <w:p>
            <w:pPr>
              <w:jc w:val="center"/>
            </w:pPr>
            <w:r>
              <w:rPr>
                <w:b/>
                <w:color w:val="333333"/>
                <w:sz w:val="18"/>
              </w:rPr>
              <w:t>Phase</w:t>
            </w:r>
          </w:p>
        </w:tc>
        <w:tc>
          <w:tcPr>
            <w:tcW w:type="dxa" w:w="5953"/>
            <w:shd w:val="clear" w:color="auto" w:fill="D5E8F0"/>
            <w:vAlign w:val="center"/>
          </w:tcPr>
          <w:p>
            <w:pPr>
              <w:jc w:val="center"/>
            </w:pPr>
            <w:r>
              <w:rPr>
                <w:b/>
                <w:color w:val="333333"/>
                <w:sz w:val="18"/>
              </w:rPr>
              <w:t>Task</w:t>
            </w:r>
          </w:p>
        </w:tc>
        <w:tc>
          <w:tcPr>
            <w:tcW w:type="dxa" w:w="1417"/>
            <w:shd w:val="clear" w:color="auto" w:fill="D5E8F0"/>
            <w:vAlign w:val="center"/>
          </w:tcPr>
          <w:p>
            <w:pPr>
              <w:jc w:val="center"/>
            </w:pPr>
            <w:r>
              <w:rPr>
                <w:b/>
                <w:color w:val="333333"/>
                <w:sz w:val="18"/>
              </w:rPr>
              <w:t>Priority</w:t>
            </w:r>
          </w:p>
        </w:tc>
      </w:tr>
      <w:tr>
        <w:tc>
          <w:tcPr>
            <w:tcW w:type="dxa" w:w="850"/>
            <w:shd w:val="clear" w:color="auto" w:fill="FFFFFF"/>
          </w:tcPr>
          <w:p>
            <w:pPr>
              <w:jc w:val="left"/>
            </w:pPr>
            <w:r>
              <w:rPr>
                <w:sz w:val="18"/>
              </w:rPr>
              <w:t>N</w:t>
            </w:r>
          </w:p>
        </w:tc>
        <w:tc>
          <w:tcPr>
            <w:tcW w:type="dxa" w:w="5953"/>
            <w:shd w:val="clear" w:color="auto" w:fill="FFFFFF"/>
          </w:tcPr>
          <w:p>
            <w:pPr>
              <w:jc w:val="center"/>
            </w:pPr>
            <w:r>
              <w:rPr>
                <w:sz w:val="18"/>
              </w:rPr>
              <w:t>n_lines sweep 3–10 at 50 kW, v5 BEM objective</w:t>
            </w:r>
          </w:p>
        </w:tc>
        <w:tc>
          <w:tcPr>
            <w:tcW w:type="dxa" w:w="1417"/>
            <w:shd w:val="clear" w:color="auto" w:fill="FFFFFF"/>
          </w:tcPr>
          <w:p>
            <w:pPr>
              <w:jc w:val="center"/>
            </w:pPr>
            <w:r>
              <w:rPr>
                <w:sz w:val="18"/>
              </w:rPr>
              <w:t>High</w:t>
            </w:r>
          </w:p>
        </w:tc>
      </w:tr>
      <w:tr>
        <w:tc>
          <w:tcPr>
            <w:tcW w:type="dxa" w:w="850"/>
            <w:shd w:val="clear" w:color="auto" w:fill="F7FBFD"/>
          </w:tcPr>
          <w:p>
            <w:pPr>
              <w:jc w:val="left"/>
            </w:pPr>
            <w:r>
              <w:rPr>
                <w:sz w:val="18"/>
              </w:rPr>
              <w:t>N</w:t>
            </w:r>
          </w:p>
        </w:tc>
        <w:tc>
          <w:tcPr>
            <w:tcW w:type="dxa" w:w="5953"/>
            <w:shd w:val="clear" w:color="auto" w:fill="F7FBFD"/>
          </w:tcPr>
          <w:p>
            <w:pPr>
              <w:jc w:val="center"/>
            </w:pPr>
            <w:r>
              <w:rPr>
                <w:sz w:val="18"/>
              </w:rPr>
              <w:t>Benchmark Cp vs VortexStepMethod.jl (n = 4, 8)</w:t>
            </w:r>
          </w:p>
        </w:tc>
        <w:tc>
          <w:tcPr>
            <w:tcW w:type="dxa" w:w="1417"/>
            <w:shd w:val="clear" w:color="auto" w:fill="F7FBFD"/>
          </w:tcPr>
          <w:p>
            <w:pPr>
              <w:jc w:val="center"/>
            </w:pPr>
            <w:r>
              <w:rPr>
                <w:sz w:val="18"/>
              </w:rPr>
              <w:t>High</w:t>
            </w:r>
          </w:p>
        </w:tc>
      </w:tr>
      <w:tr>
        <w:tc>
          <w:tcPr>
            <w:tcW w:type="dxa" w:w="850"/>
            <w:shd w:val="clear" w:color="auto" w:fill="FFFFFF"/>
          </w:tcPr>
          <w:p>
            <w:pPr>
              <w:jc w:val="left"/>
            </w:pPr>
            <w:r>
              <w:rPr>
                <w:sz w:val="18"/>
              </w:rPr>
              <w:t>O</w:t>
            </w:r>
          </w:p>
        </w:tc>
        <w:tc>
          <w:tcPr>
            <w:tcW w:type="dxa" w:w="5953"/>
            <w:shd w:val="clear" w:color="auto" w:fill="FFFFFF"/>
          </w:tcPr>
          <w:p>
            <w:pPr>
              <w:jc w:val="center"/>
            </w:pPr>
            <w:r>
              <w:rPr>
                <w:sz w:val="18"/>
              </w:rPr>
              <w:t>FEA validation: 10 kW winner geometry (Do_top 40.9 mm)</w:t>
            </w:r>
          </w:p>
        </w:tc>
        <w:tc>
          <w:tcPr>
            <w:tcW w:type="dxa" w:w="1417"/>
            <w:shd w:val="clear" w:color="auto" w:fill="FFFFFF"/>
          </w:tcPr>
          <w:p>
            <w:pPr>
              <w:jc w:val="center"/>
            </w:pPr>
            <w:r>
              <w:rPr>
                <w:sz w:val="18"/>
              </w:rPr>
              <w:t>High</w:t>
            </w:r>
          </w:p>
        </w:tc>
      </w:tr>
      <w:tr>
        <w:tc>
          <w:tcPr>
            <w:tcW w:type="dxa" w:w="850"/>
            <w:shd w:val="clear" w:color="auto" w:fill="F7FBFD"/>
          </w:tcPr>
          <w:p>
            <w:pPr>
              <w:jc w:val="left"/>
            </w:pPr>
            <w:r>
              <w:rPr>
                <w:sz w:val="18"/>
              </w:rPr>
              <w:t>O</w:t>
            </w:r>
          </w:p>
        </w:tc>
        <w:tc>
          <w:tcPr>
            <w:tcW w:type="dxa" w:w="5953"/>
            <w:shd w:val="clear" w:color="auto" w:fill="F7FBFD"/>
          </w:tcPr>
          <w:p>
            <w:pPr>
              <w:jc w:val="center"/>
            </w:pPr>
            <w:r>
              <w:rPr>
                <w:sz w:val="18"/>
              </w:rPr>
              <w:t>FEA validation: 50 kW winner geometry (Do_top 58.6 mm, r_hub 3.58 m)</w:t>
            </w:r>
          </w:p>
        </w:tc>
        <w:tc>
          <w:tcPr>
            <w:tcW w:type="dxa" w:w="1417"/>
            <w:shd w:val="clear" w:color="auto" w:fill="F7FBFD"/>
          </w:tcPr>
          <w:p>
            <w:pPr>
              <w:jc w:val="center"/>
            </w:pPr>
            <w:r>
              <w:rPr>
                <w:sz w:val="18"/>
              </w:rPr>
              <w:t>High</w:t>
            </w:r>
          </w:p>
        </w:tc>
      </w:tr>
      <w:tr>
        <w:tc>
          <w:tcPr>
            <w:tcW w:type="dxa" w:w="850"/>
            <w:shd w:val="clear" w:color="auto" w:fill="FFFFFF"/>
          </w:tcPr>
          <w:p>
            <w:pPr>
              <w:jc w:val="left"/>
            </w:pPr>
            <w:r>
              <w:rPr>
                <w:sz w:val="18"/>
              </w:rPr>
              <w:t>P</w:t>
            </w:r>
          </w:p>
        </w:tc>
        <w:tc>
          <w:tcPr>
            <w:tcW w:type="dxa" w:w="5953"/>
            <w:shd w:val="clear" w:color="auto" w:fill="FFFFFF"/>
          </w:tcPr>
          <w:p>
            <w:pPr>
              <w:jc w:val="center"/>
            </w:pPr>
            <w:r>
              <w:rPr>
                <w:sz w:val="18"/>
              </w:rPr>
              <w:t>v6 campaign: relax target_Lr upper bound to 3.0</w:t>
            </w:r>
          </w:p>
        </w:tc>
        <w:tc>
          <w:tcPr>
            <w:tcW w:type="dxa" w:w="1417"/>
            <w:shd w:val="clear" w:color="auto" w:fill="FFFFFF"/>
          </w:tcPr>
          <w:p>
            <w:pPr>
              <w:jc w:val="center"/>
            </w:pPr>
            <w:r>
              <w:rPr>
                <w:sz w:val="18"/>
              </w:rPr>
              <w:t>Medium</w:t>
            </w:r>
          </w:p>
        </w:tc>
      </w:tr>
      <w:tr>
        <w:tc>
          <w:tcPr>
            <w:tcW w:type="dxa" w:w="850"/>
            <w:shd w:val="clear" w:color="auto" w:fill="F7FBFD"/>
          </w:tcPr>
          <w:p>
            <w:pPr>
              <w:jc w:val="left"/>
            </w:pPr>
            <w:r>
              <w:rPr>
                <w:sz w:val="18"/>
              </w:rPr>
              <w:t>P</w:t>
            </w:r>
          </w:p>
        </w:tc>
        <w:tc>
          <w:tcPr>
            <w:tcW w:type="dxa" w:w="5953"/>
            <w:shd w:val="clear" w:color="auto" w:fill="F7FBFD"/>
          </w:tcPr>
          <w:p>
            <w:pPr>
              <w:jc w:val="center"/>
            </w:pPr>
            <w:r>
              <w:rPr>
                <w:sz w:val="18"/>
              </w:rPr>
              <w:t>v6: incorporate turbulent DLF (γ &gt; 1.2) into objective</w:t>
            </w:r>
          </w:p>
        </w:tc>
        <w:tc>
          <w:tcPr>
            <w:tcW w:type="dxa" w:w="1417"/>
            <w:shd w:val="clear" w:color="auto" w:fill="F7FBFD"/>
          </w:tcPr>
          <w:p>
            <w:pPr>
              <w:jc w:val="center"/>
            </w:pPr>
            <w:r>
              <w:rPr>
                <w:sz w:val="18"/>
              </w:rPr>
              <w:t>Medium</w:t>
            </w:r>
          </w:p>
        </w:tc>
      </w:tr>
      <w:tr>
        <w:tc>
          <w:tcPr>
            <w:tcW w:type="dxa" w:w="850"/>
            <w:shd w:val="clear" w:color="auto" w:fill="FFFFFF"/>
          </w:tcPr>
          <w:p>
            <w:pPr>
              <w:jc w:val="left"/>
            </w:pPr>
            <w:r>
              <w:rPr>
                <w:sz w:val="18"/>
              </w:rPr>
              <w:t>Q</w:t>
            </w:r>
          </w:p>
        </w:tc>
        <w:tc>
          <w:tcPr>
            <w:tcW w:type="dxa" w:w="5953"/>
            <w:shd w:val="clear" w:color="auto" w:fill="FFFFFF"/>
          </w:tcPr>
          <w:p>
            <w:pPr>
              <w:jc w:val="center"/>
            </w:pPr>
            <w:r>
              <w:rPr>
                <w:sz w:val="18"/>
              </w:rPr>
              <w:t>Offshore deployment geometry study</w:t>
            </w:r>
          </w:p>
        </w:tc>
        <w:tc>
          <w:tcPr>
            <w:tcW w:type="dxa" w:w="1417"/>
            <w:shd w:val="clear" w:color="auto" w:fill="FFFFFF"/>
          </w:tcPr>
          <w:p>
            <w:pPr>
              <w:jc w:val="center"/>
            </w:pPr>
            <w:r>
              <w:rPr>
                <w:sz w:val="18"/>
              </w:rPr>
              <w:t>Low</w:t>
            </w:r>
          </w:p>
        </w:tc>
      </w:tr>
    </w:tbl>
    <w:p/>
    <w:p>
      <w:pPr>
        <w:pStyle w:val="Heading1"/>
        <w:spacing w:before="280" w:after="120"/>
      </w:pPr>
      <w:r>
        <w:rPr>
          <w:b/>
          <w:color w:val="1A6B9A"/>
        </w:rPr>
        <w:t>Appendix A — Campaign Parameters</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D5E8F0"/>
            <w:vAlign w:val="center"/>
          </w:tcPr>
          <w:p>
            <w:pPr>
              <w:jc w:val="center"/>
            </w:pPr>
            <w:r>
              <w:rPr>
                <w:b/>
                <w:color w:val="333333"/>
                <w:sz w:val="18"/>
              </w:rPr>
              <w:t>Parameter</w:t>
            </w:r>
          </w:p>
        </w:tc>
        <w:tc>
          <w:tcPr>
            <w:tcW w:type="dxa" w:w="3118"/>
            <w:shd w:val="clear" w:color="auto" w:fill="D5E8F0"/>
            <w:vAlign w:val="center"/>
          </w:tcPr>
          <w:p>
            <w:pPr>
              <w:jc w:val="center"/>
            </w:pPr>
            <w:r>
              <w:rPr>
                <w:b/>
                <w:color w:val="333333"/>
                <w:sz w:val="18"/>
              </w:rPr>
              <w:t>v4</w:t>
            </w:r>
          </w:p>
        </w:tc>
        <w:tc>
          <w:tcPr>
            <w:tcW w:type="dxa" w:w="3685"/>
            <w:shd w:val="clear" w:color="auto" w:fill="D5E8F0"/>
            <w:vAlign w:val="center"/>
          </w:tcPr>
          <w:p>
            <w:pPr>
              <w:jc w:val="center"/>
            </w:pPr>
            <w:r>
              <w:rPr>
                <w:b/>
                <w:color w:val="333333"/>
                <w:sz w:val="18"/>
              </w:rPr>
              <w:t>v5</w:t>
            </w:r>
          </w:p>
        </w:tc>
      </w:tr>
      <w:tr>
        <w:tc>
          <w:tcPr>
            <w:tcW w:type="dxa" w:w="2835"/>
            <w:shd w:val="clear" w:color="auto" w:fill="FFFFFF"/>
          </w:tcPr>
          <w:p>
            <w:pPr>
              <w:jc w:val="left"/>
            </w:pPr>
            <w:r>
              <w:rPr>
                <w:sz w:val="18"/>
              </w:rPr>
              <w:t>Islands</w:t>
            </w:r>
          </w:p>
        </w:tc>
        <w:tc>
          <w:tcPr>
            <w:tcW w:type="dxa" w:w="3118"/>
            <w:shd w:val="clear" w:color="auto" w:fill="FFFFFF"/>
          </w:tcPr>
          <w:p>
            <w:pPr>
              <w:jc w:val="center"/>
            </w:pPr>
            <w:r>
              <w:rPr>
                <w:sz w:val="18"/>
              </w:rPr>
              <w:t>60</w:t>
            </w:r>
          </w:p>
        </w:tc>
        <w:tc>
          <w:tcPr>
            <w:tcW w:type="dxa" w:w="3685"/>
            <w:shd w:val="clear" w:color="auto" w:fill="FFFFFF"/>
          </w:tcPr>
          <w:p>
            <w:pPr>
              <w:jc w:val="center"/>
            </w:pPr>
            <w:r>
              <w:rPr>
                <w:sz w:val="18"/>
              </w:rPr>
              <w:t>60</w:t>
            </w:r>
          </w:p>
        </w:tc>
      </w:tr>
      <w:tr>
        <w:tc>
          <w:tcPr>
            <w:tcW w:type="dxa" w:w="2835"/>
            <w:shd w:val="clear" w:color="auto" w:fill="F7FBFD"/>
          </w:tcPr>
          <w:p>
            <w:pPr>
              <w:jc w:val="left"/>
            </w:pPr>
            <w:r>
              <w:rPr>
                <w:sz w:val="18"/>
              </w:rPr>
              <w:t>Time per island</w:t>
            </w:r>
          </w:p>
        </w:tc>
        <w:tc>
          <w:tcPr>
            <w:tcW w:type="dxa" w:w="3118"/>
            <w:shd w:val="clear" w:color="auto" w:fill="F7FBFD"/>
          </w:tcPr>
          <w:p>
            <w:pPr>
              <w:jc w:val="center"/>
            </w:pPr>
            <w:r>
              <w:rPr>
                <w:sz w:val="18"/>
              </w:rPr>
              <w:t>≈2.8 h</w:t>
            </w:r>
          </w:p>
        </w:tc>
        <w:tc>
          <w:tcPr>
            <w:tcW w:type="dxa" w:w="3685"/>
            <w:shd w:val="clear" w:color="auto" w:fill="F7FBFD"/>
          </w:tcPr>
          <w:p>
            <w:pPr>
              <w:jc w:val="center"/>
            </w:pPr>
            <w:r>
              <w:rPr>
                <w:sz w:val="18"/>
              </w:rPr>
              <w:t>≈3.4 h</w:t>
            </w:r>
          </w:p>
        </w:tc>
      </w:tr>
      <w:tr>
        <w:tc>
          <w:tcPr>
            <w:tcW w:type="dxa" w:w="2835"/>
            <w:shd w:val="clear" w:color="auto" w:fill="FFFFFF"/>
          </w:tcPr>
          <w:p>
            <w:pPr>
              <w:jc w:val="left"/>
            </w:pPr>
            <w:r>
              <w:rPr>
                <w:sz w:val="18"/>
              </w:rPr>
              <w:t>Power configs</w:t>
            </w:r>
          </w:p>
        </w:tc>
        <w:tc>
          <w:tcPr>
            <w:tcW w:type="dxa" w:w="3118"/>
            <w:shd w:val="clear" w:color="auto" w:fill="FFFFFF"/>
          </w:tcPr>
          <w:p>
            <w:pPr>
              <w:jc w:val="center"/>
            </w:pPr>
            <w:r>
              <w:rPr>
                <w:sz w:val="18"/>
              </w:rPr>
              <w:t>10 kW, 50 kW</w:t>
            </w:r>
          </w:p>
        </w:tc>
        <w:tc>
          <w:tcPr>
            <w:tcW w:type="dxa" w:w="3685"/>
            <w:shd w:val="clear" w:color="auto" w:fill="FFFFFF"/>
          </w:tcPr>
          <w:p>
            <w:pPr>
              <w:jc w:val="center"/>
            </w:pPr>
            <w:r>
              <w:rPr>
                <w:sz w:val="18"/>
              </w:rPr>
              <w:t>10 kW, 50 kW</w:t>
            </w:r>
          </w:p>
        </w:tc>
      </w:tr>
      <w:tr>
        <w:tc>
          <w:tcPr>
            <w:tcW w:type="dxa" w:w="2835"/>
            <w:shd w:val="clear" w:color="auto" w:fill="F7FBFD"/>
          </w:tcPr>
          <w:p>
            <w:pPr>
              <w:jc w:val="left"/>
            </w:pPr>
            <w:r>
              <w:rPr>
                <w:sz w:val="18"/>
              </w:rPr>
              <w:t>Beam profiles</w:t>
            </w:r>
          </w:p>
        </w:tc>
        <w:tc>
          <w:tcPr>
            <w:tcW w:type="dxa" w:w="3118"/>
            <w:shd w:val="clear" w:color="auto" w:fill="F7FBFD"/>
          </w:tcPr>
          <w:p>
            <w:pPr>
              <w:jc w:val="center"/>
            </w:pPr>
            <w:r>
              <w:rPr>
                <w:sz w:val="18"/>
              </w:rPr>
              <w:t>Circular, Elliptical, Airfoil</w:t>
            </w:r>
          </w:p>
        </w:tc>
        <w:tc>
          <w:tcPr>
            <w:tcW w:type="dxa" w:w="3685"/>
            <w:shd w:val="clear" w:color="auto" w:fill="F7FBFD"/>
          </w:tcPr>
          <w:p>
            <w:pPr>
              <w:jc w:val="center"/>
            </w:pPr>
            <w:r>
              <w:rPr>
                <w:sz w:val="18"/>
              </w:rPr>
              <w:t>Circular, Elliptical, Airfoil</w:t>
            </w:r>
          </w:p>
        </w:tc>
      </w:tr>
      <w:tr>
        <w:tc>
          <w:tcPr>
            <w:tcW w:type="dxa" w:w="2835"/>
            <w:shd w:val="clear" w:color="auto" w:fill="FFFFFF"/>
          </w:tcPr>
          <w:p>
            <w:pPr>
              <w:jc w:val="left"/>
            </w:pPr>
            <w:r>
              <w:rPr>
                <w:sz w:val="18"/>
              </w:rPr>
              <w:t>Lr init zones</w:t>
            </w:r>
          </w:p>
        </w:tc>
        <w:tc>
          <w:tcPr>
            <w:tcW w:type="dxa" w:w="3118"/>
            <w:shd w:val="clear" w:color="auto" w:fill="FFFFFF"/>
          </w:tcPr>
          <w:p>
            <w:pPr>
              <w:jc w:val="center"/>
            </w:pPr>
            <w:r>
              <w:rPr>
                <w:sz w:val="18"/>
              </w:rPr>
              <w:t>5</w:t>
            </w:r>
          </w:p>
        </w:tc>
        <w:tc>
          <w:tcPr>
            <w:tcW w:type="dxa" w:w="3685"/>
            <w:shd w:val="clear" w:color="auto" w:fill="FFFFFF"/>
          </w:tcPr>
          <w:p>
            <w:pPr>
              <w:jc w:val="center"/>
            </w:pPr>
            <w:r>
              <w:rPr>
                <w:sz w:val="18"/>
              </w:rPr>
              <w:t>5</w:t>
            </w:r>
          </w:p>
        </w:tc>
      </w:tr>
      <w:tr>
        <w:tc>
          <w:tcPr>
            <w:tcW w:type="dxa" w:w="2835"/>
            <w:shd w:val="clear" w:color="auto" w:fill="F7FBFD"/>
          </w:tcPr>
          <w:p>
            <w:pPr>
              <w:jc w:val="left"/>
            </w:pPr>
            <w:r>
              <w:rPr>
                <w:sz w:val="18"/>
              </w:rPr>
              <w:t>RNG seeds</w:t>
            </w:r>
          </w:p>
        </w:tc>
        <w:tc>
          <w:tcPr>
            <w:tcW w:type="dxa" w:w="3118"/>
            <w:shd w:val="clear" w:color="auto" w:fill="F7FBFD"/>
          </w:tcPr>
          <w:p>
            <w:pPr>
              <w:jc w:val="center"/>
            </w:pPr>
            <w:r>
              <w:rPr>
                <w:sz w:val="18"/>
              </w:rPr>
              <w:t>2</w:t>
            </w:r>
          </w:p>
        </w:tc>
        <w:tc>
          <w:tcPr>
            <w:tcW w:type="dxa" w:w="3685"/>
            <w:shd w:val="clear" w:color="auto" w:fill="F7FBFD"/>
          </w:tcPr>
          <w:p>
            <w:pPr>
              <w:jc w:val="center"/>
            </w:pPr>
            <w:r>
              <w:rPr>
                <w:sz w:val="18"/>
              </w:rPr>
              <w:t>2</w:t>
            </w:r>
          </w:p>
        </w:tc>
      </w:tr>
      <w:tr>
        <w:tc>
          <w:tcPr>
            <w:tcW w:type="dxa" w:w="2835"/>
            <w:shd w:val="clear" w:color="auto" w:fill="FFFFFF"/>
          </w:tcPr>
          <w:p>
            <w:pPr>
              <w:jc w:val="left"/>
            </w:pPr>
            <w:r>
              <w:rPr>
                <w:sz w:val="18"/>
              </w:rPr>
              <w:t>DE population</w:t>
            </w:r>
          </w:p>
        </w:tc>
        <w:tc>
          <w:tcPr>
            <w:tcW w:type="dxa" w:w="3118"/>
            <w:shd w:val="clear" w:color="auto" w:fill="FFFFFF"/>
          </w:tcPr>
          <w:p>
            <w:pPr>
              <w:jc w:val="center"/>
            </w:pPr>
            <w:r>
              <w:rPr>
                <w:sz w:val="18"/>
              </w:rPr>
              <w:t>64</w:t>
            </w:r>
          </w:p>
        </w:tc>
        <w:tc>
          <w:tcPr>
            <w:tcW w:type="dxa" w:w="3685"/>
            <w:shd w:val="clear" w:color="auto" w:fill="FFFFFF"/>
          </w:tcPr>
          <w:p>
            <w:pPr>
              <w:jc w:val="center"/>
            </w:pPr>
            <w:r>
              <w:rPr>
                <w:sz w:val="18"/>
              </w:rPr>
              <w:t>64</w:t>
            </w:r>
          </w:p>
        </w:tc>
      </w:tr>
      <w:tr>
        <w:tc>
          <w:tcPr>
            <w:tcW w:type="dxa" w:w="2835"/>
            <w:shd w:val="clear" w:color="auto" w:fill="F7FBFD"/>
          </w:tcPr>
          <w:p>
            <w:pPr>
              <w:jc w:val="left"/>
            </w:pPr>
            <w:r>
              <w:rPr>
                <w:sz w:val="18"/>
              </w:rPr>
              <w:t>DE mutation F</w:t>
            </w:r>
          </w:p>
        </w:tc>
        <w:tc>
          <w:tcPr>
            <w:tcW w:type="dxa" w:w="3118"/>
            <w:shd w:val="clear" w:color="auto" w:fill="F7FBFD"/>
          </w:tcPr>
          <w:p>
            <w:pPr>
              <w:jc w:val="center"/>
            </w:pPr>
            <w:r>
              <w:rPr>
                <w:sz w:val="18"/>
              </w:rPr>
              <w:t>0.7</w:t>
            </w:r>
          </w:p>
        </w:tc>
        <w:tc>
          <w:tcPr>
            <w:tcW w:type="dxa" w:w="3685"/>
            <w:shd w:val="clear" w:color="auto" w:fill="F7FBFD"/>
          </w:tcPr>
          <w:p>
            <w:pPr>
              <w:jc w:val="center"/>
            </w:pPr>
            <w:r>
              <w:rPr>
                <w:sz w:val="18"/>
              </w:rPr>
              <w:t>0.7</w:t>
            </w:r>
          </w:p>
        </w:tc>
      </w:tr>
      <w:tr>
        <w:tc>
          <w:tcPr>
            <w:tcW w:type="dxa" w:w="2835"/>
            <w:shd w:val="clear" w:color="auto" w:fill="FFFFFF"/>
          </w:tcPr>
          <w:p>
            <w:pPr>
              <w:jc w:val="left"/>
            </w:pPr>
            <w:r>
              <w:rPr>
                <w:sz w:val="18"/>
              </w:rPr>
              <w:t>DE crossover CR</w:t>
            </w:r>
          </w:p>
        </w:tc>
        <w:tc>
          <w:tcPr>
            <w:tcW w:type="dxa" w:w="3118"/>
            <w:shd w:val="clear" w:color="auto" w:fill="FFFFFF"/>
          </w:tcPr>
          <w:p>
            <w:pPr>
              <w:jc w:val="center"/>
            </w:pPr>
            <w:r>
              <w:rPr>
                <w:sz w:val="18"/>
              </w:rPr>
              <w:t>0.9</w:t>
            </w:r>
          </w:p>
        </w:tc>
        <w:tc>
          <w:tcPr>
            <w:tcW w:type="dxa" w:w="3685"/>
            <w:shd w:val="clear" w:color="auto" w:fill="FFFFFF"/>
          </w:tcPr>
          <w:p>
            <w:pPr>
              <w:jc w:val="center"/>
            </w:pPr>
            <w:r>
              <w:rPr>
                <w:sz w:val="18"/>
              </w:rPr>
              <w:t>0.9</w:t>
            </w:r>
          </w:p>
        </w:tc>
      </w:tr>
      <w:tr>
        <w:tc>
          <w:tcPr>
            <w:tcW w:type="dxa" w:w="2835"/>
            <w:shd w:val="clear" w:color="auto" w:fill="F7FBFD"/>
          </w:tcPr>
          <w:p>
            <w:pPr>
              <w:jc w:val="left"/>
            </w:pPr>
            <w:r>
              <w:rPr>
                <w:sz w:val="18"/>
              </w:rPr>
              <w:t>Stall restart</w:t>
            </w:r>
          </w:p>
        </w:tc>
        <w:tc>
          <w:tcPr>
            <w:tcW w:type="dxa" w:w="3118"/>
            <w:shd w:val="clear" w:color="auto" w:fill="F7FBFD"/>
          </w:tcPr>
          <w:p>
            <w:pPr>
              <w:jc w:val="center"/>
            </w:pPr>
            <w:r>
              <w:rPr>
                <w:sz w:val="18"/>
              </w:rPr>
              <w:t>1 500 gen</w:t>
            </w:r>
          </w:p>
        </w:tc>
        <w:tc>
          <w:tcPr>
            <w:tcW w:type="dxa" w:w="3685"/>
            <w:shd w:val="clear" w:color="auto" w:fill="F7FBFD"/>
          </w:tcPr>
          <w:p>
            <w:pPr>
              <w:jc w:val="center"/>
            </w:pPr>
            <w:r>
              <w:rPr>
                <w:sz w:val="18"/>
              </w:rPr>
              <w:t>1 500 gen</w:t>
            </w:r>
          </w:p>
        </w:tc>
      </w:tr>
      <w:tr>
        <w:tc>
          <w:tcPr>
            <w:tcW w:type="dxa" w:w="2835"/>
            <w:shd w:val="clear" w:color="auto" w:fill="FFFFFF"/>
          </w:tcPr>
          <w:p>
            <w:pPr>
              <w:jc w:val="left"/>
            </w:pPr>
            <w:r>
              <w:rPr>
                <w:sz w:val="18"/>
              </w:rPr>
              <w:t>Evals per island</w:t>
            </w:r>
          </w:p>
        </w:tc>
        <w:tc>
          <w:tcPr>
            <w:tcW w:type="dxa" w:w="3118"/>
            <w:shd w:val="clear" w:color="auto" w:fill="FFFFFF"/>
          </w:tcPr>
          <w:p>
            <w:pPr>
              <w:jc w:val="center"/>
            </w:pPr>
            <w:r>
              <w:rPr>
                <w:sz w:val="18"/>
              </w:rPr>
              <w:t>≈128×10⁶</w:t>
            </w:r>
          </w:p>
        </w:tc>
        <w:tc>
          <w:tcPr>
            <w:tcW w:type="dxa" w:w="3685"/>
            <w:shd w:val="clear" w:color="auto" w:fill="FFFFFF"/>
          </w:tcPr>
          <w:p>
            <w:pPr>
              <w:jc w:val="center"/>
            </w:pPr>
            <w:r>
              <w:rPr>
                <w:sz w:val="18"/>
              </w:rPr>
              <w:t>≈128×10⁶</w:t>
            </w:r>
          </w:p>
        </w:tc>
      </w:tr>
      <w:tr>
        <w:tc>
          <w:tcPr>
            <w:tcW w:type="dxa" w:w="2835"/>
            <w:shd w:val="clear" w:color="auto" w:fill="F7FBFD"/>
          </w:tcPr>
          <w:p>
            <w:pPr>
              <w:jc w:val="left"/>
            </w:pPr>
            <w:r>
              <w:rPr>
                <w:sz w:val="18"/>
              </w:rPr>
              <w:t>Aero model</w:t>
            </w:r>
          </w:p>
        </w:tc>
        <w:tc>
          <w:tcPr>
            <w:tcW w:type="dxa" w:w="3118"/>
            <w:shd w:val="clear" w:color="auto" w:fill="F7FBFD"/>
          </w:tcPr>
          <w:p>
            <w:pPr>
              <w:jc w:val="center"/>
            </w:pPr>
            <w:r>
              <w:rPr>
                <w:sz w:val="18"/>
              </w:rPr>
              <w:t>Fixed CT (no BEM)</w:t>
            </w:r>
          </w:p>
        </w:tc>
        <w:tc>
          <w:tcPr>
            <w:tcW w:type="dxa" w:w="3685"/>
            <w:shd w:val="clear" w:color="auto" w:fill="F7FBFD"/>
          </w:tcPr>
          <w:p>
            <w:pPr>
              <w:jc w:val="center"/>
            </w:pPr>
            <w:r>
              <w:rPr>
                <w:sz w:val="18"/>
              </w:rPr>
              <w:t>BEM Cp(n, TSR)</w:t>
            </w:r>
          </w:p>
        </w:tc>
      </w:tr>
    </w:tbl>
    <w:p/>
    <w:p>
      <w:pPr>
        <w:pStyle w:val="Heading1"/>
        <w:spacing w:before="280" w:after="120"/>
      </w:pPr>
      <w:r>
        <w:rPr>
          <w:b/>
          <w:color w:val="1A6B9A"/>
        </w:rPr>
        <w:t>Appendix B — v5 Campaign Summary (all 60 islands)</w:t>
      </w:r>
    </w:p>
    <w:p>
      <w:pPr>
        <w:spacing w:after="120"/>
      </w:pPr>
      <w:r>
        <w:rPr>
          <w:b w:val="0"/>
          <w:i w:val="0"/>
          <w:sz w:val="20"/>
        </w:rPr>
        <w:t>Islands 1–20: 10 kW config. Islands 21–30: 50 kW config (circular). Islands 31–50: 50 kW (elliptical). Islands 51–60: 50 kW (airfoil). All 60 islands feasible (FoS ≥1.80). Data from scripts/results/trpt_opt_v5/campaign_summary.csv.</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984"/>
            <w:shd w:val="clear" w:color="auto" w:fill="D5E8F0"/>
            <w:vAlign w:val="center"/>
          </w:tcPr>
          <w:p>
            <w:pPr>
              <w:jc w:val="center"/>
            </w:pPr>
            <w:r>
              <w:rPr>
                <w:b/>
                <w:color w:val="333333"/>
                <w:sz w:val="18"/>
              </w:rPr>
              <w:t>Island group</w:t>
            </w:r>
          </w:p>
        </w:tc>
        <w:tc>
          <w:tcPr>
            <w:tcW w:type="dxa" w:w="1701"/>
            <w:shd w:val="clear" w:color="auto" w:fill="D5E8F0"/>
            <w:vAlign w:val="center"/>
          </w:tcPr>
          <w:p>
            <w:pPr>
              <w:jc w:val="center"/>
            </w:pPr>
            <w:r>
              <w:rPr>
                <w:b/>
                <w:color w:val="333333"/>
                <w:sz w:val="18"/>
              </w:rPr>
              <w:t>n islands</w:t>
            </w:r>
          </w:p>
        </w:tc>
        <w:tc>
          <w:tcPr>
            <w:tcW w:type="dxa" w:w="3402"/>
            <w:shd w:val="clear" w:color="auto" w:fill="D5E8F0"/>
            <w:vAlign w:val="center"/>
          </w:tcPr>
          <w:p>
            <w:pPr>
              <w:jc w:val="center"/>
            </w:pPr>
            <w:r>
              <w:rPr>
                <w:b/>
                <w:color w:val="333333"/>
                <w:sz w:val="18"/>
              </w:rPr>
              <w:t>Config / profile</w:t>
            </w:r>
          </w:p>
        </w:tc>
        <w:tc>
          <w:tcPr>
            <w:tcW w:type="dxa" w:w="2551"/>
            <w:shd w:val="clear" w:color="auto" w:fill="D5E8F0"/>
            <w:vAlign w:val="center"/>
          </w:tcPr>
          <w:p>
            <w:pPr>
              <w:jc w:val="center"/>
            </w:pPr>
            <w:r>
              <w:rPr>
                <w:b/>
                <w:color w:val="333333"/>
                <w:sz w:val="18"/>
              </w:rPr>
              <w:t>Representative mass</w:t>
            </w:r>
          </w:p>
        </w:tc>
      </w:tr>
      <w:tr>
        <w:tc>
          <w:tcPr>
            <w:tcW w:type="dxa" w:w="1984"/>
            <w:shd w:val="clear" w:color="auto" w:fill="FFFFFF"/>
          </w:tcPr>
          <w:p>
            <w:pPr>
              <w:jc w:val="left"/>
            </w:pPr>
            <w:r>
              <w:rPr>
                <w:sz w:val="18"/>
              </w:rPr>
              <w:t>1–20</w:t>
            </w:r>
          </w:p>
        </w:tc>
        <w:tc>
          <w:tcPr>
            <w:tcW w:type="dxa" w:w="1701"/>
            <w:shd w:val="clear" w:color="auto" w:fill="FFFFFF"/>
          </w:tcPr>
          <w:p>
            <w:pPr>
              <w:jc w:val="center"/>
            </w:pPr>
            <w:r>
              <w:rPr>
                <w:sz w:val="18"/>
              </w:rPr>
              <w:t>20</w:t>
            </w:r>
          </w:p>
        </w:tc>
        <w:tc>
          <w:tcPr>
            <w:tcW w:type="dxa" w:w="3402"/>
            <w:shd w:val="clear" w:color="auto" w:fill="FFFFFF"/>
          </w:tcPr>
          <w:p>
            <w:pPr>
              <w:jc w:val="center"/>
            </w:pPr>
            <w:r>
              <w:rPr>
                <w:sz w:val="18"/>
              </w:rPr>
              <w:t>10 kW circular/elliptical</w:t>
            </w:r>
          </w:p>
        </w:tc>
        <w:tc>
          <w:tcPr>
            <w:tcW w:type="dxa" w:w="2551"/>
            <w:shd w:val="clear" w:color="auto" w:fill="FFFFFF"/>
          </w:tcPr>
          <w:p>
            <w:pPr>
              <w:jc w:val="center"/>
            </w:pPr>
            <w:r>
              <w:rPr>
                <w:sz w:val="18"/>
              </w:rPr>
              <w:t>11.470 kg</w:t>
            </w:r>
          </w:p>
        </w:tc>
      </w:tr>
      <w:tr>
        <w:tc>
          <w:tcPr>
            <w:tcW w:type="dxa" w:w="1984"/>
            <w:shd w:val="clear" w:color="auto" w:fill="F7FBFD"/>
          </w:tcPr>
          <w:p>
            <w:pPr>
              <w:jc w:val="left"/>
            </w:pPr>
            <w:r>
              <w:rPr>
                <w:sz w:val="18"/>
              </w:rPr>
              <w:t>21–30</w:t>
            </w:r>
          </w:p>
        </w:tc>
        <w:tc>
          <w:tcPr>
            <w:tcW w:type="dxa" w:w="1701"/>
            <w:shd w:val="clear" w:color="auto" w:fill="F7FBFD"/>
          </w:tcPr>
          <w:p>
            <w:pPr>
              <w:jc w:val="center"/>
            </w:pPr>
            <w:r>
              <w:rPr>
                <w:sz w:val="18"/>
              </w:rPr>
              <w:t>10</w:t>
            </w:r>
          </w:p>
        </w:tc>
        <w:tc>
          <w:tcPr>
            <w:tcW w:type="dxa" w:w="3402"/>
            <w:shd w:val="clear" w:color="auto" w:fill="F7FBFD"/>
          </w:tcPr>
          <w:p>
            <w:pPr>
              <w:jc w:val="center"/>
            </w:pPr>
            <w:r>
              <w:rPr>
                <w:sz w:val="18"/>
              </w:rPr>
              <w:t>50 kW circular</w:t>
            </w:r>
          </w:p>
        </w:tc>
        <w:tc>
          <w:tcPr>
            <w:tcW w:type="dxa" w:w="2551"/>
            <w:shd w:val="clear" w:color="auto" w:fill="F7FBFD"/>
          </w:tcPr>
          <w:p>
            <w:pPr>
              <w:jc w:val="center"/>
            </w:pPr>
            <w:r>
              <w:rPr>
                <w:sz w:val="18"/>
              </w:rPr>
              <w:t>85.777 kg</w:t>
            </w:r>
          </w:p>
        </w:tc>
      </w:tr>
      <w:tr>
        <w:tc>
          <w:tcPr>
            <w:tcW w:type="dxa" w:w="1984"/>
            <w:shd w:val="clear" w:color="auto" w:fill="FFFFFF"/>
          </w:tcPr>
          <w:p>
            <w:pPr>
              <w:jc w:val="left"/>
            </w:pPr>
            <w:r>
              <w:rPr>
                <w:sz w:val="18"/>
              </w:rPr>
              <w:t>31–50</w:t>
            </w:r>
          </w:p>
        </w:tc>
        <w:tc>
          <w:tcPr>
            <w:tcW w:type="dxa" w:w="1701"/>
            <w:shd w:val="clear" w:color="auto" w:fill="FFFFFF"/>
          </w:tcPr>
          <w:p>
            <w:pPr>
              <w:jc w:val="center"/>
            </w:pPr>
            <w:r>
              <w:rPr>
                <w:sz w:val="18"/>
              </w:rPr>
              <w:t>20</w:t>
            </w:r>
          </w:p>
        </w:tc>
        <w:tc>
          <w:tcPr>
            <w:tcW w:type="dxa" w:w="3402"/>
            <w:shd w:val="clear" w:color="auto" w:fill="FFFFFF"/>
          </w:tcPr>
          <w:p>
            <w:pPr>
              <w:jc w:val="center"/>
            </w:pPr>
            <w:r>
              <w:rPr>
                <w:sz w:val="18"/>
              </w:rPr>
              <w:t>50 kW elliptical</w:t>
            </w:r>
          </w:p>
        </w:tc>
        <w:tc>
          <w:tcPr>
            <w:tcW w:type="dxa" w:w="2551"/>
            <w:shd w:val="clear" w:color="auto" w:fill="FFFFFF"/>
          </w:tcPr>
          <w:p>
            <w:pPr>
              <w:jc w:val="center"/>
            </w:pPr>
            <w:r>
              <w:rPr>
                <w:sz w:val="18"/>
              </w:rPr>
              <w:t>39.295 kg</w:t>
            </w:r>
          </w:p>
        </w:tc>
      </w:tr>
      <w:tr>
        <w:tc>
          <w:tcPr>
            <w:tcW w:type="dxa" w:w="1984"/>
            <w:shd w:val="clear" w:color="auto" w:fill="F7FBFD"/>
          </w:tcPr>
          <w:p>
            <w:pPr>
              <w:jc w:val="left"/>
            </w:pPr>
            <w:r>
              <w:rPr>
                <w:sz w:val="18"/>
              </w:rPr>
              <w:t>51–60</w:t>
            </w:r>
          </w:p>
        </w:tc>
        <w:tc>
          <w:tcPr>
            <w:tcW w:type="dxa" w:w="1701"/>
            <w:shd w:val="clear" w:color="auto" w:fill="F7FBFD"/>
          </w:tcPr>
          <w:p>
            <w:pPr>
              <w:jc w:val="center"/>
            </w:pPr>
            <w:r>
              <w:rPr>
                <w:sz w:val="18"/>
              </w:rPr>
              <w:t>10</w:t>
            </w:r>
          </w:p>
        </w:tc>
        <w:tc>
          <w:tcPr>
            <w:tcW w:type="dxa" w:w="3402"/>
            <w:shd w:val="clear" w:color="auto" w:fill="F7FBFD"/>
          </w:tcPr>
          <w:p>
            <w:pPr>
              <w:jc w:val="center"/>
            </w:pPr>
            <w:r>
              <w:rPr>
                <w:sz w:val="18"/>
              </w:rPr>
              <w:t>50 kW airfoil</w:t>
            </w:r>
          </w:p>
        </w:tc>
        <w:tc>
          <w:tcPr>
            <w:tcW w:type="dxa" w:w="2551"/>
            <w:shd w:val="clear" w:color="auto" w:fill="F7FBFD"/>
          </w:tcPr>
          <w:p>
            <w:pPr>
              <w:jc w:val="center"/>
            </w:pPr>
            <w:r>
              <w:rPr>
                <w:sz w:val="18"/>
              </w:rPr>
              <w:t>226.945 kg</w:t>
            </w:r>
          </w:p>
        </w:tc>
      </w:tr>
    </w:tbl>
    <w:p/>
    <w:p>
      <w:pPr>
        <w:spacing w:after="120"/>
      </w:pPr>
      <w:r>
        <w:rPr>
          <w:b w:val="0"/>
          <w:i/>
          <w:sz w:val="20"/>
        </w:rPr>
        <w:t>Note: the 50 kW circular group (islands 21–30) returned 85.777 kg — higher than the elliptical group (39.295 kg). This counter-intuitive result reflects different initialisation zones and seed assignments; the circular group landed in a different basin of the 50 kW objective. The true 50 kW optimum for circular profile is expected to match the elliptical result at ≈39.3 kg given sufficient search budget.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