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HIGH LEVEL SUMMARY</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 Summary</w:t>
      </w:r>
    </w:p>
    <w:p w:rsidR="00000000" w:rsidDel="00000000" w:rsidP="00000000" w:rsidRDefault="00000000" w:rsidRPr="00000000" w14:paraId="00000004">
      <w:pPr>
        <w:rPr/>
      </w:pPr>
      <w:r w:rsidDel="00000000" w:rsidR="00000000" w:rsidRPr="00000000">
        <w:rPr>
          <w:rtl w:val="0"/>
        </w:rPr>
        <w:t xml:space="preserve">This internal engineering report presents a 930-candidate simulation design screen for a 5 kW-class, ground-generation rotary kite turbine utilizing a Tensile Rotary Power Transmission (TRPT) shaft. By coupling a three-island Differential Evolution (DE) optimizer with a multibody Ordinary Differential Equation (ODE) solver and Blade Element Momentum (BEM) aerodynamics (incorporating a calibrated $\cos^{2.65}$ bank derate), the study explores continuous and discrete geometric parameters—including ring radii, spacing, polygon line count, rotor count, blade bank angle, and blade scale—under simultaneous power-floor, tubular ring beam-column buckling, blade-tip clearance, and geometric over-twist gates. The campaign identifies a feasible 6-ring, 3-line single-rotor winning geometry that delivers a mean power of 5.309 kW at an airborne mass of 25.698 kg (27.364 kg-equivalent penalized objective score), while maintaining a 15.0 minimum structural factor of safety on the topmost ring and a 2.03 minimum segment torque margin, accompanied by commit-level data provenance and a transparent engineering failure ledger.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Strengths</w:t>
      </w:r>
    </w:p>
    <w:p w:rsidR="00000000" w:rsidDel="00000000" w:rsidP="00000000" w:rsidRDefault="00000000" w:rsidRPr="00000000" w14:paraId="00000007">
      <w:pPr>
        <w:rPr/>
      </w:pPr>
      <w:r w:rsidDel="00000000" w:rsidR="00000000" w:rsidRPr="00000000">
        <w:rPr>
          <w:rtl w:val="0"/>
        </w:rPr>
        <w:t xml:space="preserve">* Coupling a multi-island Differential Evolution optimizer directly with time-domain coupled multibody ODE simulations to simultaneously screen continuous geometric parameters and discrete topologies (polygon count and active rotor count) under closed-form tubular beam-column buckling, geometric over-twist, and blade-tip clearance gates represents a highly novel and practical methodological contribution for rotary airborne wind energy design.</w:t>
      </w:r>
    </w:p>
    <w:p w:rsidR="00000000" w:rsidDel="00000000" w:rsidP="00000000" w:rsidRDefault="00000000" w:rsidRPr="00000000" w14:paraId="00000008">
      <w:pPr>
        <w:rPr/>
      </w:pPr>
      <w:r w:rsidDel="00000000" w:rsidR="00000000" w:rsidRPr="00000000">
        <w:rPr>
          <w:rtl w:val="0"/>
        </w:rPr>
        <w:t xml:space="preserve">* The calibration of an empirical $\cos^{2.65}$ cosine power-law bank derate against 3D pre-cone BEM sweeps provides a physically well-motivated, computationally efficient reduced-order surrogate for annular ring-mounted rotors that prevents the evolutionary optimizer from exploiting unmodeled coning aerodynamics.</w:t>
      </w:r>
    </w:p>
    <w:p w:rsidR="00000000" w:rsidDel="00000000" w:rsidP="00000000" w:rsidRDefault="00000000" w:rsidRPr="00000000" w14:paraId="00000009">
      <w:pPr>
        <w:rPr/>
      </w:pPr>
      <w:r w:rsidDel="00000000" w:rsidR="00000000" w:rsidRPr="00000000">
        <w:rPr>
          <w:rtl w:val="0"/>
        </w:rPr>
        <w:t xml:space="preserve">* The report exhibits exceptional scientific transparency and auditability through its commit-pinned numbers register, explicit documentation of model boundaries, and a detailed failure ledger that isolates simulation-in-the-loop artifacts such as static-to-dynamic handoff rope-break false rejections.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Weaknesses</w:t>
      </w:r>
    </w:p>
    <w:p w:rsidR="00000000" w:rsidDel="00000000" w:rsidP="00000000" w:rsidRDefault="00000000" w:rsidRPr="00000000" w14:paraId="0000000C">
      <w:pPr>
        <w:rPr/>
      </w:pPr>
      <w:r w:rsidDel="00000000" w:rsidR="00000000" w:rsidRPr="00000000">
        <w:rPr>
          <w:rtl w:val="0"/>
        </w:rPr>
        <w:t xml:space="preserve">* The reported minimum Factor of Safety (15.0 on Ring 6), airborne mass (25.698 kg), and potential mass-reduction headroom are only conditionally valid within the bounded screen because the simulation sets the blade-root structural Factor of Safety to infinity, defers the beam-on-supports blade integrity model, and omits outer tether-to-blade stiffening bridles whose structural mass or parasitic aerodynamic drag at the rotor perimeter could erode the narrow +6.28% power margin and S1 torsional margin; furthermore, full structural qualification for a 5 kW turbine of this swept area would benefit from evaluation against standard transient gust, direction-change, and fault design load cases (Reference Paper: IEC 61400-2: Wind Turbines – Part 2: Design Requirements for Small Wind Turbines, International Electrotechnical Commission (IEC), 2013).</w:t>
      </w:r>
    </w:p>
    <w:p w:rsidR="00000000" w:rsidDel="00000000" w:rsidP="00000000" w:rsidRDefault="00000000" w:rsidRPr="00000000" w14:paraId="0000000D">
      <w:pPr>
        <w:rPr/>
      </w:pPr>
      <w:r w:rsidDel="00000000" w:rsidR="00000000" w:rsidRPr="00000000">
        <w:rPr>
          <w:rtl w:val="0"/>
        </w:rPr>
        <w:t xml:space="preserve">* While the winning candidate satisfies power and rotational stationarity over the 40-second measurement window, the vertical shaft sag (bowing under gravity) grows continuously from 0.209 m to 0.613 m at the hub during the window and reaches 0.833 m in a post-window extension run, indicating that transverse gravitational degrees of freedom have not reached a strictly stationary spatial equilibrium and motivating comparison against continuum Cosserat-rod or finite-element tensegrity equilibrium formulations (Reference Paper: Dynamic analysis of the tensegrity structure of a rotary airborne wind energy machine / Dynamic Stability of a Rotary Airborne Wind Energy System, Gonzalo Sánchez-Arriaga, Álvaro Cerrillo-Vacas, David Unterweger, and Christof Beaupoil, 2024).</w:t>
      </w:r>
    </w:p>
    <w:p w:rsidR="00000000" w:rsidDel="00000000" w:rsidP="00000000" w:rsidRDefault="00000000" w:rsidRPr="00000000" w14:paraId="0000000E">
      <w:pPr>
        <w:rPr/>
      </w:pPr>
      <w:r w:rsidDel="00000000" w:rsidR="00000000" w:rsidRPr="00000000">
        <w:rPr>
          <w:rtl w:val="0"/>
        </w:rPr>
        <w:t xml:space="preserve">* The coupled system equilibrium relies on an idealized boundary condition that prescribes a constant 324.1 N lift-line tension at a fixed 70-degree elevation—scaled solely from 1.5 times the static airborne weight—rather than dynamically modeling the coupled aerodynamic rotor thrust, tether drag, overturning moment equilibrium, and active autogyro stack modulation required across varying wind speeds.</w:t>
      </w:r>
    </w:p>
    <w:p w:rsidR="00000000" w:rsidDel="00000000" w:rsidP="00000000" w:rsidRDefault="00000000" w:rsidRPr="00000000" w14:paraId="0000000F">
      <w:pPr>
        <w:rPr/>
      </w:pPr>
      <w:r w:rsidDel="00000000" w:rsidR="00000000" w:rsidRPr="00000000">
        <w:rPr>
          <w:rtl w:val="0"/>
        </w:rPr>
        <w:t xml:space="preserve">* Several methodological details, telemetry diagnostics, and draft release items remain incomplete in the current text, including explicit decoding equations and search bounds for the 10-gene vector, the analytical power-sizing formula for the reference rotor radius (`r_rotor`), the unlogged failure causes for 201 of the 301 plain `reject` designs, and an internal discrepancy between the quoted window-minimum Factor of Safety (`15.0`) and its signed register value (`14.972` in `NR-009`).</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Potential Issues And Suggestions</w:t>
      </w:r>
    </w:p>
    <w:p w:rsidR="00000000" w:rsidDel="00000000" w:rsidP="00000000" w:rsidRDefault="00000000" w:rsidRPr="00000000" w14:paraId="00000012">
      <w:pPr>
        <w:rPr/>
      </w:pPr>
      <w:r w:rsidDel="00000000" w:rsidR="00000000" w:rsidRPr="00000000">
        <w:rPr>
          <w:rtl w:val="0"/>
        </w:rPr>
        <w:t xml:space="preserve">### [Executive Summary, Abstract &amp; AWES Literature Context] (Pages: 1-3)</w:t>
      </w:r>
    </w:p>
    <w:p w:rsidR="00000000" w:rsidDel="00000000" w:rsidP="00000000" w:rsidRDefault="00000000" w:rsidRPr="00000000" w14:paraId="00000013">
      <w:pPr>
        <w:rPr/>
      </w:pPr>
      <w:r w:rsidDel="00000000" w:rsidR="00000000" w:rsidRPr="00000000">
        <w:rPr>
          <w:rtl w:val="0"/>
        </w:rPr>
        <w:t xml:space="preserve">#### Potential Mistakes and Improvements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**Contextualizing the TRPT Literature and Methodological Gap in Section 1**</w:t>
      </w:r>
    </w:p>
    <w:p w:rsidR="00000000" w:rsidDel="00000000" w:rsidP="00000000" w:rsidRDefault="00000000" w:rsidRPr="00000000" w14:paraId="00000016">
      <w:pPr>
        <w:rPr/>
      </w:pPr>
      <w:r w:rsidDel="00000000" w:rsidR="00000000" w:rsidRPr="00000000">
        <w:rPr>
          <w:rtl w:val="0"/>
        </w:rPr>
        <w:t xml:space="preserve">   - **Location:** Page 3, Section 1 (Introduction, literature context paragraphs).</w:t>
      </w:r>
    </w:p>
    <w:p w:rsidR="00000000" w:rsidDel="00000000" w:rsidP="00000000" w:rsidRDefault="00000000" w:rsidRPr="00000000" w14:paraId="00000017">
      <w:pPr>
        <w:rPr/>
      </w:pPr>
      <w:r w:rsidDel="00000000" w:rsidR="00000000" w:rsidRPr="00000000">
        <w:rPr>
          <w:rtl w:val="0"/>
        </w:rPr>
        <w:t xml:space="preserve">   - **Discussion:** As a potential area for improvement in framing the research gap, Section 1 concludes the literature review by tracing the rotary and TRPT lineage through Flather, Benhaïem and Schmehl, Ranneberg, and Tulloch: *"Tulloch modelled the Daisy TRPT and checked the model against measured flight windows. This report extends that line of work."* While this accurately establishes the heritage of the Daisy TRPT model, it does not explicitly articulate *how* the present study extends Tulloch's work or why prior TRPT analyses were insufficient for the 5 kW design problem—specifically, moving from fixed-geometry/steady-state validation to an automated, multi-gene differential evolution screen over coupled multibody ODE windows with simultaneous beam-column ring buckling, blade-tip clearance, and over-twist gates. Furthermore, because the report identifies shaft bowing under gravity, torsional twist collapse, and destructive resonance as central structural and modeling bottlenecks, a potential consideration for strengthening the literature context is to situate the discrete ring-and-line multibody model against recent continuum Cosserat-rod / finite-element stability formulations of rotary AWES tensegrity shafts (such as Sánchez-Arriaga et al., *Wind Energy Science*, 2024, on the Open Tensegrity Shaft architecture) and coupled lift-kite deflection-angle equilibrium models for Daisy-type TRPT systems.</w:t>
      </w:r>
    </w:p>
    <w:p w:rsidR="00000000" w:rsidDel="00000000" w:rsidP="00000000" w:rsidRDefault="00000000" w:rsidRPr="00000000" w14:paraId="00000018">
      <w:pPr>
        <w:rPr/>
      </w:pPr>
      <w:r w:rsidDel="00000000" w:rsidR="00000000" w:rsidRPr="00000000">
        <w:rPr>
          <w:rtl w:val="0"/>
        </w:rPr>
        <w:t xml:space="preserve">   - **Suggestion:** Briefly expand the transition following the Tulloch citation on Page 3 to state the specific methodological gap this report addresses (automated multi-gene differential evolution over full dynamic ODE windows with structural buckling, twist, and clearance gates) and consider referencing recent continuum/tensegrity shaft stability formulations to more clearly situate the discrete ODE and static pre-solve approaches used in this screen.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Minor Corrections and Typos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**Page 1, Front Matter (`Draft status`):** *"Sections 3.4 to 3.6 carry their text. Nomenclature and references stay incomplete."* — In Draft v0.57, Sections 1 through 5 all carry full text, whereas Section 6 (Nomenclature) and Section 7 (References, Page 17: *"Seeded in references.bib. Fifteen of eighteen sources verified..."*) remain placeholders, leaving the author citations on Page 3 (Loyd, Diehl, Trevisi, Cherubini, etc.) unlinked to full bibliographic entries. Updating the status note to reflect that Sections 1–5 are populated will keep the front matter aligned with the document body.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**Page 3, Section 1:** *"Ranneberg gave the rotary family a momentum frame with flight data."* — In Section 7 (Page 17), the Ranneberg source (`EK_FT_0018`) is flagged as one of the three pending source calls. When finalizing that citation, verify the attribution, as Ranneberg's published EnerKíte performance models primarily address pumping/yo-yo trajectories unless a specific internal rotary momentum technical note is being cited.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[TRPT Mechanics, Simulation Pipeline &amp; DE Campaign Methodology] (Pages: 3-7, 25)</w:t>
      </w:r>
    </w:p>
    <w:p w:rsidR="00000000" w:rsidDel="00000000" w:rsidP="00000000" w:rsidRDefault="00000000" w:rsidRPr="00000000" w14:paraId="00000021">
      <w:pPr>
        <w:rPr/>
      </w:pPr>
      <w:r w:rsidDel="00000000" w:rsidR="00000000" w:rsidRPr="00000000">
        <w:rPr>
          <w:rtl w:val="0"/>
        </w:rPr>
        <w:t xml:space="preserve">#### Potential Mistakes and Improvements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**Incomplete Specification of the 10-Gene Design Vector, Parameter Bounds, and Ring-Spacing Equations (§2.1 &amp; §2.2.1, Pages 3–4):**</w:t>
      </w:r>
    </w:p>
    <w:p w:rsidR="00000000" w:rsidDel="00000000" w:rsidP="00000000" w:rsidRDefault="00000000" w:rsidRPr="00000000" w14:paraId="00000024">
      <w:pPr>
        <w:rPr/>
      </w:pPr>
      <w:r w:rsidDel="00000000" w:rsidR="00000000" w:rsidRPr="00000000">
        <w:rPr>
          <w:rtl w:val="0"/>
        </w:rPr>
        <w:t xml:space="preserve">   - **Potential Concern:** Section 2.1 (page 3) and Section 2.2.1 (page 4) state qualitatively that the Differential Evolution (DE) campaign varies five categories of parameters: *"ring geometry, polygon count, rotor count, blade bank angles and blade scale."* However, Section 2 never explicitly enumerates the 10-dimensional genome vector (`x1` through `x10`), the continuous-to-discrete quantization rules for integer genes, or the lower and upper search bounds ("search box") for each gene. A reader must reconstruct the 10 genes (`r_hub`, `r_bottom`, `target_Lr`, `n_lines`, `density_profile`, `rotor_count`, `bank_top`, `bank_bottom`, `blade_scale_top`, `blade_scale_bottom`) from the PCA loading notes in the back-matter data register (`NR-044`, page 22) and the `pca-atlas` figure (page 28). In particular, the ring-geometry genes `target_Lr` ($x_3$, ratio) and `density_profile` ($x_5$) appear in the PCA results without ever being defined in Section 2.1 or Section 2.2.1, leaving it unclear how the total ring count (e.g., 6 rings in the winner) and intermediate ring stations (R2–R5) are mathematically derived from the fixed $18.8\text{ m}$ line length and the fixed $22^\circ$ transition cone angle (`NR-049`).</w:t>
      </w:r>
    </w:p>
    <w:p w:rsidR="00000000" w:rsidDel="00000000" w:rsidP="00000000" w:rsidRDefault="00000000" w:rsidRPr="00000000" w14:paraId="00000025">
      <w:pPr>
        <w:rPr/>
      </w:pPr>
      <w:r w:rsidDel="00000000" w:rsidR="00000000" w:rsidRPr="00000000">
        <w:rPr>
          <w:rtl w:val="0"/>
        </w:rPr>
        <w:t xml:space="preserve">   - **Suggested Improvement:** Add a dedicated parameter table in Section 2.2.1 listing all 10 genes, their physical definitions, units, data types (continuous vs. integer-quantized), and search bounds, along with the explicit decoding equations that map `target_Lr` and `density_profile` to ring count and axial ring spacing.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 **Undocumented Power-Sizing Formula for the Reference Rotor Radius (`r_rotor`) vs. Ring Hub Radius (`r_hub`) (§2.1, Page 3):**</w:t>
      </w:r>
    </w:p>
    <w:p w:rsidR="00000000" w:rsidDel="00000000" w:rsidP="00000000" w:rsidRDefault="00000000" w:rsidRPr="00000000" w14:paraId="00000028">
      <w:pPr>
        <w:rPr/>
      </w:pPr>
      <w:r w:rsidDel="00000000" w:rsidR="00000000" w:rsidRPr="00000000">
        <w:rPr>
          <w:rtl w:val="0"/>
        </w:rPr>
        <w:t xml:space="preserve">   - **Potential Concern:** In Section 2.1 (page 3), the blade scaling rule states: *"Blade scale sets the blade size. The scale multiplies the blade span and chord, and the blade mass follows the span cubed. The base span reads 0.75 of the rotor radius, and the base chord reads 0.113 of it. The power sizing sets the radius for the rotor at its local wind speed (NR-050)."* In the winner machine, the topmost ring radius (`r_hub`) is $4.580\text{ m}$ (`NR-011`, page 4), whereas register row `NR-050` (page 23) reveals that the base span ($1.8256\text{ m}$) and base chord ($0.2259\text{ m}$) are computed from a separate power-sized reference rotor radius `r_rotor` $= 2.4341\text{ m}$ ($0.75 \times 2.4341 = 1.8256\text{ m}$, which multiplied by `blade_scale_top` $= 0.82$ yields the built span of $1.4994\text{ m}$ in `NR-043`), and `NR-043` shows that the physical blade spans from `blade_hub_radius` ($4.1302\text{ m}$) to `R_main` ($5.6296\text{ m}$). Because Section 2.1 does not distinguish between "rotor radius" (`r_rotor`) and the polygon ring radius (`r_hub`), nor provide the closed-form "power sizing" equation that calculates `r_rotor` from the local wind speed or the proportionality constant mapping $\text{span}^3$ to blade mass in kilograms, a reader attempting to reproduce the builder from Section 2.1 would naturally apply the $0.75$ and $0.113$ multipliers to the $4.580\text{ m}$ ring radius (overestimating blade span and chord by nearly a factor of two and blade mass by a factor of $\sim 6.7$).</w:t>
      </w:r>
    </w:p>
    <w:p w:rsidR="00000000" w:rsidDel="00000000" w:rsidP="00000000" w:rsidRDefault="00000000" w:rsidRPr="00000000" w14:paraId="00000029">
      <w:pPr>
        <w:rPr/>
      </w:pPr>
      <w:r w:rsidDel="00000000" w:rsidR="00000000" w:rsidRPr="00000000">
        <w:rPr>
          <w:rtl w:val="0"/>
        </w:rPr>
        <w:t xml:space="preserve">   - **Suggested Improvement:** Explicitly distinguish the aerodynamic reference sizing radius `r_rotor` from the structural ring radius `r_hub` in Section 2.1, state the analytical power-sizing formula for `r_rotor` and the geometric offset defining `blade_hub_radius` and `R_main`, and provide the reference mass coefficient for the cubic blade mass law ($m_{\text{blade}} \propto \text{span}^3$).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**Incomplete Mathematical Definitions in the Objective Penalty Seam and Hard-Gate Thresholds (§2.4, Pages 6–7):**</w:t>
      </w:r>
    </w:p>
    <w:p w:rsidR="00000000" w:rsidDel="00000000" w:rsidP="00000000" w:rsidRDefault="00000000" w:rsidRPr="00000000" w14:paraId="0000002C">
      <w:pPr>
        <w:rPr/>
      </w:pPr>
      <w:r w:rsidDel="00000000" w:rsidR="00000000" w:rsidRPr="00000000">
        <w:rPr>
          <w:rtl w:val="0"/>
        </w:rPr>
        <w:t xml:space="preserve">   - **Potential Concern:** In Section 2.4 (page 6), the continuous kg-equivalent objective score is written as:</w:t>
      </w:r>
    </w:p>
    <w:p w:rsidR="00000000" w:rsidDel="00000000" w:rsidP="00000000" w:rsidRDefault="00000000" w:rsidRPr="00000000" w14:paraId="0000002D">
      <w:pPr>
        <w:rPr/>
      </w:pPr>
      <w:r w:rsidDel="00000000" w:rsidR="00000000" w:rsidRPr="00000000">
        <w:rPr>
          <w:rtl w:val="0"/>
        </w:rPr>
        <w:t xml:space="preserve">     $$f = \text{mass} + 5.0 \times \max(P_{\text{score}} - 5.0, 0)^2 + 20.0 \times (2.5 / \text{FoS}_{\min})^2 + 1.0 \times (r / (1 - r))^2 + 10.0 \times \max(0, \text{swing} - 0.20)$$</w:t>
      </w:r>
    </w:p>
    <w:p w:rsidR="00000000" w:rsidDel="00000000" w:rsidP="00000000" w:rsidRDefault="00000000" w:rsidRPr="00000000" w14:paraId="0000002E">
      <w:pPr>
        <w:rPr/>
      </w:pPr>
      <w:r w:rsidDel="00000000" w:rsidR="00000000" w:rsidRPr="00000000">
        <w:rPr>
          <w:rtl w:val="0"/>
        </w:rPr>
        <w:t xml:space="preserve">     with $r = \min(\text{twist\_ratio}, 1)$. While the back-matter register (`NR-046`, `NR-052`, `NR-053`) confirms the code implementation, three definitions needed to evaluate this equation and its associated gates are omitted from the Section 2 text:</w:t>
      </w:r>
    </w:p>
    <w:p w:rsidR="00000000" w:rsidDel="00000000" w:rsidP="00000000" w:rsidRDefault="00000000" w:rsidRPr="00000000" w14:paraId="0000002F">
      <w:pPr>
        <w:rPr/>
      </w:pPr>
      <w:r w:rsidDel="00000000" w:rsidR="00000000" w:rsidRPr="00000000">
        <w:rPr>
          <w:rtl w:val="0"/>
        </w:rPr>
        <w:t xml:space="preserve">     - **Definition of $P_{\text{score}}$ ("end power"):** Section 2.2.2 (page 4) states that the evaluator scores power over the 40 s measurement window, and Section 2.4 defines $P_{\text{score}}$ as *"the end power, against the 5.0 kW ceiling."* However, Section 2 does not specify how "end power" is calculated from the window trace—register row `NR-046` (page 23) defines $P_{\text{score}}$ ($P_{\text{end}}$) as the "tail-5 power" (and should clarify whether this is the final 5 seconds of the 40 s window or the final 5 telemetry samples) rather than an instantaneous final-step reading or the 40 s window mean ($P_{\text{mean}}$).</w:t>
      </w:r>
    </w:p>
    <w:p w:rsidR="00000000" w:rsidDel="00000000" w:rsidP="00000000" w:rsidRDefault="00000000" w:rsidRPr="00000000" w14:paraId="00000030">
      <w:pPr>
        <w:rPr/>
      </w:pPr>
      <w:r w:rsidDel="00000000" w:rsidR="00000000" w:rsidRPr="00000000">
        <w:rPr>
          <w:rtl w:val="0"/>
        </w:rPr>
        <w:t xml:space="preserve">     - **Definition of `swing`:** Section 2.4 states that the stationarity add-on *"reads the window swing against 20 per cent,"* without stating the formula $\text{swing} = P_{\text{range}} / P_{\text{mean}}$ (`NR-046`). Because Section 3.3 (page 8) reports *"Window power swing | 0.029 kW"* as a dimensional quantity, a reader could misinterpret `swing` in the equation unless the dimensionless ratio $P_{\text{range}} / P_{\text{mean}}$ is explicitly written out.</w:t>
      </w:r>
    </w:p>
    <w:p w:rsidR="00000000" w:rsidDel="00000000" w:rsidP="00000000" w:rsidRDefault="00000000" w:rsidRPr="00000000" w14:paraId="00000031">
      <w:pPr>
        <w:rPr/>
      </w:pPr>
      <w:r w:rsidDel="00000000" w:rsidR="00000000" w:rsidRPr="00000000">
        <w:rPr>
          <w:rtl w:val="0"/>
        </w:rPr>
        <w:t xml:space="preserve">     - **Definition of `twist_ratio` and the $r = 1$ singularity:** Section 2.4 states that the twist charge reads *"the worst segment twist ratio against the crossing limit,"* but omits the mathematical definition of the discrete geometric crossing limit $\delta^*_i = 2\arcsin\left(L_{\text{seg},i} / \sqrt{2(L_{\text{seg},i}^2 + 2r_{\text{seg},i}^2)}\right)$ where $r_{\text{seg},i} = \max(r_i, r_{i+1})$ (`NR-053`, page 24) that normalizes $\text{twist\_ratio} = \max_i (|\Delta\alpha_i| / \delta^*_i)$, as distinct from the over-twist limit $\delta_{\text{crit}}$ (`NR-022`). Additionally, clamping $r = \min(\text{twist\_ratio}, 1)$ yields a division-by-zero singularity ($1 / (1 - r) \to \infty$) if $\text{twist\_ratio} \ge 1$; noting that the hard `reject_twist` gate culls any candidate with $\text{twist\_ratio} \ge 1$ prior to soft-penalty evaluation would clarify why this clamp does not cause numerical failure on surviving `ok` designs. Finally, the campaign configuration table on page 7 omits the numerical threshold for the `clearance_reject` gate ($1.5\text{ m}$ blade-tip floor, disclosed only in `NR-042`).</w:t>
      </w:r>
    </w:p>
    <w:p w:rsidR="00000000" w:rsidDel="00000000" w:rsidP="00000000" w:rsidRDefault="00000000" w:rsidRPr="00000000" w14:paraId="00000032">
      <w:pPr>
        <w:rPr/>
      </w:pPr>
      <w:r w:rsidDel="00000000" w:rsidR="00000000" w:rsidRPr="00000000">
        <w:rPr>
          <w:rtl w:val="0"/>
        </w:rPr>
        <w:t xml:space="preserve">   - **Suggested Improvement:** Define $P_{\text{score}} = P_{\text{end}}$ (tail-5 mean power), $\text{swing} = P_{\text{range}} / P_{\text{mean}}$, and $\text{twist\_ratio} = \max_i (|\Delta\alpha_i| / \delta^*_i)$ directly in Section 2.4, explain the interaction between the `reject_twist` hard gate and $r = \min(\text{twist\_ratio}, 1)$, and add the $1.5\text{ m}$ blade-tip clearance floor and twist-gate criteria to the configuration table on page 7.</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 **Unspecified Differential Evolution Hyperparameters and Selection/Culling Mechanics (§2.4, Pages 6–7):**</w:t>
      </w:r>
    </w:p>
    <w:p w:rsidR="00000000" w:rsidDel="00000000" w:rsidP="00000000" w:rsidRDefault="00000000" w:rsidRPr="00000000" w14:paraId="00000035">
      <w:pPr>
        <w:rPr/>
      </w:pPr>
      <w:r w:rsidDel="00000000" w:rsidR="00000000" w:rsidRPr="00000000">
        <w:rPr>
          <w:rtl w:val="0"/>
        </w:rPr>
        <w:t xml:space="preserve">   - **Potential Concern:** Section 2.4 (page 6) and the configuration table on page 7 state that 3 islands run in parallel for 310 evaluations each (930 total), initialized from a common seed genome plus randomly drawn individuals under a fixed random seed per island. However, the core DE hyperparameters—specifically the population size per island ($N_{\text{pop}} = 10$) and generation count ($31$ generations, indices $0$ to $30$, which only appear later in Section 3.4 and `NR-045` on page 22), the mutation scheme (e.g., `DE/rand/1/bin` or `DE/best/1/bin`), the mutation scale factor ($F$), the crossover probability ($CR$), and whether islands remain strictly isolated—are not reported in Section 2.4. Moreover, page 6 states both that *"A gate scores each design and culls the failures"* and that *"The runner stamps the search cost 1e9 on every non-ok design."* In standard DE, assigning a penalty cost of `1e9` causes an infeasible trial vector to lose greedy selection against a feasible parent rather than actively removing ("culling") slots from the fixed population of 10.</w:t>
      </w:r>
    </w:p>
    <w:p w:rsidR="00000000" w:rsidDel="00000000" w:rsidP="00000000" w:rsidRDefault="00000000" w:rsidRPr="00000000" w14:paraId="00000036">
      <w:pPr>
        <w:rPr/>
      </w:pPr>
      <w:r w:rsidDel="00000000" w:rsidR="00000000" w:rsidRPr="00000000">
        <w:rPr>
          <w:rtl w:val="0"/>
        </w:rPr>
        <w:t xml:space="preserve">   - **Suggested Improvement:** Add the population size ($10$), generation count ($31$), DE strategy, mutation factor $F$, crossover rate $CR$, and island isolation policy to Section 2.4 and the page 7 table, and clarify how `1e9`-stamped rejects are handled during generation-0 initialization and parent-offspring selection.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5. **Undefined "Pre-Fold Winner," "Folded Class," and "cp Fix" Terminology in the Shaft Length Screen (§2.2.2, Page 5):**</w:t>
      </w:r>
    </w:p>
    <w:p w:rsidR="00000000" w:rsidDel="00000000" w:rsidP="00000000" w:rsidRDefault="00000000" w:rsidRPr="00000000" w14:paraId="00000039">
      <w:pPr>
        <w:rPr/>
      </w:pPr>
      <w:r w:rsidDel="00000000" w:rsidR="00000000" w:rsidRPr="00000000">
        <w:rPr>
          <w:rtl w:val="0"/>
        </w:rPr>
        <w:t xml:space="preserve">   - **Potential Concern:** On page 5, the justification for fixing the shaft length at $18.8\text{ m}$ reads: *"The length screen ran 2026-10-05 on the pre-fold island-3 winner. It covered 18.8, 21.2 and 25.0 metres, twice, before and after the cp fix. All six rows failed the power floor (NR-027). The cause is recorded. The screen measured the pre-fold winner under the post-landing decode, whose span shrink took the power below the floor. The folded class passes at 18.8 metres (NR-028)."* Within the report, the internal project terms *"pre-fold winner"*, *"post-landing decode"*, *"span shrink"*, *"folded class"*, and *"cp fix"* are introduced without physical or algorithmic definition. A reader cannot tell what change in the genome decoder or aerodynamic table separates the "pre-fold" and "folded" classes, why the post-landing decode shrunk the blade span, or why longer shafts ($21.2\text{ m}$ and $25.0\text{ m}$) were not re-screened using the passing folded class before locking the campaign length at $18.8\text{ m}$.</w:t>
      </w:r>
    </w:p>
    <w:p w:rsidR="00000000" w:rsidDel="00000000" w:rsidP="00000000" w:rsidRDefault="00000000" w:rsidRPr="00000000" w14:paraId="0000003A">
      <w:pPr>
        <w:rPr/>
      </w:pPr>
      <w:r w:rsidDel="00000000" w:rsidR="00000000" w:rsidRPr="00000000">
        <w:rPr>
          <w:rtl w:val="0"/>
        </w:rPr>
        <w:t xml:space="preserve">   - **Suggested Improvement:** Briefly define the "pre-fold" vs. "folded" decode conventions, "span shrink," and "cp fix" when introduced on page 5, and note why the $21.2\text{ m}$ and $25.0\text{ m}$ shaft lengths were not re-evaluated on the folded class.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6. **Disconnect Between Fixed Generator Torque Law ($P = k\omega^3$), Reported Mean Power / Speed Closure in the Seed Load-Sweep and Winner Tables, and Rotor Radius Scaling (§2.2.2, Pages 4–5; §3.3, Pages 8–9 &amp; §3.6, Page 14):**</w:t>
      </w:r>
    </w:p>
    <w:p w:rsidR="00000000" w:rsidDel="00000000" w:rsidP="00000000" w:rsidRDefault="00000000" w:rsidRPr="00000000" w14:paraId="0000003D">
      <w:pPr>
        <w:rPr/>
      </w:pPr>
      <w:r w:rsidDel="00000000" w:rsidR="00000000" w:rsidRPr="00000000">
        <w:rPr>
          <w:rtl w:val="0"/>
        </w:rPr>
        <w:t xml:space="preserve">   - **Potential Concern:** Two related physical and methodological questions arise from the generator load law $\tau = k\omega^2$ and drawn power $P = k\omega^3$ with fixed $k = 2.24\text{ N}\cdot\text{m}/(\text{rad/s})^2$ across all 930 candidate designs (`§2.2.2`, p. 4; `NR-015`):</w:t>
      </w:r>
    </w:p>
    <w:p w:rsidR="00000000" w:rsidDel="00000000" w:rsidP="00000000" w:rsidRDefault="00000000" w:rsidRPr="00000000" w14:paraId="0000003E">
      <w:pPr>
        <w:rPr/>
      </w:pPr>
      <w:r w:rsidDel="00000000" w:rsidR="00000000" w:rsidRPr="00000000">
        <w:rPr>
          <w:rtl w:val="0"/>
        </w:rPr>
        <w:t xml:space="preserve">     1. *Power-Speed Closure in the Seed Load-Sweep Table (§2.2.2, p. 5) and Winner Operating Point (§3.3, p. 8):* When cross-checking the seed load-sweep table on page 5 (`NR-047`) using the reported $\omega_{\text{final}}$ values, $k\omega_{\text{final}}^3$ is systematically $\sim 0.6\%\text{–}1.2\%$ higher than the tabulated `P_mean` across all six rows (e.g., at $k = 2.24\text{ N}\cdot\text{m}/(\text{rad/s})^2$ and $\omega_{\text{final}} = 15.34\text{ rad/s}$, $k\omega_{\text{final}}^3 = 2.24 \times 15.34^3 \approx 8.09\text{ kW}$ vs. `P_mean = 8.00 kW`; at $k = 1.0$ and $\omega_{\text{final}} = 17.64\text{ rad/s}$, $k\omega_{\text{final}}^3 \approx 5.49\text{ kW}$ vs. `5.45 kW`). Similarly, for the campaign winner on page 8 (`P_mean = 5.309 kW`, `NR-008`, window-mean ground-ring speed $\omega = 13.38026\text{ rad/s}$ from `NR-029`, and delivered torque $\tau = 396.76\text{ N}\cdot\text{m}$ from `NR-030`, computed as $P_{\text{mean}} / \omega_{\text{mean}}$), the law $P = k\omega^3$ and $\tau = k\omega^2$ yields $\tau = 2.24 \times (13.38026)^2 = 401.03\text{ N}\cdot\text{m}$ and $P = 2.24 \times (13.38026)^3 = 5.366\text{ kW}$—a $\sim 1.07\%$ discrepancy that cannot be explained by Jensen's inequality ($\langle \omega^3 \rangle \ge \langle \omega \rangle^3$, which acts in the opposite direction and is negligible at a $0.5\%$ power swing). While this offset may reflect a slow acceleration trend across the 40 s window, a projection of $\omega$ along the inclined shaft axis vs. total angular velocity, ground-ring drag/damping, or how instantaneous power is averaged over the window, the exact relationship between mechanical brake power $k\omega^3$ and reported `P_mean` is not stated.</w:t>
      </w:r>
    </w:p>
    <w:p w:rsidR="00000000" w:rsidDel="00000000" w:rsidP="00000000" w:rsidRDefault="00000000" w:rsidRPr="00000000" w14:paraId="0000003F">
      <w:pPr>
        <w:rPr/>
      </w:pPr>
      <w:r w:rsidDel="00000000" w:rsidR="00000000" w:rsidRPr="00000000">
        <w:rPr>
          <w:rtl w:val="0"/>
        </w:rPr>
        <w:t xml:space="preserve">     2. *Confounding of Rotor Radius Search with Tip-Speed Ratio (§3.3, p. 9 &amp; §3.6, p. 14):* Because $P = k\omega^3$ fixes the shaft angular speed $\omega \approx (5000 / 2.24)^{1/3} \approx 13.07\text{ rad/s}$ needed to clear the $5.0\text{ kW}$ floor regardless of rotor diameter, varying the topmost ring radius (`r_hub`) and blade scale (`blade_scale_top`) forces candidate designs of different radii to operate at proportionally shifted tip-speed ratios $\lambda = \omega R / v_{\text{ref}}$. For the winner ($R_6 = 4.580\text{ m}$, $r_{\text{out}} = 5.630\text{ m}$), this forces operation at $\lambda_{\text{tip}} = 6.8415$ where the BEM rotor power coefficient is $C_p = 0.2258$ (down from $0.2944$ at the ring speed ratio $\lambda_{\text{gnd}} = 5.566$, `NR-031`, `NR-032`). Consequently, geometric scaling in the search space is coupled with off-design tip-speed ratio operation.</w:t>
      </w:r>
    </w:p>
    <w:p w:rsidR="00000000" w:rsidDel="00000000" w:rsidP="00000000" w:rsidRDefault="00000000" w:rsidRPr="00000000" w14:paraId="00000040">
      <w:pPr>
        <w:rPr/>
      </w:pPr>
      <w:r w:rsidDel="00000000" w:rsidR="00000000" w:rsidRPr="00000000">
        <w:rPr>
          <w:rtl w:val="0"/>
        </w:rPr>
        <w:t xml:space="preserve">   - **Suggested Improvement:** Clarify in Section 2.2.2 and Section 3.3 how `P_mean` and delivered torque are computed from the time series of $\tau$ and $\omega$ over the measurement window to account for the $\sim 1.1\%$ offset between `P_mean` ($5.309\text{ kW}$) and $k\omega_{\text{mean}}^3$ ($5.366\text{ kW}$) (and between `P_mean` and $k\omega_{\text{final}}^3$ in the `NR-047` load-sweep table), and note in Section 3.4 or Section 3.6 that holding $k$ fixed across varying rotor radii couples geometric sizing with aerodynamic tip-speed ratio matching.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Minor Corrections and Typos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 **Missing Section Heading `2.3` and Resulting Cross-Reference Gap (Pages 4–6 &amp; Page 10):**</w:t>
      </w:r>
    </w:p>
    <w:p w:rsidR="00000000" w:rsidDel="00000000" w:rsidP="00000000" w:rsidRDefault="00000000" w:rsidRPr="00000000" w14:paraId="00000047">
      <w:pPr>
        <w:rPr/>
      </w:pPr>
      <w:r w:rsidDel="00000000" w:rsidR="00000000" w:rsidRPr="00000000">
        <w:rPr>
          <w:rtl w:val="0"/>
        </w:rPr>
        <w:t xml:space="preserve">   - The subsection numbering jumps directly from `2.2.2 The evaluator` (page 4) to `2.4 The campaign` (page 6), omitting `2.3` (which also affects the cross-reference on page 10, third paragraph from the bottom, to *"section 2.2.2, and the gate set at section 2.4"*). Notably, register row `NR-047` (page 23) explicitly refers to *"The k-sweep display rows for section 2.3"*, indicating that the generator load sweep and shaft length selection material on page 5 was intended to sit under a Section `2.3` heading (e.g., `2.3 Operating point and load selection`).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 **Inline Placeholder for `system-anatomy` vs. End-of-Document Figure Placement (Page 4 &amp; Page 25):**</w:t>
      </w:r>
    </w:p>
    <w:p w:rsidR="00000000" w:rsidDel="00000000" w:rsidP="00000000" w:rsidRDefault="00000000" w:rsidRPr="00000000" w14:paraId="0000004A">
      <w:pPr>
        <w:rPr/>
      </w:pPr>
      <w:r w:rsidDel="00000000" w:rsidR="00000000" w:rsidRPr="00000000">
        <w:rPr>
          <w:rtl w:val="0"/>
        </w:rPr>
        <w:t xml:space="preserve">   - On page 4, the raw build identifier `system-anatomy` / `Figure (roster row 2) · system-anatomy` appears inline in the text, whereas the actual vector graphic (`Kite turbine anatomy: the ground-generation rotary machine`) is placed at the end of the document on page 25 without a matching numbered figure caption (e.g., "Figure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 **Inconsistent Capitalization of `n_Lines` vs. `n_lines` (Page 3, Section 2.1):**</w:t>
      </w:r>
    </w:p>
    <w:p w:rsidR="00000000" w:rsidDel="00000000" w:rsidP="00000000" w:rsidRDefault="00000000" w:rsidRPr="00000000" w14:paraId="0000004D">
      <w:pPr>
        <w:rPr/>
      </w:pPr>
      <w:r w:rsidDel="00000000" w:rsidR="00000000" w:rsidRPr="00000000">
        <w:rPr>
          <w:rtl w:val="0"/>
        </w:rPr>
        <w:t xml:space="preserve">   - On page 3, the polygon count parameter is written as `(n_Lines)`, whereas the data register (`NR-011`, `NR-044`) and figure plates (`pca-atlas` on page 28) consistently use lowercase `n_lines`.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 **Verification Summary of Checked Material (No Action Required):**</w:t>
      </w:r>
    </w:p>
    <w:p w:rsidR="00000000" w:rsidDel="00000000" w:rsidP="00000000" w:rsidRDefault="00000000" w:rsidRPr="00000000" w14:paraId="00000050">
      <w:pPr>
        <w:rPr/>
      </w:pPr>
      <w:r w:rsidDel="00000000" w:rsidR="00000000" w:rsidRPr="00000000">
        <w:rPr>
          <w:rtl w:val="0"/>
        </w:rPr>
        <w:t xml:space="preserve">   - All other quantitative statements, equations, and cross-references in Section 2 (pages 3–7) and the `system-anatomy` plate (page 25) were verified against the signed register (`NR-001` through `NR-059`) and confirmed to be internally consistent, including the 3-island DE evaluation totals ($3 \times 310 = 930$, `NR-001`), the objective penalty closure ($25.6985 + 0.4933 + 0.5577 + 0.6141 = 27.3635\text{ kg-equivalent}$, `NR-039`/`NR-046`), and all geometric callouts between the page 4 caption and the page 25 diagram ($R_1 = 0.804\text{ m}$, $R_6 = 4.580\text{ m}$, blade span $1.499\text{ m}$, bank $7.088^\circ$, 6 triangular rings, 3 tension lines across S1–S5, R5 cone start ring, autogyro lifter stack, lift line, sky anchor, cyan line, lift bearing, 3 lifting bridles, altitude-limiter backline, ground station PTO outline, and $5\text{ m}$ scale bar).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[Campaign Results, Winner Characterization &amp; Visual Exhibits] (Pages: 7-14, 26-30)</w:t>
      </w:r>
    </w:p>
    <w:p w:rsidR="00000000" w:rsidDel="00000000" w:rsidP="00000000" w:rsidRDefault="00000000" w:rsidRPr="00000000" w14:paraId="00000053">
      <w:pPr>
        <w:rPr/>
      </w:pPr>
      <w:r w:rsidDel="00000000" w:rsidR="00000000" w:rsidRPr="00000000">
        <w:rPr>
          <w:rtl w:val="0"/>
        </w:rPr>
        <w:t xml:space="preserve">#### Potential Mistakes and Improvements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**Unconverged Transverse Shaft Sag / Bow Dynamics Across and Beyond the Measurement Window (§3.3, Page 9 &amp; Pages 26–27):**</w:t>
      </w:r>
    </w:p>
    <w:p w:rsidR="00000000" w:rsidDel="00000000" w:rsidP="00000000" w:rsidRDefault="00000000" w:rsidRPr="00000000" w14:paraId="00000056">
      <w:pPr>
        <w:rPr/>
      </w:pPr>
      <w:r w:rsidDel="00000000" w:rsidR="00000000" w:rsidRPr="00000000">
        <w:rPr>
          <w:rtl w:val="0"/>
        </w:rPr>
        <w:t xml:space="preserve">   - **Potential Concern:** In §3.3 (p. 9), the report states that *"The machine held a steady operating point through the measurement window"* based on the low electrical power swing ($0.029\text{ kW}$ on $5.309\text{ kW}$, or $0.5\%$, `NR-014`). However, a few paragraphs later (`NR-059`), the text notes that under gravity, the vertical bow (sag) of the shaft axis increases from $0.002\text{ m}$ at the static settle state to $0.105\text{–}0.310\text{ m}$ at the midpoint ring and $0.209\text{–}0.613\text{ m}$ at the hub across the 40-second measurement window, and then continues growing during an extension run past the window to reach $0.422\text{ m}$ at the midpoint and $0.833\text{ m}$ at the hub. While the text characterizes this solely as a handoff discrepancy between the straight static pre-solve stack and the bowed dynamic ODE run (*"The disagreement reads as an instrument finding, not a design question"*), the continuous monotonic growth of the transverse shaft deflection across the 40-second window ($0.209\text{ m} \to 0.613\text{ m}$ at the hub) and by another $\sim 36\%$ during the post-window extension ($0.613\text{ m} \to 0.833\text{ m}$) indicates that the lateral/gravitational structural degrees of freedom have not yet reached a stationary geometric equilibrium within the 50-second simulation ($10\text{ s}$ relax + $40\text{ s}$ window). Because shaft sag alters the effective hub altitude ($z = 8.914\text{ m}$ settled vs. $9.400\text{ m}$ design in `NR-057`), local wind speed under the Hellmann shear law, ring-to-ring tether angles, and out-of-plane beam bending moments ($M_{\text{oop}}$), evaluating the ring beam-column interaction (`ring-utilisation`, p. 26) and segment twist/torque capacity (`twist-limit`, p. 27) as single-instant snapshots at the end of the 40 s window ($t \approx 50\text{ s}$, step 1,724,859)—and evaluating blade-tip clearance (`NR-042`) at geometric decode rather than the sagged state—before transverse sag has equilibrated is a substantive validity consideration.</w:t>
      </w:r>
    </w:p>
    <w:p w:rsidR="00000000" w:rsidDel="00000000" w:rsidP="00000000" w:rsidRDefault="00000000" w:rsidRPr="00000000" w14:paraId="00000057">
      <w:pPr>
        <w:rPr/>
      </w:pPr>
      <w:r w:rsidDel="00000000" w:rsidR="00000000" w:rsidRPr="00000000">
        <w:rPr>
          <w:rtl w:val="0"/>
        </w:rPr>
        <w:t xml:space="preserve">   - **Suggested Improvement:** Clarify in §3.3 whether the hub and midpoint bow eventually asymptote to a stationary equilibrium in longer extension runs, report the duration of the extension run, and quantify whether the governing ring Factor of Safety at R6 (`NR-021`), segment torque margin at S1 (`NR-040`), and dynamic blade-tip clearance (`NR-042`) remain within their gates at the more severely bowed extension-end (or asymptotic) state.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 **Ambiguity in Twist Gate Reference Limits and Percentage Margin Convention (§3.3, Page 9 vs. §3.4, Page 11 &amp; `twist-limit` Plate, Page 27):**</w:t>
      </w:r>
    </w:p>
    <w:p w:rsidR="00000000" w:rsidDel="00000000" w:rsidP="00000000" w:rsidRDefault="00000000" w:rsidRPr="00000000" w14:paraId="0000005A">
      <w:pPr>
        <w:rPr/>
      </w:pPr>
      <w:r w:rsidDel="00000000" w:rsidR="00000000" w:rsidRPr="00000000">
        <w:rPr>
          <w:rtl w:val="0"/>
        </w:rPr>
        <w:t xml:space="preserve">   - **Potential Concern:** Cross-checking the `Twist` row of the gate summary table on page 9 (`Twist | per-segment limit δcrit | pass, all five segments within limit | Least margin at S1. It reads +64.913 deg / +65.7 per cent, 2.91 times | NR-022`) against the narrative in §§3.3–3.4 (pp. 9–11), the `twist-limit` exhibit on page 27, and register rows `NR-052`/`NR-053` reveals two substantive consistency issues:</w:t>
      </w:r>
    </w:p>
    <w:p w:rsidR="00000000" w:rsidDel="00000000" w:rsidP="00000000" w:rsidRDefault="00000000" w:rsidRPr="00000000" w14:paraId="0000005B">
      <w:pPr>
        <w:rPr/>
      </w:pPr>
      <w:r w:rsidDel="00000000" w:rsidR="00000000" w:rsidRPr="00000000">
        <w:rPr>
          <w:rtl w:val="0"/>
        </w:rPr>
        <w:t xml:space="preserve">     1. *Conflicting Reference Limits:* The page 9 gate table defines the threshold and computes the S1 margin ($|\Delta\alpha| = 33.946^\circ$) exclusively against the continuum over-twist limit $\delta_{\text{crit}} = 98.859^\circ$ ($98.859^\circ - 33.946^\circ = +64.913^\circ$, and $98.859^\circ / 33.946^\circ = 2.91$). However, Panel A of the `twist-limit` plate on page 27 is explicitly titled *"Every segment of the winner runs well inside its binding limit — Transmitted twist against its binding limit, the realisability floor"* and plots the vertical dashed limit line at the stricter **realisability floor** of $72.25^\circ$ ($\sin\Delta\alpha \le 1/1.05$, `NR-053`), relative to which the margin at S1 is $+38.30^\circ$ ($2.13\times$). Furthermore, the footnote on the `twist-limit` plate (p. 27) states that *"every segment gates on its own collapse-detector limit. That limit is not the over-twist limit,"* corresponding to the discrete geometric crossing limit $\delta\alpha^*$ (`dastar` in `NR-052`/`NR-053`), where the worst crossing ratio is $0.4393$ (a margin of $2.28\times$). Presenting only the looser $\delta_{\text{crit}}$ margin ($2.91\times$) in the primary gate summary table on page 9 while the figure and code identify tighter binding limits ($2.13\times$ to the realisability floor and $2.28\times$ to $\delta\alpha^*$) creates an apparent contradiction regarding the actual twist headroom.</w:t>
      </w:r>
    </w:p>
    <w:p w:rsidR="00000000" w:rsidDel="00000000" w:rsidP="00000000" w:rsidRDefault="00000000" w:rsidRPr="00000000" w14:paraId="0000005C">
      <w:pPr>
        <w:rPr/>
      </w:pPr>
      <w:r w:rsidDel="00000000" w:rsidR="00000000" w:rsidRPr="00000000">
        <w:rPr>
          <w:rtl w:val="0"/>
        </w:rPr>
        <w:t xml:space="preserve">     2. *Inconsistent Percentage Margin Formula:* In the Twist row of the page 9 table, `+65.7 per cent` is computed as $(\delta_{\text{crit}} - |\Delta\alpha|) / \delta_{\text{crit}} = 64.9135 / 98.8591 = 65.66\%$, which is the *unused fraction of the ceiling* $(1 - \text{demand}/\text{capacity})$. In contrast, every other row in the same table (`Power floor`, `Structural FoS floor`, `Clearance`, `Torsional capacity`) defines the percentage margin relative to the floor or demand matching the multiplier (`(value - floor)/floor` or `(capacity/demand - 1)`, under which a $2.91\times$ ratio corresponds to $+191.2\%$ margin, just as $3.65\times$ is reported as $+264.5\%$ for `Clearance` immediately above and $2.03\times$ is reported as $+102.9\%$ for `Torsional capacity` immediately below).</w:t>
      </w:r>
    </w:p>
    <w:p w:rsidR="00000000" w:rsidDel="00000000" w:rsidP="00000000" w:rsidRDefault="00000000" w:rsidRPr="00000000" w14:paraId="0000005D">
      <w:pPr>
        <w:rPr/>
      </w:pPr>
      <w:r w:rsidDel="00000000" w:rsidR="00000000" w:rsidRPr="00000000">
        <w:rPr>
          <w:rtl w:val="0"/>
        </w:rPr>
        <w:t xml:space="preserve">   - **Suggested Improvement:** Update the `Twist` row in the gate summary table on page 9 (and the accompanying prose in §3.4 on p. 11) to report the S1 margin against both $\delta_{\text{crit}}$ ($98.86^\circ$, $+64.913^\circ$, $2.91\times$, `NR-022`) and the binding realisability floor ($72.25^\circ$, $+38.30^\circ$, $2.13\times$, `NR-053`) as well as the discrete crossing gate $\delta\alpha^*$ ($2.28\times$, `NR-052`), and standardize the percentage margin formula across all rows of the table.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 **Discrepancy Between Quoted Window-Minimum Factor of Safety (`15.0`) and Signed Register Value (`14.972`), and Impact on Derived Gate Margins and Penalty Reproducibility (Page 1 Abstract &amp; Summary; §§3.3–3.4 &amp; §3.6, Pages 8, 9, 11, 14; §5, Page 16; Appendix &amp; Data Register `NR-009`, `NR-039`, `NR-046`, Pages 17, 20, 22, 23):**</w:t>
      </w:r>
    </w:p>
    <w:p w:rsidR="00000000" w:rsidDel="00000000" w:rsidP="00000000" w:rsidRDefault="00000000" w:rsidRPr="00000000" w14:paraId="00000060">
      <w:pPr>
        <w:rPr/>
      </w:pPr>
      <w:r w:rsidDel="00000000" w:rsidR="00000000" w:rsidRPr="00000000">
        <w:rPr>
          <w:rtl w:val="0"/>
        </w:rPr>
        <w:t xml:space="preserve">   - **Definitive Discrepancy:** On Page 1, the front matter states: *"Numbers come only from signed register rows, cited by row ID."* Throughout the Abstract and Summary for decision (p. 1), §3.3, §3.4, §3.6 (pp. 8, 9, 11, 14), §5 (p. 16), and *Appendix: Claims and evidence* (p. 17), the winner's window-minimum structural Factor of Safety (`FoS_min`) is reported as `15.0` (citing `NR-009`), and the gate summary table on page 9 uses `15.0` as an exact input to compute three- and four-significant-figure gate margins against the `2.5` threshold: `pass, 15.0 minimum. 15.0 on 2.5, margin +12.5 / +500.0 per cent, 6.00 times | NR-009, NR-015`. However, the signed register entry `NR-009` (p. 20) records the value to three decimal places solely as `14.972` without an explicit `(quote 15.0)` rule—unlike other rows in the register that explicitly specify both their high-precision values and their rounded display quotes (`NR-029` through `NR-034`, `NR-039`, `NR-040`, `NR-043`, `NR-044`, and `NR-053`). While `14.972` rounds to `15.0` at one decimal place (and rounds *up* relative to a safety floor), quoting `15.0` without linking it to `14.972` creates three concerns for consistency and reproducibility:</w:t>
      </w:r>
    </w:p>
    <w:p w:rsidR="00000000" w:rsidDel="00000000" w:rsidP="00000000" w:rsidRDefault="00000000" w:rsidRPr="00000000" w14:paraId="00000061">
      <w:pPr>
        <w:rPr/>
      </w:pPr>
      <w:r w:rsidDel="00000000" w:rsidR="00000000" w:rsidRPr="00000000">
        <w:rPr>
          <w:rtl w:val="0"/>
        </w:rPr>
        <w:t xml:space="preserve">     1. *Derived Gate Margins (Page 9):* Using the rounded `15.0` to compute derived gate margins yields `+12.5`, `+500.0 per cent`, and `6.00 times` instead of the exact register-derived `+12.472`, `+498.9 per cent`, and `5.99 times`.</w:t>
      </w:r>
    </w:p>
    <w:p w:rsidR="00000000" w:rsidDel="00000000" w:rsidP="00000000" w:rsidRDefault="00000000" w:rsidRPr="00000000" w14:paraId="00000062">
      <w:pPr>
        <w:rPr/>
      </w:pPr>
      <w:r w:rsidDel="00000000" w:rsidR="00000000" w:rsidRPr="00000000">
        <w:rPr>
          <w:rtl w:val="0"/>
        </w:rPr>
        <w:t xml:space="preserve">     2. *Penalty Verification (`NR-039` / `NR-046`, Pages 22–23):* Evaluating the utilisation penalty formula $20.0 \times (2.5 / \text{FoS}_{\min})^2$ using the claimed $\text{FoS}_{\min} = 15.0$ yields $0.55555556\text{ kg-equivalent}$, which fails to close with the signed penalty in `NR-039` and `NR-046` (`0.5576509889014662 kg-equivalent`) by `0.002095 kg-equivalent`. Evaluating with the unrounded register value ($\text{FoS}_{\min} \approx 14.97201723$) reproduces `0.5576509889014662` to full floating-point precision. Similarly, reproducing the exact over-power penalty (`0.49333696413175443 kg-equivalent`) in `NR-039`/`NR-046` and the exact delivered torque (`396.76205834512626 N·m`) in `NR-030` requires the unrounded $P_{\text{end}} \approx 5.31411366\text{ kW}$ and $P_{\text{mean}} \approx 5.30878006\text{ kW}$ rather than the 3-decimal `5.314 kW` and `5.309 kW` recorded in `NR-008`.</w:t>
      </w:r>
    </w:p>
    <w:p w:rsidR="00000000" w:rsidDel="00000000" w:rsidP="00000000" w:rsidRDefault="00000000" w:rsidRPr="00000000" w14:paraId="00000063">
      <w:pPr>
        <w:rPr/>
      </w:pPr>
      <w:r w:rsidDel="00000000" w:rsidR="00000000" w:rsidRPr="00000000">
        <w:rPr>
          <w:rtl w:val="0"/>
        </w:rPr>
        <w:t xml:space="preserve">     3. *Conflation with Final-Step FoS (`NR-021`):* At the final operating step (`NR-021`), the topmost ring R6 has $\text{FoS} = 15.032534$ (quoted as `15.033`). Because `14.972` is slightly below `15.0` while `15.033` is above `15.0`, quoting `15.0` for `NR-009` obscures the physical detail that the window-minimum FoS dipped slightly below 15 during the 40-second measurement window before recovering to `15.033` at the final capture step.</w:t>
      </w:r>
    </w:p>
    <w:p w:rsidR="00000000" w:rsidDel="00000000" w:rsidP="00000000" w:rsidRDefault="00000000" w:rsidRPr="00000000" w14:paraId="00000064">
      <w:pPr>
        <w:rPr/>
      </w:pPr>
      <w:r w:rsidDel="00000000" w:rsidR="00000000" w:rsidRPr="00000000">
        <w:rPr>
          <w:rtl w:val="0"/>
        </w:rPr>
        <w:t xml:space="preserve">   - **Suggested Improvement:** Report `14.972` (or explicitly state `14.972, rounded to 15.0` / add a `(quote 15.0)` annotation to `NR-009`) across the Abstract, Summary, body text, §3.3 tables, and Claims Appendix, update the derived gate margins on page 9 (`+12.472 / +498.9 per cent, 5.99 times`), and record the full-precision floats for `P_mean`, `P_end` (`NR-008`), and `FoS_min` (`NR-009`) in the register so that `NR-030`, `NR-039`, and `NR-046` close self-containedly.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 **Incomplete Physical Explanation of the Zero Axial Buckling Share on Ring R5 (`ring-utilisation`, §3.4, Page 11 &amp; Page 26):**</w:t>
      </w:r>
    </w:p>
    <w:p w:rsidR="00000000" w:rsidDel="00000000" w:rsidP="00000000" w:rsidRDefault="00000000" w:rsidRPr="00000000" w14:paraId="00000067">
      <w:pPr>
        <w:rPr/>
      </w:pPr>
      <w:r w:rsidDel="00000000" w:rsidR="00000000" w:rsidRPr="00000000">
        <w:rPr>
          <w:rtl w:val="0"/>
        </w:rPr>
        <w:t xml:space="preserve">   - **Potential Concern:** In §3.4 (p. 11) and on the `ring-utilisation` plate (p. 26, bottom), rings R2, R3, R4, and R6 exhibit beam-column interaction Factors of Safety between `15.033` and `35.236` dominated almost entirely ($&gt;99.95\%$) by axial compression, whereas ring R5—the cone transition ring immediately below the main rotor—reads an outlier FoS of `326,974` (`NR-021`: axial share `0.0`, bending share `3.058e-6`). The text states only that *"R5 reads far below the other rows. It carries bending alone. Its worst checked beam holds no axial share"* and *"R5 carries almost no load in the checked beam (NR-021)."* Physically, R5 sits at the vertex of the $22^\circ$ shaft transition cone (`system-anatomy`, p. 25; `machine-winner-hero`, p. 26), where the tensioned TRPT lines flare sharply outward from the narrower lower tower (R1–R5, radius $0.804\text{ m}$) to the wide main rotor ring R6 (radius $4.580\text{ m}$). Under tether tension, this outward flare in line slope at R5 pulls the R5 vertices radially *outward*, placing the R5 ring beams into net **axial tension** rather than axial compression (unlike R6, which is pulled radially inward into compression by the cone lines, and R2–R4, which are compressed inward by the twisted helix lines). Because the Euler beam-column buckling interaction term ($N/N_{\text{crit}}$) only penalizes *compressive* axial loads, a ring in net tension has its compressive buckling share clamped to `0.0`. Stating simply that R5 *"carries almost no load"* is potentially misleading: R5 carries substantial radial outward tether transition forces in axial tension, which bypasses the compressive buckling term.</w:t>
      </w:r>
    </w:p>
    <w:p w:rsidR="00000000" w:rsidDel="00000000" w:rsidP="00000000" w:rsidRDefault="00000000" w:rsidRPr="00000000" w14:paraId="00000068">
      <w:pPr>
        <w:rPr/>
      </w:pPr>
      <w:r w:rsidDel="00000000" w:rsidR="00000000" w:rsidRPr="00000000">
        <w:rPr>
          <w:rtl w:val="0"/>
        </w:rPr>
        <w:t xml:space="preserve">   - **Suggested Improvement:** Briefly clarify in §3.4 (p. 11) that the outward tether flare at the base of the $22^\circ$ transition cone places the R5 beams in net axial tension rather than compression (so compressive buckling utilisation $N/N_{\text{crit}} = 0$), and note whether tensile yield on R5 is checked separately.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5. **Unlogged Failure Modes for Two-Thirds of the Plain `reject` Class (§3.1, Page 7; §3.4, Pages 12–13; §3.6, Page 14; §4.2 &amp; §5, Pages 15–16 &amp; `NR-055`, Page 24):**</w:t>
      </w:r>
    </w:p>
    <w:p w:rsidR="00000000" w:rsidDel="00000000" w:rsidP="00000000" w:rsidRDefault="00000000" w:rsidRPr="00000000" w14:paraId="0000006B">
      <w:pPr>
        <w:rPr/>
      </w:pPr>
      <w:r w:rsidDel="00000000" w:rsidR="00000000" w:rsidRPr="00000000">
        <w:rPr>
          <w:rtl w:val="0"/>
        </w:rPr>
        <w:t xml:space="preserve">   - **Potential Concern:** Section 3.1 (p. 7) and Section 5 (p. 16), citing `NR-055` (p. 24), report that out of the 301 plain `reject` designs (`NR-002`), 96 ran below the $5.0\text{ kW}$ power floor (`Subgroup A`), 4 ran at or above $5.0\text{ kW}$ with $\text{FoS} &lt; 2.5$ (`Subgroup B`), and *"The cause is not logged for the remaining 201"* (`Subgroup C, fields zeroed and the cause not logged: 201`). Because these 201 unlogged rejections represent two-thirds ($66.8\%$) of the plain `reject` class, nearly half ($47.6\%$) of all 422 rejected designs, and over one-fifth ($21.6\%$) of the entire 930-design campaign, exiting with zeroed telemetry fields and no logged rejection reason leaves a diagnostic blind spot in both the search analysis and the §4.2 gate audit pipeline. From the telemetry and `NR-055` alone, the reader cannot tell how many of the unshaded blank cells in `pca-landscape` (p. 28) failed due to pre-simulation geometry/decoder refusals versus cold-start settle failures, mid-run physical tether breaks on the `:cold` path, tip-speed ceiling violations (`TIP_SPEED_CEILING_MPS`), or numerical ODE solver divergences (`NaN`/`Inf` state clamps).</w:t>
      </w:r>
    </w:p>
    <w:p w:rsidR="00000000" w:rsidDel="00000000" w:rsidP="00000000" w:rsidRDefault="00000000" w:rsidRPr="00000000" w14:paraId="0000006C">
      <w:pPr>
        <w:rPr/>
      </w:pPr>
      <w:r w:rsidDel="00000000" w:rsidR="00000000" w:rsidRPr="00000000">
        <w:rPr>
          <w:rtl w:val="0"/>
        </w:rPr>
        <w:t xml:space="preserve">   - **Suggested Improvement:** Document in §3.1 and `NR-055` which early-exit branches in the decoder/evaluator trigger a zeroed-telemetry `reject` row, and add a recommendation in §3.6 / §4.2 / §5 to log an explicit early-termination rejection-reason enum before zeroing state fields in future campaigns so physical failure boundaries can be separated from numerical instabilities.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6. **Confounding of Inactive Second-Rotor Genes in the 10-Gene PCA Projection (§3.4, Pages 12–13 &amp; Pages 28–29):**</w:t>
      </w:r>
    </w:p>
    <w:p w:rsidR="00000000" w:rsidDel="00000000" w:rsidP="00000000" w:rsidRDefault="00000000" w:rsidRPr="00000000" w14:paraId="0000006F">
      <w:pPr>
        <w:rPr/>
      </w:pPr>
      <w:r w:rsidDel="00000000" w:rsidR="00000000" w:rsidRPr="00000000">
        <w:rPr>
          <w:rtl w:val="0"/>
        </w:rPr>
        <w:t xml:space="preserve">   - **Potential Concern:** In §3.4 (pp. 12–13) and the `pca-landscape` / `pca-atlas` plates (p. 28), the 930 designs are projected onto the first two principal components of the z-scored $930 \times 10$ genome matrix (`NR-044`). PC2 accounts for $17.3\%$ of the total variance and is dominated by `bank_bottom` (loading `+0.5621`) and `blade_scale_bottom` (loading `-0.5605`). However, whenever `rotor_count == 1` (the entire right-hand / high-PC1 region where the winner resides), `bank_bottom` (`x8`) and `blade_scale_bottom` (`x10`) are inactive genome slots that do not decode to any physical blades (§3.3, p. 10; §3.6, p. 14; `NR-011`, `NR-017`). Because the PCA is computed over raw genome vectors including unexpressed slots, vertical displacement along PC2 in the single-rotor region (`x6 = 1`) is heavily driven by random genetic drift in inactive genes (`x8` and `x10`) rather than physical machine differences. For example, in `machine-corner-grid` (p. 29), the `high PC1 / low PC2` pick (`i2-g21-i4`, objective `33.704 kg`) and `high PC1 / high PC2` pick (`i3-g26-i8`, objective `33.812 kg`) are both single-rotor cones whose wide separation along PC2 largely reflects unexpressed second-rotor genes alongside `density_profile` (`x5`, loading `-0.5018`).</w:t>
      </w:r>
    </w:p>
    <w:p w:rsidR="00000000" w:rsidDel="00000000" w:rsidP="00000000" w:rsidRDefault="00000000" w:rsidRPr="00000000" w14:paraId="00000070">
      <w:pPr>
        <w:rPr/>
      </w:pPr>
      <w:r w:rsidDel="00000000" w:rsidR="00000000" w:rsidRPr="00000000">
        <w:rPr>
          <w:rtl w:val="0"/>
        </w:rPr>
        <w:t xml:space="preserve">   - **Suggested Improvement:** Add a brief caveat in §3.4 (pp. 12–13) noting that across the single-rotor sub-population (`x6 = 1`, right half of the PCA plots), the top two PC2 loadings (`bank_bottom` and `blade_scale_bottom`) correspond to inactive genome slots, meaning physical variation along PC2 in that region is governed only by the ring density profile (`x5`) and main-rotor bank (`x7`).</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Minor Corrections and Typos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**Inconsistent Data and Script Provenance Commits in Inline Figure Source Lines (§3.4, Page 11) vs. *Appendix: Figure provenance* (Pages 17–18) and Rendered Footers (Pages 26–27):**</w:t>
      </w:r>
    </w:p>
    <w:p w:rsidR="00000000" w:rsidDel="00000000" w:rsidP="00000000" w:rsidRDefault="00000000" w:rsidRPr="00000000" w14:paraId="00000077">
      <w:pPr>
        <w:rPr/>
      </w:pPr>
      <w:r w:rsidDel="00000000" w:rsidR="00000000" w:rsidRPr="00000000">
        <w:rPr>
          <w:rtl w:val="0"/>
        </w:rPr>
        <w:t xml:space="preserve">   - In *Appendix: Figure provenance* (pages 17–18), the preamble states *"One row per built exhibit. All eight read dataset commit dd3cc6a"*, and the table lists both the `Ring utilisation plate` and `Twist limit plate` under dataset commit `dd3cc6a` and script commit `1af63fc` (matching the rendered figure footers on pages 26–27). However, the corresponding inline source lines in Section 3.4 (page 11) read `data dd5a9dd · script 0b8948d` for `ring-utilisation` and `data dd5a9dd · script b587c50` for `twist-limit`. Because strict commit-level provenance is a core reproducibility requirement of this report (Section 2.6 and Section 8), reconcile the Section 3.4 inline source strings with the *Appendix: Figure provenance* table and shipped exhibits (`dd3cc6a` and `1af63fc`) so it is unambiguous which commits produced the SHA-256 hashes on page 18.</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2. **Duplicate Caption Blocks and Repeated Body Paragraphs (§§3.3–3.5, Pages 8, 11–14):**</w:t>
      </w:r>
    </w:p>
    <w:p w:rsidR="00000000" w:rsidDel="00000000" w:rsidP="00000000" w:rsidRDefault="00000000" w:rsidRPr="00000000" w14:paraId="0000007A">
      <w:pPr>
        <w:rPr/>
      </w:pPr>
      <w:r w:rsidDel="00000000" w:rsidR="00000000" w:rsidRPr="00000000">
        <w:rPr>
          <w:rtl w:val="0"/>
        </w:rPr>
        <w:t xml:space="preserve">   - Throughout §§3.3–3.5, the inline figure description blocks (`machine-winner-hero` on p. 8, `ring-utilisation` and `twist-limit` on p. 11, `pca-landscape`, `pca-atlas`, and `machine-corner-grid` on p. 12, and `machine-evolution-strip` on p. 13) are followed immediately by body paragraphs that repeat almost verbatim the same sentences and numerical values (e.g., p. 11 repeats the R2–R6 FoS numbers and S1–S5 twist numbers twice; pp. 12–13 repeat the `22.4` and `17.3 per cent` PCA variance shares and island generation counts multiple times; pp. 13–14 repeat the Island 3 milestone drop and winner dimensions line-for-line). Consolidating the figure caption blocks with the rendered plates and streamlining the body text will substantially improve readability.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**Visual Exhibit Formatting, Clipping, and Label Precision (Pages 12–13 &amp; Pages 26, 28–30):**</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**Page 28 (`pca-landscape`, top panel, right column under `+ PC1 ↑`):** The second line (`wider spacing (x3), ground ring (x2)`) is horizontally clipped at the right margin, cutting off the closing parenthesis of `(x2)`.</w:t>
      </w:r>
    </w:p>
    <w:p w:rsidR="00000000" w:rsidDel="00000000" w:rsidP="00000000" w:rsidRDefault="00000000" w:rsidRPr="00000000" w14:paraId="0000007E">
      <w:pPr>
        <w:rPr/>
      </w:pPr>
      <w:r w:rsidDel="00000000" w:rsidR="00000000" w:rsidRPr="00000000">
        <w:rPr>
          <w:rtl w:val="0"/>
        </w:rPr>
        <w:t xml:space="preserve">   - **Page 12 vs. Page 28 (`pca-atlas` color bar precision):** Page 12 states that *"The colour bars print each gene at three significant figures,"* but on the rendered `pca-atlas` plate (p. 28), several color bars print tick labels at 1 or 2 significant figures (e.g., `x6 rotor_count`: `1`, `1.5`, `2`; `x8 bank_bottom`: `10`, `16`, `22`; `x9 blade_scale_top`: `0.5`, `0.66`, `0.82`).</w:t>
      </w:r>
    </w:p>
    <w:p w:rsidR="00000000" w:rsidDel="00000000" w:rsidP="00000000" w:rsidRDefault="00000000" w:rsidRPr="00000000" w14:paraId="0000007F">
      <w:pPr>
        <w:rPr/>
      </w:pPr>
      <w:r w:rsidDel="00000000" w:rsidR="00000000" w:rsidRPr="00000000">
        <w:rPr>
          <w:rtl w:val="0"/>
        </w:rPr>
        <w:t xml:space="preserve">   - **Pages 12–13 vs. Pages 28–30 (`kg` vs. `kg-equivalent` unit labels):** The prose in §§3.2–3.5 emphasizes that the search objective is measured in `kg-equivalent` and is not a physical mass reading in `kg`, whereas the rendered subtitles and labels on `pca-landscape` (p. 28), `machine-corner-grid` (p. 29), and `machine-evolution-strip` (p. 30) label the objective unit simply as `kg` (e.g., `colour is the search objective (kg)` on p. 28; `objective 60.646 kg` on p. 29; `objective 27.364 kg` on p. 30).</w:t>
      </w:r>
    </w:p>
    <w:p w:rsidR="00000000" w:rsidDel="00000000" w:rsidP="00000000" w:rsidRDefault="00000000" w:rsidRPr="00000000" w14:paraId="00000080">
      <w:pPr>
        <w:rPr/>
      </w:pPr>
      <w:r w:rsidDel="00000000" w:rsidR="00000000" w:rsidRPr="00000000">
        <w:rPr>
          <w:rtl w:val="0"/>
        </w:rPr>
        <w:t xml:space="preserve">   - **Page 26 (`machine-winner-hero`, top panel):** The diagram callout labels (`topmost ring R6`, `TRPT shaft`, `ground ring R1`, `ground station`) and legend text are rendered at an extremely small font size relative to the page dimensions and the lower panel, reducing legibility without high magnification.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4. **Rounding Note on Objective Score Decomposition (§3.2, Pages 7–8 &amp; §3.5, Page 13):**</w:t>
      </w:r>
    </w:p>
    <w:p w:rsidR="00000000" w:rsidDel="00000000" w:rsidP="00000000" w:rsidRDefault="00000000" w:rsidRPr="00000000" w14:paraId="00000083">
      <w:pPr>
        <w:rPr/>
      </w:pPr>
      <w:r w:rsidDel="00000000" w:rsidR="00000000" w:rsidRPr="00000000">
        <w:rPr>
          <w:rtl w:val="0"/>
        </w:rPr>
        <w:t xml:space="preserve">   - On pages 7–8 and page 13, the text states that the winner's objective score of `27.364 kg-equivalent` (`NR-005`) equals the airborne mass of `25.698 kg` (`NR-018`) plus `1.665 kg-equivalent` of penalties (`NR-039`). Because $25.698 + 1.665 = 27.363$ due to independent three-decimal rounding of the underlying values ($25.69847 + 1.66507 = 27.36354$), adding a brief parenthetical note explaining the $0.001$ rounding difference would prevent reader confusion.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5. **Heading Capitalization (§3.4, Page 11):**</w:t>
      </w:r>
    </w:p>
    <w:p w:rsidR="00000000" w:rsidDel="00000000" w:rsidP="00000000" w:rsidRDefault="00000000" w:rsidRPr="00000000" w14:paraId="00000086">
      <w:pPr>
        <w:rPr/>
      </w:pPr>
      <w:r w:rsidDel="00000000" w:rsidR="00000000" w:rsidRPr="00000000">
        <w:rPr>
          <w:rtl w:val="0"/>
        </w:rPr>
        <w:t xml:space="preserve">   - On page 11, change the heading `3.4 The levers of Performance` to `3.4 The levers of performance` to match the sentence-case convention used across all other section headings.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[Evaluation Fidelity, Failure Ledger, Model Boundaries &amp; Conclusion] (Pages: 14-17)</w:t>
      </w:r>
    </w:p>
    <w:p w:rsidR="00000000" w:rsidDel="00000000" w:rsidP="00000000" w:rsidRDefault="00000000" w:rsidRPr="00000000" w14:paraId="00000089">
      <w:pPr>
        <w:rPr/>
      </w:pPr>
      <w:r w:rsidDel="00000000" w:rsidR="00000000" w:rsidRPr="00000000">
        <w:rPr>
          <w:rtl w:val="0"/>
        </w:rPr>
        <w:t xml:space="preserve">#### Potential Mistakes and Improvements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 **Internal Contradiction Between the Failure Ledger ($k$-Alignment Faults) and Section 2.2.2 Regarding the 50 kW Scaled System Gain (§4.2, Pages 15–16):**</w:t>
      </w:r>
    </w:p>
    <w:p w:rsidR="00000000" w:rsidDel="00000000" w:rsidP="00000000" w:rsidRDefault="00000000" w:rsidRPr="00000000" w14:paraId="0000008C">
      <w:pPr>
        <w:rPr/>
      </w:pPr>
      <w:r w:rsidDel="00000000" w:rsidR="00000000" w:rsidRPr="00000000">
        <w:rPr>
          <w:rtl w:val="0"/>
        </w:rPr>
        <w:t xml:space="preserve">   - **Definitive Flaw (Internal Inconsistency &amp; Unsigned Numerical Claim):** In Section 4.2 (*The failure ledger*, page 15 table and page 16 prose), the entry for the `2026-08-13 k-alignment fault` states: *"On 2026-08-13 the evaluator ran 5 kW designs at the 50 kW default gain. The scaled system gain sat near 1.94. The window power read roughly double."* This directly conflicts with the signed $k$-sweep table in Section 2.2.2 (page 5, citing `NR-047`, which also dates to `2026-08-22` on the seed machine). In `NR-047`, the campaign's nominal generator gain is $k = 2.24\text{ N}\cdot\text{m}/(\text{rad/s})^2$ (producing $P_{\text{mean}} = 8.00\text{ kW}$ on the seed), whereas $k = 1.94$ is a *lighter* load than the nominal campaign gain (producing $7.56\text{ kW}$ on the seed, rather than double the 5 kW power). Conversely, page 5 explicitly records that the retired anchor that forced roughly double the 5 kW target (*"about 9 kW from the seed"*) was $k = 5.39$ (or $3.55$), not $1.94$. Furthermore, as the bracketed note on page 16 acknowledges (`[2.24 holds a register row (NR-015). The other values need rows first.]`), the numbers `1.94`, `50 kW`, and `5.18 kW` in Section 4.2 currently lack signed register rows, violating the release rule on page 19. The authors should verify whether the 50 kW fault gain was actually a higher value (or used a different scaling convention) and sign the corresponding historical ledger rows before release.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 **Potential Concern: Methodological Risk of Unmonitored Line Over-Strain, Nonlinear Path-Jumping, and Post-Fix Default Ambiguity on the Rapid Path (§4.1, Pages 14–15):**</w:t>
      </w:r>
    </w:p>
    <w:p w:rsidR="00000000" w:rsidDel="00000000" w:rsidP="00000000" w:rsidRDefault="00000000" w:rsidRPr="00000000" w14:paraId="0000008F">
      <w:pPr>
        <w:rPr/>
      </w:pPr>
      <w:r w:rsidDel="00000000" w:rsidR="00000000" w:rsidRPr="00000000">
        <w:rPr>
          <w:rtl w:val="0"/>
        </w:rPr>
        <w:t xml:space="preserve">   - **Observation:** Section 4.1 explains that the rapid (`:warm`) path originally rejected all three island winners because injecting ring velocities from the static pre-solve caused transient line over-strain during the 10-second relax phase, tripping the rope-break gate (`NR-013`). The landed fix (`NR-013 ext2`) disables rope-break detection during the 10-second relax run and arms it only at the boundary of the 40-second measurement window, under the rule that *"the check judges only real operation. The settle transients must not break healthy machines."*</w:t>
      </w:r>
    </w:p>
    <w:p w:rsidR="00000000" w:rsidDel="00000000" w:rsidP="00000000" w:rsidRDefault="00000000" w:rsidRPr="00000000" w14:paraId="00000090">
      <w:pPr>
        <w:rPr/>
      </w:pPr>
      <w:r w:rsidDel="00000000" w:rsidR="00000000" w:rsidRPr="00000000">
        <w:rPr>
          <w:rtl w:val="0"/>
        </w:rPr>
        <w:t xml:space="preserve">   - **Analytical &amp; Methodological Gaps:** While suppressing artificial initialization shock from a static pre-solve is reasonable for screening, three substantive questions should be addressed before adopting the rapid path for future campaigns (as recommended in §3.6, page 14):</w:t>
      </w:r>
    </w:p>
    <w:p w:rsidR="00000000" w:rsidDel="00000000" w:rsidP="00000000" w:rsidRDefault="00000000" w:rsidRPr="00000000" w14:paraId="00000091">
      <w:pPr>
        <w:rPr/>
      </w:pPr>
      <w:r w:rsidDel="00000000" w:rsidR="00000000" w:rsidRPr="00000000">
        <w:rPr>
          <w:rtl w:val="0"/>
        </w:rPr>
        <w:t xml:space="preserve">     1. *Solver State Continuity and Basin-of-Attraction Validity:* Earlier in the report (§2.3, page 6), it is stated that *"A broken line ends the run,"* and `NR-025` (page 21) notes that on the `:cold` path *"rope breaks [are] enabled across both"* the 10 s relax and 40 s window phases. Under `NR-013 ext2`, if a line exceeds its physical breaking strain during the 10-second `:warm` relax phase while break detection is disarmed, a physical tether would snap or suffer irreversible plastic deformation, whereas the ODE solver retains elastic restorative forces exceeding tether capacity to pull the machine back into a stable operating point by $t = 10\text{ s}$. Furthermore, `NR-013` only documents why `:warm` previously rejected the winners; the report does not state whether `:warm` (with `NR-013 ext2`) converges to the exact same settled window metrics ($P_{\text{mean}}$, $P_{\text{end}}$, $\text{FoS}$, $T_{\text{lift}}$, and shaft bow) as `:cold` (`NR-012`), or what its false-positive/false-negative classification rate is across all 930 designs.</w:t>
      </w:r>
    </w:p>
    <w:p w:rsidR="00000000" w:rsidDel="00000000" w:rsidP="00000000" w:rsidRDefault="00000000" w:rsidRPr="00000000" w14:paraId="00000092">
      <w:pPr>
        <w:rPr/>
      </w:pPr>
      <w:r w:rsidDel="00000000" w:rsidR="00000000" w:rsidRPr="00000000">
        <w:rPr>
          <w:rtl w:val="0"/>
        </w:rPr>
        <w:t xml:space="preserve">     2. *Distinguishing Numerical Pre-Solve Artifacts from Physical Spin-Up Transients:* Because Section 4.3 (page 16) notes that physical launch and spin-up are not yet modeled, disarming break detection during the initial 10 seconds means the rapid screen cannot distinguish between a benign static-handoff spike and a geometry whose low torsional/axial damping would cause genuine line snap during physical wind-up or generator engagement. Consider either introducing a smooth velocity/load ramp over the first few seconds of `:warm` to eliminate the discontinuous handoff physically, or explicitly noting in §4.1 that `NR-013 ext2` validates only steady-state window survivability.</w:t>
      </w:r>
    </w:p>
    <w:p w:rsidR="00000000" w:rsidDel="00000000" w:rsidP="00000000" w:rsidRDefault="00000000" w:rsidRPr="00000000" w14:paraId="00000093">
      <w:pPr>
        <w:rPr/>
      </w:pPr>
      <w:r w:rsidDel="00000000" w:rsidR="00000000" w:rsidRPr="00000000">
        <w:rPr>
          <w:rtl w:val="0"/>
        </w:rPr>
        <w:t xml:space="preserve">     3. *Ambiguity Regarding Current Default Evaluator Behavior:* On page 15, immediately after stating in the present tense that *"The fix has landed. The evaluator arms the rope-break check at the relax boundary (NR-013 ext2),"* the text states: *"The rapid path is the evaluator default. Any consumer that does not pass the cold flag measures the instrument, not the machine. Every healthy winner reads reject on the default path."* If `NR-013 ext2` has already landed, healthy winners should no longer read `reject` on the default (`:warm`) path unless the pinned campaign launch commit (`a76c5e9`) predates `NR-013 ext2`. Clarifying the exact commit status of `NR-013 ext2` relative to `a76c5e9` will prevent confusion for downstream code users.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**Potential Concern: Coupled Impact of Unmodeled Blade Integrity, Outer Bridle Drag, and Lifter/Gust Dynamics on Claimed Mass-Reduction Headroom (§3.6, Page 14; §4.3 &amp; §5, Pages 16–17):**</w:t>
      </w:r>
    </w:p>
    <w:p w:rsidR="00000000" w:rsidDel="00000000" w:rsidP="00000000" w:rsidRDefault="00000000" w:rsidRPr="00000000" w14:paraId="00000096">
      <w:pPr>
        <w:rPr/>
      </w:pPr>
      <w:r w:rsidDel="00000000" w:rsidR="00000000" w:rsidRPr="00000000">
        <w:rPr>
          <w:rtl w:val="0"/>
        </w:rPr>
        <w:t xml:space="preserve">   - **Observation:** Sections 4.3 and 5 transparently disclose the model boundaries: blade root FoS sits at infinity (`PRD 0006:147`), outer tether-to-blade stiffening bridles are omitted, lifter modulation is assumed flat across wind speeds ($324.1\text{ N}$ at $70^\circ$ elevation, `NR-010`, `NR-026`), and gusts/turbulence are absent. Both Section 3.6 (page 14) and Section 5 (page 17) conclude that the winner's large structural and twist margins ($\text{FoS} = 15.0$ on topmost ring R6, segment torque margin $2.03$ at S1) *"suggest room for further mass reduction, once those checks hold."*</w:t>
      </w:r>
    </w:p>
    <w:p w:rsidR="00000000" w:rsidDel="00000000" w:rsidP="00000000" w:rsidRDefault="00000000" w:rsidRPr="00000000" w14:paraId="00000097">
      <w:pPr>
        <w:rPr/>
      </w:pPr>
      <w:r w:rsidDel="00000000" w:rsidR="00000000" w:rsidRPr="00000000">
        <w:rPr>
          <w:rtl w:val="0"/>
        </w:rPr>
        <w:t xml:space="preserve">   - **Analytical Gap:** While properly conditioned on future checks, the physical coupling among the omitted boundaries in Section 4.3 points toward airborne mass and structural demand *increasing* rather than decreasing when these boundaries are closed:</w:t>
      </w:r>
    </w:p>
    <w:p w:rsidR="00000000" w:rsidDel="00000000" w:rsidP="00000000" w:rsidRDefault="00000000" w:rsidRPr="00000000" w14:paraId="00000098">
      <w:pPr>
        <w:rPr/>
      </w:pPr>
      <w:r w:rsidDel="00000000" w:rsidR="00000000" w:rsidRPr="00000000">
        <w:rPr>
          <w:rtl w:val="0"/>
        </w:rPr>
        <w:t xml:space="preserve">     1. *Blade Root Mass vs. Outer Bridle Drag against the Power Floor:* The winner clears the $5.0\text{ kW}$ power floor by only $+0.314\text{ kW}$ ($+6.28\%$, `NR-008`) using a 3-blade rotor ($1.499\text{ m}$ built span at tip-speed ratio $6.8415$). If unbridled, cantilevered blades under aerodynamic thrust and centrifugal loading at $13.38\text{ rad/s}$ will require heavier composite root structures to pass a $\text{FoS} \ge 2.5$ gate. Conversely, if outer tether-to-blade bridles are added to relieve root bending, their parasitic drag acts at a large radial arm where local relative velocity $(\omega r)$ is highest. Because parasitic line drag power loss scales cubically with radius and rotational speed, even modest bridle drag will reduce net rotor $C_p$ and equilibrium $\omega$ under the fixed $P = k\omega^3$ load law, which could push the candidate below the $5.0\text{ kW}$ gate and require larger (heavier) blades or rings to compensate.</w:t>
      </w:r>
    </w:p>
    <w:p w:rsidR="00000000" w:rsidDel="00000000" w:rsidP="00000000" w:rsidRDefault="00000000" w:rsidRPr="00000000" w14:paraId="00000099">
      <w:pPr>
        <w:rPr/>
      </w:pPr>
      <w:r w:rsidDel="00000000" w:rsidR="00000000" w:rsidRPr="00000000">
        <w:rPr>
          <w:rtl w:val="0"/>
        </w:rPr>
        <w:t xml:space="preserve">     2. *Lifter Modulation Lag and Gusts vs. Torsional Collapse at S1:* While the ring buckling FoS of $15.0$ is large, the governing segment torque margin at S1 is much tighter at $2.03$ (`NR-040`, or $1.35\times$ the $1.5$ torsional stability floor in `NR-052`). Because TRPT torsional capacity scales directly with axial tether tension provided by the lifter stack, any transient lull, turbulent gust, or control lag in the autogyro lifter stack that momentarily alters top-node moment equilibrium or drops axial tension while aerodynamic rotor torque spikes will rapidly compress the $2.03$ torque margin at S1 and alter shaft bow (`NR-059`) long before ring beam buckling ($\text{FoS} = 15.0$) is approached. Explicitly noting in §4.3 and §5 that closing these boundaries is likely to consume the $+6.28\%$ power margin and S1 torsional margin—making $25.698\text{ kg}$ an idealized lower-bound baseline rather than an upper bound with guaranteed mass-reduction headroom—would give decision-makers a more rigorous engineering assessment.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 **Explicit Pre-Release Blockers and Incomplete Sections Flagged in the Draft (§4.2, §§5–8, Pages 16–17):**</w:t>
      </w:r>
    </w:p>
    <w:p w:rsidR="00000000" w:rsidDel="00000000" w:rsidP="00000000" w:rsidRDefault="00000000" w:rsidRPr="00000000" w14:paraId="0000009C">
      <w:pPr>
        <w:rPr/>
      </w:pPr>
      <w:r w:rsidDel="00000000" w:rsidR="00000000" w:rsidRPr="00000000">
        <w:rPr>
          <w:rtl w:val="0"/>
        </w:rPr>
        <w:t xml:space="preserve">   - **Definitive Flaw (Draft Release Blockers):** Consistent with the document's `Draft v0.57` status and the provenance rule on page 19 (*"Every number in this draft traces to a signed row in the numbers register. A missing row here is a release blocker"*), the following open items explicitly flagged in pages 16–17 must be resolved prior to final release:</w:t>
      </w:r>
    </w:p>
    <w:p w:rsidR="00000000" w:rsidDel="00000000" w:rsidP="00000000" w:rsidRDefault="00000000" w:rsidRPr="00000000" w14:paraId="0000009D">
      <w:pPr>
        <w:rPr/>
      </w:pPr>
      <w:r w:rsidDel="00000000" w:rsidR="00000000" w:rsidRPr="00000000">
        <w:rPr>
          <w:rtl w:val="0"/>
        </w:rPr>
        <w:t xml:space="preserve">     - **Unsigned Failure-Ledger Numbers (§4.2, Page 16):** Flagged as `[2.24 holds a register row (NR-015). The other values need rows first.]` for historical values `1.94`, `50 kW`, `20-second-window`, and `5.18 kW`.</w:t>
      </w:r>
    </w:p>
    <w:p w:rsidR="00000000" w:rsidDel="00000000" w:rsidP="00000000" w:rsidRDefault="00000000" w:rsidRPr="00000000" w14:paraId="0000009E">
      <w:pPr>
        <w:rPr/>
      </w:pPr>
      <w:r w:rsidDel="00000000" w:rsidR="00000000" w:rsidRPr="00000000">
        <w:rPr>
          <w:rtl w:val="0"/>
        </w:rPr>
        <w:t xml:space="preserve">     - **Unsigned Daisy Anchor Values (§5, Page 17):** Flagged as `[Daisy values need register rows before the final report quotes them.]`</w:t>
      </w:r>
    </w:p>
    <w:p w:rsidR="00000000" w:rsidDel="00000000" w:rsidP="00000000" w:rsidRDefault="00000000" w:rsidRPr="00000000" w14:paraId="0000009F">
      <w:pPr>
        <w:rPr/>
      </w:pPr>
      <w:r w:rsidDel="00000000" w:rsidR="00000000" w:rsidRPr="00000000">
        <w:rPr>
          <w:rtl w:val="0"/>
        </w:rPr>
        <w:t xml:space="preserve">     - **Pending Nomenclature (§6, Page 17):** Section 6 currently reads `6 Nomenclature [PENDING. Track D ratifies the glossary.]`.</w:t>
      </w:r>
    </w:p>
    <w:p w:rsidR="00000000" w:rsidDel="00000000" w:rsidP="00000000" w:rsidRDefault="00000000" w:rsidRPr="00000000" w14:paraId="000000A0">
      <w:pPr>
        <w:rPr/>
      </w:pPr>
      <w:r w:rsidDel="00000000" w:rsidR="00000000" w:rsidRPr="00000000">
        <w:rPr>
          <w:rtl w:val="0"/>
        </w:rPr>
        <w:t xml:space="preserve">     - **Unverified References and Missing Bibliography (§7, Page 17):** Section 7 contains only tracker notes (`Seeded in references.bib. Fifteen of eighteen sources verified. Three source calls pending: Ranneberg EK_FT_0018, the Jamieson deck and the Hancock deck.`) rather than rendered bibliography entries, and two of the pending sources (Jamieson and Hancock) are not cited in the literature review in §1 (page 3).</w:t>
      </w:r>
    </w:p>
    <w:p w:rsidR="00000000" w:rsidDel="00000000" w:rsidP="00000000" w:rsidRDefault="00000000" w:rsidRPr="00000000" w14:paraId="000000A1">
      <w:pPr>
        <w:rPr/>
      </w:pPr>
      <w:r w:rsidDel="00000000" w:rsidR="00000000" w:rsidRPr="00000000">
        <w:rPr>
          <w:rtl w:val="0"/>
        </w:rPr>
        <w:t xml:space="preserve">     - **Fidelity-Probe Branch vs. Commit Pinning (§8, Page 17):** Section 8 states that *"The fidelity probes sit on the bank-derate-cos2p65 branch,"* whereas Section 2.5 (page 7) states that *"The register header pins their commits."* Pinning the explicit commit hash alongside the `bank-derate-cos2p65` branch name in §8 would match the commit-level precision used for `dd3cc6a`, `a76c5e9`, and `31ca00d`.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Minor Corrections and Typos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**Page 15 (§4.2, fourth paragraph below the table):** `"The rotorcount data was doubly void"` $\rightarrow$ change `"rotorcount"` to `"rotor-count"` or `"rotor count"` for consistency with the rest of the report.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**Page 17 (Appendix: Claims and evidence, `Campaign scale and status mix` row):** `"110 clearance_reject and 11 reject_twist.. | §3.1"` contains a double period (`..`). Additionally, in the `Search improvement` row, the `Register rows` column cites `NR-003 to NR-006`; consider adding `NR-036` to match the citations for this claim in §3.5 (page 13) and the Figure Provenance table (page 18).</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[Appendices, Provenance Hashes &amp; Signed Data Register] (Pages: 17-25)</w:t>
      </w:r>
    </w:p>
    <w:p w:rsidR="00000000" w:rsidDel="00000000" w:rsidP="00000000" w:rsidRDefault="00000000" w:rsidRPr="00000000" w14:paraId="000000AC">
      <w:pPr>
        <w:rPr/>
      </w:pPr>
      <w:r w:rsidDel="00000000" w:rsidR="00000000" w:rsidRPr="00000000">
        <w:rPr>
          <w:rtl w:val="0"/>
        </w:rPr>
        <w:t xml:space="preserve">#### Potential Mistakes and Improvements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 **Unexplained Discrepancy in Blade-Scale Arithmetic Between `NR-050`, `NR-043`, and `NR-011`**</w:t>
      </w:r>
    </w:p>
    <w:p w:rsidR="00000000" w:rsidDel="00000000" w:rsidP="00000000" w:rsidRDefault="00000000" w:rsidRPr="00000000" w14:paraId="000000AF">
      <w:pPr>
        <w:rPr/>
      </w:pPr>
      <w:r w:rsidDel="00000000" w:rsidR="00000000" w:rsidRPr="00000000">
        <w:rPr>
          <w:rtl w:val="0"/>
        </w:rPr>
        <w:t xml:space="preserve">   - **Location:** Page 20 (`NR-011`), Page 22 (`NR-043`), and Page 23 (`NR-050`).</w:t>
      </w:r>
    </w:p>
    <w:p w:rsidR="00000000" w:rsidDel="00000000" w:rsidP="00000000" w:rsidRDefault="00000000" w:rsidRPr="00000000" w14:paraId="000000B0">
      <w:pPr>
        <w:rPr/>
      </w:pPr>
      <w:r w:rsidDel="00000000" w:rsidR="00000000" w:rsidRPr="00000000">
        <w:rPr>
          <w:rtl w:val="0"/>
        </w:rPr>
        <w:t xml:space="preserve">   - **Observation:** Section 2.1 (page 3) states that *"The scale multiplies the blade span and chord"* and *"The base span reads 0.75 of the rotor radius, and the base chord reads 0.113 of it."* In `NR-050` (page 23), the winner decode lists `r_rotor 2.4341173109692225 m` and `base span 1.8255879832269168 m` (which is exactly $0.75 \times r_{\text{rotor}}$), and implies a base chord of $0.113 \times r_{\text{rotor}} = 0.27505525613952214\text{ m}$. However, multiplying this base span and base chord by the winner's top blade scale from `NR-011` (`0.82`) yields:</w:t>
      </w:r>
    </w:p>
    <w:p w:rsidR="00000000" w:rsidDel="00000000" w:rsidP="00000000" w:rsidRDefault="00000000" w:rsidRPr="00000000" w14:paraId="000000B1">
      <w:pPr>
        <w:rPr/>
      </w:pPr>
      <w:r w:rsidDel="00000000" w:rsidR="00000000" w:rsidRPr="00000000">
        <w:rPr>
          <w:rtl w:val="0"/>
        </w:rPr>
        <w:t xml:space="preserve">     - $\text{span} = 0.82 \times 1.8255879832269168 = 1.49698215\text{ m}$ (whereas `NR-043` and `NR-050` record a built span of `1.4994019682084492 m`, a ~2.4 mm difference).</w:t>
      </w:r>
    </w:p>
    <w:p w:rsidR="00000000" w:rsidDel="00000000" w:rsidP="00000000" w:rsidRDefault="00000000" w:rsidRPr="00000000" w14:paraId="000000B2">
      <w:pPr>
        <w:rPr/>
      </w:pPr>
      <w:r w:rsidDel="00000000" w:rsidR="00000000" w:rsidRPr="00000000">
        <w:rPr>
          <w:rtl w:val="0"/>
        </w:rPr>
        <w:t xml:space="preserve">     - $\text{chord} = 0.82 \times 0.27505525613952214 = 0.22554531\text{ m}$ (whereas `NR-050` records a chord of `0.22590989654340632 m`, a ~0.36 mm difference).</w:t>
      </w:r>
    </w:p>
    <w:p w:rsidR="00000000" w:rsidDel="00000000" w:rsidP="00000000" w:rsidRDefault="00000000" w:rsidRPr="00000000" w14:paraId="000000B3">
      <w:pPr>
        <w:rPr/>
      </w:pPr>
      <w:r w:rsidDel="00000000" w:rsidR="00000000" w:rsidRPr="00000000">
        <w:rPr>
          <w:rtl w:val="0"/>
        </w:rPr>
        <w:t xml:space="preserve">     Both recorded built dimensions correspond to an exact effective scale factor of `0.821325503399...` ($\text{span} / \text{base span} = \text{chord} / \text{base chord}$) rather than `0.82`.</w:t>
      </w:r>
    </w:p>
    <w:p w:rsidR="00000000" w:rsidDel="00000000" w:rsidP="00000000" w:rsidRDefault="00000000" w:rsidRPr="00000000" w14:paraId="000000B4">
      <w:pPr>
        <w:rPr/>
      </w:pPr>
      <w:r w:rsidDel="00000000" w:rsidR="00000000" w:rsidRPr="00000000">
        <w:rPr>
          <w:rtl w:val="0"/>
        </w:rPr>
        <w:t xml:space="preserve">   - **Potential Concern:** A reader attempting to reproduce the 4th significant digit of the built blade span (`1.499 m` vs. `1.497 m`) and chord from `NR-011` and `NR-050` cannot do so without knowing that `0.82` in `NR-011` is a 2-decimal rounded quote of a continuous floating-point gene value (`0.8213255...`) or if a geometric projection modifies the decode in `src/objective_v10.jl:355-377`.</w:t>
      </w:r>
    </w:p>
    <w:p w:rsidR="00000000" w:rsidDel="00000000" w:rsidP="00000000" w:rsidRDefault="00000000" w:rsidRPr="00000000" w14:paraId="000000B5">
      <w:pPr>
        <w:rPr/>
      </w:pPr>
      <w:r w:rsidDel="00000000" w:rsidR="00000000" w:rsidRPr="00000000">
        <w:rPr>
          <w:rtl w:val="0"/>
        </w:rPr>
        <w:t xml:space="preserve">   - **Suggested Improvement:** Record the unrounded `blade_scale_top` float alongside `(quote 0.82)` in `NR-011` or `NR-050` so that the multiplicative relationship from `base span` to `span` closes to full precision.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2. **Omitted Data Blocks and Raw Inputs in `NR-044`, `NR-051`, and `NR-053`**</w:t>
      </w:r>
    </w:p>
    <w:p w:rsidR="00000000" w:rsidDel="00000000" w:rsidP="00000000" w:rsidRDefault="00000000" w:rsidRPr="00000000" w14:paraId="000000B8">
      <w:pPr>
        <w:rPr/>
      </w:pPr>
      <w:r w:rsidDel="00000000" w:rsidR="00000000" w:rsidRPr="00000000">
        <w:rPr>
          <w:rtl w:val="0"/>
        </w:rPr>
        <w:t xml:space="preserve">   - **Location:** Page 22 (`NR-044`), Page 23 (`NR-051`), and Page 24 (`NR-053`).</w:t>
      </w:r>
    </w:p>
    <w:p w:rsidR="00000000" w:rsidDel="00000000" w:rsidP="00000000" w:rsidRDefault="00000000" w:rsidRPr="00000000" w14:paraId="000000B9">
      <w:pPr>
        <w:rPr/>
      </w:pPr>
      <w:r w:rsidDel="00000000" w:rsidR="00000000" w:rsidRPr="00000000">
        <w:rPr>
          <w:rtl w:val="0"/>
        </w:rPr>
        <w:t xml:space="preserve">   - **Observation:** The *Data register* header (page 19) states that *"Every number in this draft traces to a signed row in the numbers register. A missing row here is a release blocker."* However, three register rows omit the promised sub-blocks or intermediate inputs required for verification:</w:t>
      </w:r>
    </w:p>
    <w:p w:rsidR="00000000" w:rsidDel="00000000" w:rsidP="00000000" w:rsidRDefault="00000000" w:rsidRPr="00000000" w14:paraId="000000BA">
      <w:pPr>
        <w:rPr/>
      </w:pPr>
      <w:r w:rsidDel="00000000" w:rsidR="00000000" w:rsidRPr="00000000">
        <w:rPr>
          <w:rtl w:val="0"/>
        </w:rPr>
        <w:t xml:space="preserve">     - **`NR-051` (Page 23):** The `Value` column states *"The picks stand in the blocks below"*, but the sub-blocks containing the four corner genome identifiers (`i1-g13-i1`, `i1-g7-i7`, `i2-g21-i4`, `i3-g26-i8`), their PC coordinates, and their objective scores (`60.646`, `58.864`, `33.704`, `33.812 kg-equivalent`, cited in Section 3.4 on page 12) were omitted when flattening the register into the report.</w:t>
      </w:r>
    </w:p>
    <w:p w:rsidR="00000000" w:rsidDel="00000000" w:rsidP="00000000" w:rsidRDefault="00000000" w:rsidRPr="00000000" w14:paraId="000000BB">
      <w:pPr>
        <w:rPr/>
      </w:pPr>
      <w:r w:rsidDel="00000000" w:rsidR="00000000" w:rsidRPr="00000000">
        <w:rPr>
          <w:rtl w:val="0"/>
        </w:rPr>
        <w:t xml:space="preserve">     - **`NR-044` (Page 22):** Ends with the pointer *"Reproduction below"*, but no reproduction block follows the row.</w:t>
      </w:r>
    </w:p>
    <w:p w:rsidR="00000000" w:rsidDel="00000000" w:rsidP="00000000" w:rsidRDefault="00000000" w:rsidRPr="00000000" w14:paraId="000000BC">
      <w:pPr>
        <w:rPr/>
      </w:pPr>
      <w:r w:rsidDel="00000000" w:rsidR="00000000" w:rsidRPr="00000000">
        <w:rPr>
          <w:rtl w:val="0"/>
        </w:rPr>
        <w:t xml:space="preserve">     - **`NR-053` (Page 24):** Provides the explicit discrete crossing limit formula $\delta^* = 2\arcsin(L_{\text{seg}} / \sqrt{2(L_{\text{seg}}^2 + 2r_{\text{seg}}^2)})$ with $r_{\text{seg}} = \max(r_i, r_{i+1})$ and cross-reads the `NR-022` limits ($\delta_{\text{crit}} = 98.85908296054023^\circ$ for S1–S4 and $92.64281134151318^\circ$ for S5), but neither `NR-022` nor `NR-053` records the intermediate ring radii ($r_2, \dots, r_5$) or per-segment line rest lengths ($L_{\text{seg}}$) needed to evaluate the formula.</w:t>
      </w:r>
    </w:p>
    <w:p w:rsidR="00000000" w:rsidDel="00000000" w:rsidP="00000000" w:rsidRDefault="00000000" w:rsidRPr="00000000" w14:paraId="000000BD">
      <w:pPr>
        <w:rPr/>
      </w:pPr>
      <w:r w:rsidDel="00000000" w:rsidR="00000000" w:rsidRPr="00000000">
        <w:rPr>
          <w:rtl w:val="0"/>
        </w:rPr>
        <w:t xml:space="preserve">   - **Potential Concern:** Omitting the sub-block from `NR-051` leaves the four corner objective numbers cited on page 12 without explicit numerical entries in the printed Data Register.</w:t>
      </w:r>
    </w:p>
    <w:p w:rsidR="00000000" w:rsidDel="00000000" w:rsidP="00000000" w:rsidRDefault="00000000" w:rsidRPr="00000000" w14:paraId="000000BE">
      <w:pPr>
        <w:rPr/>
      </w:pPr>
      <w:r w:rsidDel="00000000" w:rsidR="00000000" w:rsidRPr="00000000">
        <w:rPr>
          <w:rtl w:val="0"/>
        </w:rPr>
        <w:t xml:space="preserve">   - **Suggestion:** Inline the four corner picks and their objective values directly into `NR-051`, remove or populate the *"Reproduction below"* pointer in `NR-044`, and list the five segment radii and rest lengths in `NR-022` or `NR-053`.</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*(Verification Summary: All other explicit equations, numerical recipes, and high-precision figures across `NR-001` through `NR-059` on pages 17–25 were audited and verified as mathematically exact, including: the bank-derate power law $\cos(20^\circ)^{2.65} = 0.84801$ vs. measured $C_p$ ratio $0.22540 / 0.26386 = 0.85424$ [matching within $0.73\%$] and $\cos(20^\circ)^3 = 0.82977$ in `NR-019`–`NR-020`; beam-column axial + bending interaction sums and their reciprocals $\text{FoS} = 1/\text{interaction}$ across rings R2–R6 in `NR-021`; lift-line vertical load and tension at $70^\circ$ in `NR-010` and `NR-026`; segment torque margins $\text{capacity}/\text{torque}$ across S1–S5 in `NR-023` and `NR-040`; angular speed conversion [$13.380260\text{ rad/s} = 127.772\text{ rpm}$], delivered torque, tip-speed ratios $\lambda_{\text{gnd}} = 5.56597$ and $\lambda_{\text{tip}} = 6.84151$, annular swept areas $A_{\text{raw}} = 45.9733\text{ m}^2$ and $A_{\text{zn}} = 39.4912\text{ m}^2$, Betz ceiling $19.1304\text{ kW}$, delivered share $27.75\%$, and system power coefficients in `NR-029`–`NR-034`; the four-part fitness decomposition closure in `NR-039` and `NR-046` using $r = 0.4393474253185575$ from `NR-052`; the continuum realisability floor $\arcsin(1/1.05) = 72.2472^\circ$ and S1 twist margins in `NR-052`–`NR-053`; Hellmann wind shear values in `NR-056`; shaft elevation geometry $18.8\sin(30^\circ) = 9.4000\text{ m}$ in `NR-057`; and the Build Record citation accounting of 53 cited and 6 uncited signed rows [`NR-024`, `NR-035`, `NR-037`, `NR-038`, `NR-041`, `NR-054`] out of 59 total on page 25.)*</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Minor Corrections and Typos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**Pages 18–19 (*Appendix: Figure provenance*, `Output hashes (SHA-256)`):** The Build Record (page 25) states *"Embed route: SVG vector-first, PNG fallback"*, and seven of the eight exhibits list SHA-256 hashes for all three rendered file formats (`png`, `svg`, and `pdf`). However, the `System anatomy plate` block at the bottom of page 18 lists only `png`, `pdf`, `ledger`, and `checks` (on page 19), omitting the `svg` hash line. In addition, `Machine evolution strip`, `Machine winner`, and `The corner machines` list `checks` instead of `ledger`, whereas the other four exhibits list `ledger` without `checks`; briefly noting in the hash header which exhibits emit a `ledger` vs. a `checks` log (or both) would aid automated hash verification.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**Page 19 (`Data register`, rows `NR-003`–`NR-006`) and Page 22 (`NR-036`, `NR-039`):** Fitness/objective scores in these rows list `kg` in the `Units` column, whereas the main text and `NR-046` strictly distinguish physical airborne mass (`kg`) from the penalized objective score (`kg-equivalent`). Also in `NR-006` (page 19), `36.109 (gen 1, common seed)` labels the initial generation as `gen 1`, whereas `NR-036` (page 22), `NR-045` (page 22), and Section 3.5 (page 13) use 0-indexed generations (`gen 0` to `gen 30`, with `36.109 (gen 0)`). Standardizing `NR-006` to `gen 0` will maintain consistent generation indexing across the register.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**Page 20 (`NR-012`):** States `:cold re-eval matches recorded P_mean, P_end, FoS, fitness, T_lift to 3 dp on all three winners`, whereas Section 4.1 (page 14) states *"The ODE path reproduces every recorded winner field at the precision the record stores. Island 3 agrees at full precision (NR-012)."* Adding a note to `NR-012` that Island 3 agrees at full precision will align the register entry with the claim in Section 4.1.</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**Page 20 (`NR-020`):** In *"The precone rows of 10-precone-sweep.csv at commanded lambda 4.0 (Cp 0.22540 vs 0.26386)"*, explicitly noting that `0.22540` corresponds to $20^\circ$ bank and `0.26386` corresponds to $0^\circ$ bank would improve immediate readability.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