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D1B2A"/>
          <w:sz w:val="56"/>
        </w:rPr>
        <w:t>TRPT Kite Turbine</w:t>
      </w:r>
    </w:p>
    <w:p>
      <w:pPr>
        <w:jc w:val="center"/>
      </w:pPr>
      <w:r>
        <w:rPr>
          <w:rFonts w:ascii="Calibri" w:hAnsi="Calibri"/>
          <w:b/>
          <w:color w:val="007A87"/>
          <w:sz w:val="36"/>
        </w:rPr>
        <w:t>Structural Optimisation — Campaigns v2 to v5</w:t>
      </w:r>
    </w:p>
    <w:p>
      <w:pPr>
        <w:jc w:val="center"/>
      </w:pPr>
      <w:r>
        <w:rPr>
          <w:rFonts w:ascii="Calibri" w:hAnsi="Calibri"/>
          <w:color w:val="444F5A"/>
          <w:sz w:val="24"/>
        </w:rPr>
        <w:t>AWE Forum Technical Report  ·  v3  ·  April 2026</w:t>
      </w:r>
    </w:p>
    <w:p/>
    <w:p>
      <w:pPr>
        <w:jc w:val="center"/>
      </w:pPr>
      <w:r>
        <w:drawing>
          <wp:inline xmlns:a="http://schemas.openxmlformats.org/drawingml/2006/main" xmlns:pic="http://schemas.openxmlformats.org/drawingml/2006/picture">
            <wp:extent cx="4572000" cy="3145872"/>
            <wp:docPr id="1" name="Picture 1"/>
            <wp:cNvGraphicFramePr>
              <a:graphicFrameLocks noChangeAspect="1"/>
            </wp:cNvGraphicFramePr>
            <a:graphic>
              <a:graphicData uri="http://schemas.openxmlformats.org/drawingml/2006/picture">
                <pic:pic>
                  <pic:nvPicPr>
                    <pic:cNvPr id="0" name="fig_trpt_system.png"/>
                    <pic:cNvPicPr/>
                  </pic:nvPicPr>
                  <pic:blipFill>
                    <a:blip r:embed="rId9"/>
                    <a:stretch>
                      <a:fillRect/>
                    </a:stretch>
                  </pic:blipFill>
                  <pic:spPr>
                    <a:xfrm>
                      <a:off x="0" y="0"/>
                      <a:ext cx="4572000" cy="3145872"/>
                    </a:xfrm>
                    <a:prstGeom prst="rect"/>
                  </pic:spPr>
                </pic:pic>
              </a:graphicData>
            </a:graphic>
          </wp:inline>
        </w:drawing>
      </w:r>
    </w:p>
    <w:p>
      <w:pPr>
        <w:spacing w:after="240"/>
        <w:jc w:val="center"/>
      </w:pPr>
      <w:r>
        <w:rPr>
          <w:rFonts w:ascii="Calibri" w:hAnsi="Calibri"/>
          <w:i/>
          <w:color w:val="444F5A"/>
          <w:sz w:val="18"/>
        </w:rPr>
        <w:t>Figure 1 — TRPT system overview: helical tether lines transmit torque from the airborne rotor to the ground generator.</w:t>
      </w:r>
    </w:p>
    <w:p>
      <w:r>
        <w:br w:type="page"/>
      </w:r>
    </w:p>
    <w:p>
      <w:pPr>
        <w:pStyle w:val="Heading1"/>
      </w:pPr>
      <w:r>
        <w:rPr>
          <w:rFonts w:ascii="Calibri" w:hAnsi="Calibri"/>
          <w:b/>
          <w:color w:val="0D1B2A"/>
          <w:sz w:val="32"/>
        </w:rPr>
        <w:t>1  Executive Summary</w:t>
      </w:r>
    </w:p>
    <w:p>
      <w:pPr>
        <w:pBdr>
          <w:bottom w:val="single" w:sz="6" w:space="1" w:color="D6E4ED"/>
        </w:pBdr>
        <w:spacing w:after="120"/>
      </w:pPr>
    </w:p>
    <w:p>
      <w:pPr>
        <w:spacing w:before="0" w:after="120"/>
      </w:pPr>
      <w:r>
        <w:rPr>
          <w:rFonts w:ascii="Calibri" w:hAnsi="Calibri"/>
          <w:b w:val="0"/>
          <w:i w:val="0"/>
          <w:color w:val="444F5A"/>
          <w:sz w:val="22"/>
        </w:rPr>
        <w:t>This report presents structural optimisation results for the Tensile Rotary Power Transmission (TRPT) kite turbine shaft across four Differential Evolution campaigns (v2–v5, April 2026).  Each campaign added one or more physical constraints or aerodynamic models to the fitness function, progressively closing the gap between the optimised design and physical reality.</w:t>
      </w:r>
    </w:p>
    <w:p>
      <w:pPr>
        <w:spacing w:before="0" w:after="120"/>
      </w:pPr>
      <w:r>
        <w:rPr>
          <w:rFonts w:ascii="Calibri" w:hAnsi="Calibri"/>
          <w:b w:val="0"/>
          <w:i w:val="0"/>
          <w:color w:val="444F5A"/>
          <w:sz w:val="22"/>
        </w:rPr>
        <w:t>The key headline results are:</w:t>
      </w:r>
    </w:p>
    <w:p>
      <w:pPr>
        <w:pStyle w:val="ListBullet"/>
      </w:pPr>
      <w:r>
        <w:rPr>
          <w:rFonts w:ascii="Calibri" w:hAnsi="Calibri"/>
          <w:color w:val="444F5A"/>
          <w:sz w:val="22"/>
        </w:rPr>
        <w:t>n_lines = 8 tether lines selected unanimously across all 120 islands (v4 + v5), for both 10 kW and 50 kW configurations.</w:t>
      </w:r>
    </w:p>
    <w:p>
      <w:pPr>
        <w:pStyle w:val="ListBullet"/>
      </w:pPr>
      <w:r>
        <w:rPr>
          <w:rFonts w:ascii="Calibri" w:hAnsi="Calibri"/>
          <w:color w:val="444F5A"/>
          <w:sz w:val="22"/>
        </w:rPr>
        <w:t>10 kW shaft minimum mass: 11.470 kg (v5, BEM-coupled), down from 15.435 kg in v3 after adding the torsional constraint — a 25.7 % reduction.</w:t>
      </w:r>
    </w:p>
    <w:p>
      <w:pPr>
        <w:pStyle w:val="ListBullet"/>
      </w:pPr>
      <w:r>
        <w:rPr>
          <w:rFonts w:ascii="Calibri" w:hAnsi="Calibri"/>
          <w:color w:val="444F5A"/>
          <w:sz w:val="22"/>
        </w:rPr>
        <w:t>50 kW shaft minimum mass: 39.295 kg (v5), a 51 % reduction vs v4 (79.5 kg), driven by more accurate aerodynamic loading from the BEM model.</w:t>
      </w:r>
    </w:p>
    <w:p>
      <w:pPr>
        <w:pStyle w:val="ListBullet"/>
      </w:pPr>
      <w:r>
        <w:rPr>
          <w:rFonts w:ascii="Calibri" w:hAnsi="Calibri"/>
          <w:color w:val="444F5A"/>
          <w:sz w:val="22"/>
        </w:rPr>
        <w:t>Geometric L/r ring spacing (v4) is the key enabling innovation: it allows a tapered shaft geometry without the Euler buckling penalty that forced cylindrical designs in v3.</w:t>
      </w:r>
    </w:p>
    <w:p/>
    <w:p>
      <w:pPr>
        <w:spacing w:before="0" w:after="120"/>
      </w:pPr>
      <w:r>
        <w:rPr>
          <w:rFonts w:ascii="Calibri" w:hAnsi="Calibri"/>
          <w:b w:val="0"/>
          <w:i w:val="0"/>
          <w:color w:val="444F5A"/>
          <w:sz w:val="22"/>
        </w:rPr>
        <w:t>Three open questions remain before hardware commitment: CFD validation of n_lines = 8 aerodynamics (strip theory not validated above n = 6), joint β + structural optimisation (β fixed at 30° throughout), and dynamic fatigue modelling (currently static peak envelope only).</w:t>
      </w:r>
    </w:p>
    <w:p>
      <w:r>
        <w:br w:type="page"/>
      </w:r>
    </w:p>
    <w:p>
      <w:pPr>
        <w:pStyle w:val="Heading1"/>
      </w:pPr>
      <w:r>
        <w:rPr>
          <w:rFonts w:ascii="Calibri" w:hAnsi="Calibri"/>
          <w:b/>
          <w:color w:val="0D1B2A"/>
          <w:sz w:val="32"/>
        </w:rPr>
        <w:t>2  System Overview</w:t>
      </w:r>
    </w:p>
    <w:p>
      <w:pPr>
        <w:pBdr>
          <w:bottom w:val="single" w:sz="6" w:space="1" w:color="D6E4ED"/>
        </w:pBdr>
        <w:spacing w:after="120"/>
      </w:pPr>
    </w:p>
    <w:p>
      <w:pPr>
        <w:spacing w:before="0" w:after="120"/>
      </w:pPr>
      <w:r>
        <w:rPr>
          <w:rFonts w:ascii="Calibri" w:hAnsi="Calibri"/>
          <w:b w:val="0"/>
          <w:i w:val="0"/>
          <w:color w:val="444F5A"/>
          <w:sz w:val="22"/>
        </w:rPr>
        <w:t>The TRPT transmits power from an airborne rotor to a ground-level generator through a tensile column of rings connected by helical tether lines.  The shaft is supported by tension in the tether lines — there are no rigid compression members.  Torque propagates through the helical geometry: twist of the shaft increases line tension asymmetrically, generating a net restoring torque.</w:t>
      </w:r>
    </w:p>
    <w:p>
      <w:pPr>
        <w:spacing w:before="0" w:after="120"/>
      </w:pPr>
      <w:r>
        <w:rPr>
          <w:rFonts w:ascii="Calibri" w:hAnsi="Calibri"/>
          <w:b w:val="0"/>
          <w:i w:val="0"/>
          <w:color w:val="444F5A"/>
          <w:sz w:val="22"/>
        </w:rPr>
        <w:t>The canonical system parameters used throughout v2–v5 are:</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0D1B2A"/>
          </w:tcPr>
          <w:p>
            <w:pPr>
              <w:jc w:val="center"/>
            </w:pPr>
            <w:r>
              <w:rPr>
                <w:rFonts w:ascii="Calibri" w:hAnsi="Calibri"/>
                <w:b/>
                <w:color w:val="FFFFFF"/>
                <w:sz w:val="20"/>
              </w:rPr>
              <w:t>Parameter</w:t>
            </w:r>
          </w:p>
        </w:tc>
        <w:tc>
          <w:tcPr>
            <w:tcW w:type="dxa" w:w="5760"/>
            <w:shd w:val="clear" w:color="auto" w:fill="0D1B2A"/>
          </w:tcPr>
          <w:p>
            <w:pPr>
              <w:jc w:val="center"/>
            </w:pPr>
            <w:r>
              <w:rPr>
                <w:rFonts w:ascii="Calibri" w:hAnsi="Calibri"/>
                <w:b/>
                <w:color w:val="FFFFFF"/>
                <w:sz w:val="20"/>
              </w:rPr>
              <w:t>Value</w:t>
            </w:r>
          </w:p>
        </w:tc>
      </w:tr>
      <w:tr>
        <w:tc>
          <w:tcPr>
            <w:tcW w:type="dxa" w:w="4536"/>
            <w:shd w:val="clear" w:color="auto" w:fill="F0F4F8"/>
          </w:tcPr>
          <w:p>
            <w:pPr>
              <w:jc w:val="center"/>
            </w:pPr>
            <w:r>
              <w:rPr>
                <w:rFonts w:ascii="Calibri" w:hAnsi="Calibri"/>
                <w:b w:val="0"/>
                <w:color w:val="444F5A"/>
                <w:sz w:val="20"/>
              </w:rPr>
              <w:t>Rated power</w:t>
            </w:r>
          </w:p>
        </w:tc>
        <w:tc>
          <w:tcPr>
            <w:tcW w:type="dxa" w:w="4536"/>
            <w:shd w:val="clear" w:color="auto" w:fill="F0F4F8"/>
          </w:tcPr>
          <w:p>
            <w:pPr>
              <w:jc w:val="center"/>
            </w:pPr>
            <w:r>
              <w:rPr>
                <w:rFonts w:ascii="Calibri" w:hAnsi="Calibri"/>
                <w:b w:val="0"/>
                <w:color w:val="444F5A"/>
                <w:sz w:val="20"/>
              </w:rPr>
              <w:t>10 kW / 50 kW (separate optimisations)</w:t>
            </w:r>
          </w:p>
        </w:tc>
      </w:tr>
      <w:tr>
        <w:tc>
          <w:tcPr>
            <w:tcW w:type="dxa" w:w="4536"/>
            <w:shd w:val="clear" w:color="auto" w:fill="FFFFFF"/>
          </w:tcPr>
          <w:p>
            <w:pPr>
              <w:jc w:val="center"/>
            </w:pPr>
            <w:r>
              <w:rPr>
                <w:rFonts w:ascii="Calibri" w:hAnsi="Calibri"/>
                <w:b w:val="0"/>
                <w:color w:val="444F5A"/>
                <w:sz w:val="20"/>
              </w:rPr>
              <w:t>Rated wind speed</w:t>
            </w:r>
          </w:p>
        </w:tc>
        <w:tc>
          <w:tcPr>
            <w:tcW w:type="dxa" w:w="4536"/>
            <w:shd w:val="clear" w:color="auto" w:fill="FFFFFF"/>
          </w:tcPr>
          <w:p>
            <w:pPr>
              <w:jc w:val="center"/>
            </w:pPr>
            <w:r>
              <w:rPr>
                <w:rFonts w:ascii="Calibri" w:hAnsi="Calibri"/>
                <w:b w:val="0"/>
                <w:color w:val="444F5A"/>
                <w:sz w:val="20"/>
              </w:rPr>
              <w:t>11 m/s</w:t>
            </w:r>
          </w:p>
        </w:tc>
      </w:tr>
      <w:tr>
        <w:tc>
          <w:tcPr>
            <w:tcW w:type="dxa" w:w="4536"/>
            <w:shd w:val="clear" w:color="auto" w:fill="F0F4F8"/>
          </w:tcPr>
          <w:p>
            <w:pPr>
              <w:jc w:val="center"/>
            </w:pPr>
            <w:r>
              <w:rPr>
                <w:rFonts w:ascii="Calibri" w:hAnsi="Calibri"/>
                <w:b w:val="0"/>
                <w:color w:val="444F5A"/>
                <w:sz w:val="20"/>
              </w:rPr>
              <w:t>Tether length L</w:t>
            </w:r>
          </w:p>
        </w:tc>
        <w:tc>
          <w:tcPr>
            <w:tcW w:type="dxa" w:w="4536"/>
            <w:shd w:val="clear" w:color="auto" w:fill="F0F4F8"/>
          </w:tcPr>
          <w:p>
            <w:pPr>
              <w:jc w:val="center"/>
            </w:pPr>
            <w:r>
              <w:rPr>
                <w:rFonts w:ascii="Calibri" w:hAnsi="Calibri"/>
                <w:b w:val="0"/>
                <w:color w:val="444F5A"/>
                <w:sz w:val="20"/>
              </w:rPr>
              <w:t>30 m (10 kW) / 67 m (50 kW)</w:t>
            </w:r>
          </w:p>
        </w:tc>
      </w:tr>
      <w:tr>
        <w:tc>
          <w:tcPr>
            <w:tcW w:type="dxa" w:w="4536"/>
            <w:shd w:val="clear" w:color="auto" w:fill="FFFFFF"/>
          </w:tcPr>
          <w:p>
            <w:pPr>
              <w:jc w:val="center"/>
            </w:pPr>
            <w:r>
              <w:rPr>
                <w:rFonts w:ascii="Calibri" w:hAnsi="Calibri"/>
                <w:b w:val="0"/>
                <w:color w:val="444F5A"/>
                <w:sz w:val="20"/>
              </w:rPr>
              <w:t>Elevation angle β</w:t>
            </w:r>
          </w:p>
        </w:tc>
        <w:tc>
          <w:tcPr>
            <w:tcW w:type="dxa" w:w="4536"/>
            <w:shd w:val="clear" w:color="auto" w:fill="FFFFFF"/>
          </w:tcPr>
          <w:p>
            <w:pPr>
              <w:jc w:val="center"/>
            </w:pPr>
            <w:r>
              <w:rPr>
                <w:rFonts w:ascii="Calibri" w:hAnsi="Calibri"/>
                <w:b w:val="0"/>
                <w:color w:val="444F5A"/>
                <w:sz w:val="20"/>
              </w:rPr>
              <w:t>30° (fixed throughout v2–v5)</w:t>
            </w:r>
          </w:p>
        </w:tc>
      </w:tr>
      <w:tr>
        <w:tc>
          <w:tcPr>
            <w:tcW w:type="dxa" w:w="4536"/>
            <w:shd w:val="clear" w:color="auto" w:fill="F0F4F8"/>
          </w:tcPr>
          <w:p>
            <w:pPr>
              <w:jc w:val="center"/>
            </w:pPr>
            <w:r>
              <w:rPr>
                <w:rFonts w:ascii="Calibri" w:hAnsi="Calibri"/>
                <w:b w:val="0"/>
                <w:color w:val="444F5A"/>
                <w:sz w:val="20"/>
              </w:rPr>
              <w:t>Rotor radius R</w:t>
            </w:r>
          </w:p>
        </w:tc>
        <w:tc>
          <w:tcPr>
            <w:tcW w:type="dxa" w:w="4536"/>
            <w:shd w:val="clear" w:color="auto" w:fill="F0F4F8"/>
          </w:tcPr>
          <w:p>
            <w:pPr>
              <w:jc w:val="center"/>
            </w:pPr>
            <w:r>
              <w:rPr>
                <w:rFonts w:ascii="Calibri" w:hAnsi="Calibri"/>
                <w:b w:val="0"/>
                <w:color w:val="444F5A"/>
                <w:sz w:val="20"/>
              </w:rPr>
              <w:t>5.0 m (v2–v4) / 5.12 m (v5 BEM-derived)</w:t>
            </w:r>
          </w:p>
        </w:tc>
      </w:tr>
      <w:tr>
        <w:tc>
          <w:tcPr>
            <w:tcW w:type="dxa" w:w="4536"/>
            <w:shd w:val="clear" w:color="auto" w:fill="FFFFFF"/>
          </w:tcPr>
          <w:p>
            <w:pPr>
              <w:jc w:val="center"/>
            </w:pPr>
            <w:r>
              <w:rPr>
                <w:rFonts w:ascii="Calibri" w:hAnsi="Calibri"/>
                <w:b w:val="0"/>
                <w:color w:val="444F5A"/>
                <w:sz w:val="20"/>
              </w:rPr>
              <w:t>n_lines (canonical)</w:t>
            </w:r>
          </w:p>
        </w:tc>
        <w:tc>
          <w:tcPr>
            <w:tcW w:type="dxa" w:w="4536"/>
            <w:shd w:val="clear" w:color="auto" w:fill="FFFFFF"/>
          </w:tcPr>
          <w:p>
            <w:pPr>
              <w:jc w:val="center"/>
            </w:pPr>
            <w:r>
              <w:rPr>
                <w:rFonts w:ascii="Calibri" w:hAnsi="Calibri"/>
                <w:b w:val="0"/>
                <w:color w:val="444F5A"/>
                <w:sz w:val="20"/>
              </w:rPr>
              <w:t>5 (baseline) → 8 (optimised)</w:t>
            </w:r>
          </w:p>
        </w:tc>
      </w:tr>
      <w:tr>
        <w:tc>
          <w:tcPr>
            <w:tcW w:type="dxa" w:w="4536"/>
            <w:shd w:val="clear" w:color="auto" w:fill="F0F4F8"/>
          </w:tcPr>
          <w:p>
            <w:pPr>
              <w:jc w:val="center"/>
            </w:pPr>
            <w:r>
              <w:rPr>
                <w:rFonts w:ascii="Calibri" w:hAnsi="Calibri"/>
                <w:b w:val="0"/>
                <w:color w:val="444F5A"/>
                <w:sz w:val="20"/>
              </w:rPr>
              <w:t>Design Load Factor</w:t>
            </w:r>
          </w:p>
        </w:tc>
        <w:tc>
          <w:tcPr>
            <w:tcW w:type="dxa" w:w="4536"/>
            <w:shd w:val="clear" w:color="auto" w:fill="F0F4F8"/>
          </w:tcPr>
          <w:p>
            <w:pPr>
              <w:jc w:val="center"/>
            </w:pPr>
            <w:r>
              <w:rPr>
                <w:rFonts w:ascii="Calibri" w:hAnsi="Calibri"/>
                <w:b w:val="0"/>
                <w:color w:val="444F5A"/>
                <w:sz w:val="20"/>
              </w:rPr>
              <w:t>1.2 (calibrated from ODE simulation)</w:t>
            </w:r>
          </w:p>
        </w:tc>
      </w:tr>
      <w:tr>
        <w:tc>
          <w:tcPr>
            <w:tcW w:type="dxa" w:w="4536"/>
            <w:shd w:val="clear" w:color="auto" w:fill="FFFFFF"/>
          </w:tcPr>
          <w:p>
            <w:pPr>
              <w:jc w:val="center"/>
            </w:pPr>
            <w:r>
              <w:rPr>
                <w:rFonts w:ascii="Calibri" w:hAnsi="Calibri"/>
                <w:b w:val="0"/>
                <w:color w:val="444F5A"/>
                <w:sz w:val="20"/>
              </w:rPr>
              <w:t>Euler FOS requirement</w:t>
            </w:r>
          </w:p>
        </w:tc>
        <w:tc>
          <w:tcPr>
            <w:tcW w:type="dxa" w:w="4536"/>
            <w:shd w:val="clear" w:color="auto" w:fill="FFFFFF"/>
          </w:tcPr>
          <w:p>
            <w:pPr>
              <w:jc w:val="center"/>
            </w:pPr>
            <w:r>
              <w:rPr>
                <w:rFonts w:ascii="Calibri" w:hAnsi="Calibri"/>
                <w:b w:val="0"/>
                <w:color w:val="444F5A"/>
                <w:sz w:val="20"/>
              </w:rPr>
              <w:t>≥ 1.8</w:t>
            </w:r>
          </w:p>
        </w:tc>
      </w:tr>
      <w:tr>
        <w:tc>
          <w:tcPr>
            <w:tcW w:type="dxa" w:w="4536"/>
            <w:shd w:val="clear" w:color="auto" w:fill="F0F4F8"/>
          </w:tcPr>
          <w:p>
            <w:pPr>
              <w:jc w:val="center"/>
            </w:pPr>
            <w:r>
              <w:rPr>
                <w:rFonts w:ascii="Calibri" w:hAnsi="Calibri"/>
                <w:b w:val="0"/>
                <w:color w:val="444F5A"/>
                <w:sz w:val="20"/>
              </w:rPr>
              <w:t>Torsional FOS requirement</w:t>
            </w:r>
          </w:p>
        </w:tc>
        <w:tc>
          <w:tcPr>
            <w:tcW w:type="dxa" w:w="4536"/>
            <w:shd w:val="clear" w:color="auto" w:fill="F0F4F8"/>
          </w:tcPr>
          <w:p>
            <w:pPr>
              <w:jc w:val="center"/>
            </w:pPr>
            <w:r>
              <w:rPr>
                <w:rFonts w:ascii="Calibri" w:hAnsi="Calibri"/>
                <w:b w:val="0"/>
                <w:color w:val="444F5A"/>
                <w:sz w:val="20"/>
              </w:rPr>
              <w:t>≥ 1.5 (v3 onwards, Tulloch/Wacker)</w:t>
            </w:r>
          </w:p>
        </w:tc>
      </w:tr>
    </w:tbl>
    <w:p/>
    <w:p>
      <w:r>
        <w:br w:type="page"/>
      </w:r>
    </w:p>
    <w:p>
      <w:pPr>
        <w:pStyle w:val="Heading1"/>
      </w:pPr>
      <w:r>
        <w:rPr>
          <w:rFonts w:ascii="Calibri" w:hAnsi="Calibri"/>
          <w:b/>
          <w:color w:val="0D1B2A"/>
          <w:sz w:val="32"/>
        </w:rPr>
        <w:t>3  Campaign Progression</w:t>
      </w:r>
    </w:p>
    <w:p>
      <w:pPr>
        <w:pBdr>
          <w:bottom w:val="single" w:sz="6" w:space="1" w:color="D6E4ED"/>
        </w:pBdr>
        <w:spacing w:after="120"/>
      </w:pPr>
    </w:p>
    <w:p>
      <w:pPr>
        <w:spacing w:before="0" w:after="120"/>
      </w:pPr>
      <w:r>
        <w:rPr>
          <w:rFonts w:ascii="Calibri" w:hAnsi="Calibri"/>
          <w:b w:val="0"/>
          <w:i w:val="0"/>
          <w:color w:val="444F5A"/>
          <w:sz w:val="22"/>
        </w:rPr>
        <w:t>Four optimisation campaigns were run sequentially, each building on the structural model and results of the previous.  60 Differential Evolution islands (2 power configs × 3 beam profiles × 5 parameter zones × 2 RNG seeds) were run per campaign.</w:t>
      </w:r>
    </w:p>
    <w:p>
      <w:pPr>
        <w:jc w:val="center"/>
      </w:pPr>
      <w:r>
        <w:drawing>
          <wp:inline xmlns:a="http://schemas.openxmlformats.org/drawingml/2006/main" xmlns:pic="http://schemas.openxmlformats.org/drawingml/2006/picture">
            <wp:extent cx="5029200" cy="2910155"/>
            <wp:docPr id="2" name="Picture 2"/>
            <wp:cNvGraphicFramePr>
              <a:graphicFrameLocks noChangeAspect="1"/>
            </wp:cNvGraphicFramePr>
            <a:graphic>
              <a:graphicData uri="http://schemas.openxmlformats.org/drawingml/2006/picture">
                <pic:pic>
                  <pic:nvPicPr>
                    <pic:cNvPr id="0" name="fig_campaign_progression.png"/>
                    <pic:cNvPicPr/>
                  </pic:nvPicPr>
                  <pic:blipFill>
                    <a:blip r:embed="rId10"/>
                    <a:stretch>
                      <a:fillRect/>
                    </a:stretch>
                  </pic:blipFill>
                  <pic:spPr>
                    <a:xfrm>
                      <a:off x="0" y="0"/>
                      <a:ext cx="5029200" cy="2910155"/>
                    </a:xfrm>
                    <a:prstGeom prst="rect"/>
                  </pic:spPr>
                </pic:pic>
              </a:graphicData>
            </a:graphic>
          </wp:inline>
        </w:drawing>
      </w:r>
    </w:p>
    <w:p>
      <w:pPr>
        <w:spacing w:after="240"/>
        <w:jc w:val="center"/>
      </w:pPr>
      <w:r>
        <w:rPr>
          <w:rFonts w:ascii="Calibri" w:hAnsi="Calibri"/>
          <w:i/>
          <w:color w:val="444F5A"/>
          <w:sz w:val="18"/>
        </w:rPr>
        <w:t>Figure 2 — Minimum shaft mass across campaigns v2–v5 for 10 kW (blue) and 50 kW (orange).  The v2 designs are physically infeasible — their apparent low mass is due to the absent torsional constraint.</w:t>
      </w:r>
    </w:p>
    <w:p>
      <w:pPr>
        <w:pStyle w:val="Heading2"/>
      </w:pPr>
      <w:r>
        <w:rPr>
          <w:rFonts w:ascii="Calibri" w:hAnsi="Calibri"/>
          <w:b/>
          <w:color w:val="0D1B2A"/>
          <w:sz w:val="26"/>
        </w:rPr>
        <w:t>3.1  Campaign summary table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val="clear" w:color="auto" w:fill="0D1B2A"/>
          </w:tcPr>
          <w:p>
            <w:pPr>
              <w:jc w:val="center"/>
            </w:pPr>
            <w:r>
              <w:rPr>
                <w:rFonts w:ascii="Calibri" w:hAnsi="Calibri"/>
                <w:b/>
                <w:color w:val="FFFFFF"/>
                <w:sz w:val="20"/>
              </w:rPr>
              <w:t>Campaign</w:t>
            </w:r>
          </w:p>
        </w:tc>
        <w:tc>
          <w:tcPr>
            <w:tcW w:type="dxa" w:w="1296"/>
            <w:shd w:val="clear" w:color="auto" w:fill="0D1B2A"/>
          </w:tcPr>
          <w:p>
            <w:pPr>
              <w:jc w:val="center"/>
            </w:pPr>
            <w:r>
              <w:rPr>
                <w:rFonts w:ascii="Calibri" w:hAnsi="Calibri"/>
                <w:b/>
                <w:color w:val="FFFFFF"/>
                <w:sz w:val="20"/>
              </w:rPr>
              <w:t>Date</w:t>
            </w:r>
          </w:p>
        </w:tc>
        <w:tc>
          <w:tcPr>
            <w:tcW w:type="dxa" w:w="1728"/>
            <w:shd w:val="clear" w:color="auto" w:fill="0D1B2A"/>
          </w:tcPr>
          <w:p>
            <w:pPr>
              <w:jc w:val="center"/>
            </w:pPr>
            <w:r>
              <w:rPr>
                <w:rFonts w:ascii="Calibri" w:hAnsi="Calibri"/>
                <w:b/>
                <w:color w:val="FFFFFF"/>
                <w:sz w:val="20"/>
              </w:rPr>
              <w:t>10 kW winner</w:t>
            </w:r>
          </w:p>
        </w:tc>
        <w:tc>
          <w:tcPr>
            <w:tcW w:type="dxa" w:w="1728"/>
            <w:shd w:val="clear" w:color="auto" w:fill="0D1B2A"/>
          </w:tcPr>
          <w:p>
            <w:pPr>
              <w:jc w:val="center"/>
            </w:pPr>
            <w:r>
              <w:rPr>
                <w:rFonts w:ascii="Calibri" w:hAnsi="Calibri"/>
                <w:b/>
                <w:color w:val="FFFFFF"/>
                <w:sz w:val="20"/>
              </w:rPr>
              <w:t>50 kW winner</w:t>
            </w:r>
          </w:p>
        </w:tc>
        <w:tc>
          <w:tcPr>
            <w:tcW w:type="dxa" w:w="4896"/>
            <w:shd w:val="clear" w:color="auto" w:fill="0D1B2A"/>
          </w:tcPr>
          <w:p>
            <w:pPr>
              <w:jc w:val="center"/>
            </w:pPr>
            <w:r>
              <w:rPr>
                <w:rFonts w:ascii="Calibri" w:hAnsi="Calibri"/>
                <w:b/>
                <w:color w:val="FFFFFF"/>
                <w:sz w:val="20"/>
              </w:rPr>
              <w:t>Key change</w:t>
            </w:r>
          </w:p>
        </w:tc>
      </w:tr>
      <w:tr>
        <w:tc>
          <w:tcPr>
            <w:tcW w:type="dxa" w:w="1814"/>
            <w:shd w:val="clear" w:color="auto" w:fill="F0F4F8"/>
          </w:tcPr>
          <w:p>
            <w:pPr>
              <w:jc w:val="center"/>
            </w:pPr>
            <w:r>
              <w:rPr>
                <w:rFonts w:ascii="Calibri" w:hAnsi="Calibri"/>
                <w:b w:val="0"/>
                <w:color w:val="444F5A"/>
                <w:sz w:val="20"/>
              </w:rPr>
              <w:t>v2</w:t>
            </w:r>
          </w:p>
        </w:tc>
        <w:tc>
          <w:tcPr>
            <w:tcW w:type="dxa" w:w="1814"/>
            <w:shd w:val="clear" w:color="auto" w:fill="F0F4F8"/>
          </w:tcPr>
          <w:p>
            <w:pPr>
              <w:jc w:val="center"/>
            </w:pPr>
            <w:r>
              <w:rPr>
                <w:rFonts w:ascii="Calibri" w:hAnsi="Calibri"/>
                <w:b w:val="0"/>
                <w:color w:val="444F5A"/>
                <w:sz w:val="20"/>
              </w:rPr>
              <w:t>Apr 2026</w:t>
            </w:r>
          </w:p>
        </w:tc>
        <w:tc>
          <w:tcPr>
            <w:tcW w:type="dxa" w:w="1814"/>
            <w:shd w:val="clear" w:color="auto" w:fill="F0F4F8"/>
          </w:tcPr>
          <w:p>
            <w:pPr>
              <w:jc w:val="center"/>
            </w:pPr>
            <w:r>
              <w:rPr>
                <w:rFonts w:ascii="Calibri" w:hAnsi="Calibri"/>
                <w:b w:val="0"/>
                <w:color w:val="444F5A"/>
                <w:sz w:val="20"/>
              </w:rPr>
              <w:t>2.808 kg</w:t>
            </w:r>
          </w:p>
        </w:tc>
        <w:tc>
          <w:tcPr>
            <w:tcW w:type="dxa" w:w="1814"/>
            <w:shd w:val="clear" w:color="auto" w:fill="F0F4F8"/>
          </w:tcPr>
          <w:p>
            <w:pPr>
              <w:jc w:val="center"/>
            </w:pPr>
            <w:r>
              <w:rPr>
                <w:rFonts w:ascii="Calibri" w:hAnsi="Calibri"/>
                <w:b w:val="0"/>
                <w:color w:val="444F5A"/>
                <w:sz w:val="20"/>
              </w:rPr>
              <w:t>19.22 kg</w:t>
            </w:r>
          </w:p>
        </w:tc>
        <w:tc>
          <w:tcPr>
            <w:tcW w:type="dxa" w:w="1814"/>
            <w:shd w:val="clear" w:color="auto" w:fill="F0F4F8"/>
          </w:tcPr>
          <w:p>
            <w:pPr>
              <w:jc w:val="center"/>
            </w:pPr>
            <w:r>
              <w:rPr>
                <w:rFonts w:ascii="Calibri" w:hAnsi="Calibri"/>
                <w:b w:val="0"/>
                <w:color w:val="444F5A"/>
                <w:sz w:val="20"/>
              </w:rPr>
              <w:t>Euler buckling only — torsionally infeasible (54/60 islands fail)</w:t>
            </w:r>
          </w:p>
        </w:tc>
      </w:tr>
      <w:tr>
        <w:tc>
          <w:tcPr>
            <w:tcW w:type="dxa" w:w="1814"/>
            <w:shd w:val="clear" w:color="auto" w:fill="FFFFFF"/>
          </w:tcPr>
          <w:p>
            <w:pPr>
              <w:jc w:val="center"/>
            </w:pPr>
            <w:r>
              <w:rPr>
                <w:rFonts w:ascii="Calibri" w:hAnsi="Calibri"/>
                <w:b w:val="0"/>
                <w:color w:val="444F5A"/>
                <w:sz w:val="20"/>
              </w:rPr>
              <w:t>v3</w:t>
            </w:r>
          </w:p>
        </w:tc>
        <w:tc>
          <w:tcPr>
            <w:tcW w:type="dxa" w:w="1814"/>
            <w:shd w:val="clear" w:color="auto" w:fill="FFFFFF"/>
          </w:tcPr>
          <w:p>
            <w:pPr>
              <w:jc w:val="center"/>
            </w:pPr>
            <w:r>
              <w:rPr>
                <w:rFonts w:ascii="Calibri" w:hAnsi="Calibri"/>
                <w:b w:val="0"/>
                <w:color w:val="444F5A"/>
                <w:sz w:val="20"/>
              </w:rPr>
              <w:t>Apr 2026</w:t>
            </w:r>
          </w:p>
        </w:tc>
        <w:tc>
          <w:tcPr>
            <w:tcW w:type="dxa" w:w="1814"/>
            <w:shd w:val="clear" w:color="auto" w:fill="FFFFFF"/>
          </w:tcPr>
          <w:p>
            <w:pPr>
              <w:jc w:val="center"/>
            </w:pPr>
            <w:r>
              <w:rPr>
                <w:rFonts w:ascii="Calibri" w:hAnsi="Calibri"/>
                <w:b w:val="0"/>
                <w:color w:val="444F5A"/>
                <w:sz w:val="20"/>
              </w:rPr>
              <w:t>15.435 kg</w:t>
            </w:r>
          </w:p>
        </w:tc>
        <w:tc>
          <w:tcPr>
            <w:tcW w:type="dxa" w:w="1814"/>
            <w:shd w:val="clear" w:color="auto" w:fill="FFFFFF"/>
          </w:tcPr>
          <w:p>
            <w:pPr>
              <w:jc w:val="center"/>
            </w:pPr>
            <w:r>
              <w:rPr>
                <w:rFonts w:ascii="Calibri" w:hAnsi="Calibri"/>
                <w:b w:val="0"/>
                <w:color w:val="444F5A"/>
                <w:sz w:val="20"/>
              </w:rPr>
              <w:t>145.88 kg</w:t>
            </w:r>
          </w:p>
        </w:tc>
        <w:tc>
          <w:tcPr>
            <w:tcW w:type="dxa" w:w="1814"/>
            <w:shd w:val="clear" w:color="auto" w:fill="FFFFFF"/>
          </w:tcPr>
          <w:p>
            <w:pPr>
              <w:jc w:val="center"/>
            </w:pPr>
            <w:r>
              <w:rPr>
                <w:rFonts w:ascii="Calibri" w:hAnsi="Calibri"/>
                <w:b w:val="0"/>
                <w:color w:val="444F5A"/>
                <w:sz w:val="20"/>
              </w:rPr>
              <w:t>Torsional FOS ≥ 1.5 added; cylindrical geometry forced by uniform spacing</w:t>
            </w:r>
          </w:p>
        </w:tc>
      </w:tr>
      <w:tr>
        <w:tc>
          <w:tcPr>
            <w:tcW w:type="dxa" w:w="1814"/>
            <w:shd w:val="clear" w:color="auto" w:fill="F0F4F8"/>
          </w:tcPr>
          <w:p>
            <w:pPr>
              <w:jc w:val="center"/>
            </w:pPr>
            <w:r>
              <w:rPr>
                <w:rFonts w:ascii="Calibri" w:hAnsi="Calibri"/>
                <w:b w:val="0"/>
                <w:color w:val="444F5A"/>
                <w:sz w:val="20"/>
              </w:rPr>
              <w:t>v4</w:t>
            </w:r>
          </w:p>
        </w:tc>
        <w:tc>
          <w:tcPr>
            <w:tcW w:type="dxa" w:w="1814"/>
            <w:shd w:val="clear" w:color="auto" w:fill="F0F4F8"/>
          </w:tcPr>
          <w:p>
            <w:pPr>
              <w:jc w:val="center"/>
            </w:pPr>
            <w:r>
              <w:rPr>
                <w:rFonts w:ascii="Calibri" w:hAnsi="Calibri"/>
                <w:b w:val="0"/>
                <w:color w:val="444F5A"/>
                <w:sz w:val="20"/>
              </w:rPr>
              <w:t>Apr 2026</w:t>
            </w:r>
          </w:p>
        </w:tc>
        <w:tc>
          <w:tcPr>
            <w:tcW w:type="dxa" w:w="1814"/>
            <w:shd w:val="clear" w:color="auto" w:fill="F0F4F8"/>
          </w:tcPr>
          <w:p>
            <w:pPr>
              <w:jc w:val="center"/>
            </w:pPr>
            <w:r>
              <w:rPr>
                <w:rFonts w:ascii="Calibri" w:hAnsi="Calibri"/>
                <w:b w:val="0"/>
                <w:color w:val="444F5A"/>
                <w:sz w:val="20"/>
              </w:rPr>
              <w:t>10.587 kg</w:t>
            </w:r>
          </w:p>
        </w:tc>
        <w:tc>
          <w:tcPr>
            <w:tcW w:type="dxa" w:w="1814"/>
            <w:shd w:val="clear" w:color="auto" w:fill="F0F4F8"/>
          </w:tcPr>
          <w:p>
            <w:pPr>
              <w:jc w:val="center"/>
            </w:pPr>
            <w:r>
              <w:rPr>
                <w:rFonts w:ascii="Calibri" w:hAnsi="Calibri"/>
                <w:b w:val="0"/>
                <w:color w:val="444F5A"/>
                <w:sz w:val="20"/>
              </w:rPr>
              <w:t>79.51 kg</w:t>
            </w:r>
          </w:p>
        </w:tc>
        <w:tc>
          <w:tcPr>
            <w:tcW w:type="dxa" w:w="1814"/>
            <w:shd w:val="clear" w:color="auto" w:fill="F0F4F8"/>
          </w:tcPr>
          <w:p>
            <w:pPr>
              <w:jc w:val="center"/>
            </w:pPr>
            <w:r>
              <w:rPr>
                <w:rFonts w:ascii="Calibri" w:hAnsi="Calibri"/>
                <w:b w:val="0"/>
                <w:color w:val="444F5A"/>
                <w:sz w:val="20"/>
              </w:rPr>
              <w:t>Geometric L/r ring spacing; taper restored as design variable (−31 % vs v3)</w:t>
            </w:r>
          </w:p>
        </w:tc>
      </w:tr>
      <w:tr>
        <w:tc>
          <w:tcPr>
            <w:tcW w:type="dxa" w:w="1814"/>
            <w:shd w:val="clear" w:color="auto" w:fill="FFFFFF"/>
          </w:tcPr>
          <w:p>
            <w:pPr>
              <w:jc w:val="center"/>
            </w:pPr>
            <w:r>
              <w:rPr>
                <w:rFonts w:ascii="Calibri" w:hAnsi="Calibri"/>
                <w:b w:val="0"/>
                <w:color w:val="444F5A"/>
                <w:sz w:val="20"/>
              </w:rPr>
              <w:t>v5</w:t>
            </w:r>
          </w:p>
        </w:tc>
        <w:tc>
          <w:tcPr>
            <w:tcW w:type="dxa" w:w="1814"/>
            <w:shd w:val="clear" w:color="auto" w:fill="FFFFFF"/>
          </w:tcPr>
          <w:p>
            <w:pPr>
              <w:jc w:val="center"/>
            </w:pPr>
            <w:r>
              <w:rPr>
                <w:rFonts w:ascii="Calibri" w:hAnsi="Calibri"/>
                <w:b w:val="0"/>
                <w:color w:val="444F5A"/>
                <w:sz w:val="20"/>
              </w:rPr>
              <w:t>Apr 2026</w:t>
            </w:r>
          </w:p>
        </w:tc>
        <w:tc>
          <w:tcPr>
            <w:tcW w:type="dxa" w:w="1814"/>
            <w:shd w:val="clear" w:color="auto" w:fill="FFFFFF"/>
          </w:tcPr>
          <w:p>
            <w:pPr>
              <w:jc w:val="center"/>
            </w:pPr>
            <w:r>
              <w:rPr>
                <w:rFonts w:ascii="Calibri" w:hAnsi="Calibri"/>
                <w:b w:val="0"/>
                <w:color w:val="444F5A"/>
                <w:sz w:val="20"/>
              </w:rPr>
              <w:t>11.470 kg</w:t>
            </w:r>
          </w:p>
        </w:tc>
        <w:tc>
          <w:tcPr>
            <w:tcW w:type="dxa" w:w="1814"/>
            <w:shd w:val="clear" w:color="auto" w:fill="FFFFFF"/>
          </w:tcPr>
          <w:p>
            <w:pPr>
              <w:jc w:val="center"/>
            </w:pPr>
            <w:r>
              <w:rPr>
                <w:rFonts w:ascii="Calibri" w:hAnsi="Calibri"/>
                <w:b w:val="0"/>
                <w:color w:val="444F5A"/>
                <w:sz w:val="20"/>
              </w:rPr>
              <w:t>39.30 kg</w:t>
            </w:r>
          </w:p>
        </w:tc>
        <w:tc>
          <w:tcPr>
            <w:tcW w:type="dxa" w:w="1814"/>
            <w:shd w:val="clear" w:color="auto" w:fill="FFFFFF"/>
          </w:tcPr>
          <w:p>
            <w:pPr>
              <w:jc w:val="center"/>
            </w:pPr>
            <w:r>
              <w:rPr>
                <w:rFonts w:ascii="Calibri" w:hAnsi="Calibri"/>
                <w:b w:val="0"/>
                <w:color w:val="444F5A"/>
                <w:sz w:val="20"/>
              </w:rPr>
              <w:t>BEM-coupled rotor radius (self-consistent R from n_lines/Cp); 50 kW −51 % vs v4</w:t>
            </w:r>
          </w:p>
        </w:tc>
      </w:tr>
    </w:tbl>
    <w:p/>
    <w:p>
      <w:pPr>
        <w:pStyle w:val="Heading2"/>
      </w:pPr>
      <w:r>
        <w:rPr>
          <w:rFonts w:ascii="Calibri" w:hAnsi="Calibri"/>
          <w:b/>
          <w:color w:val="0D1B2A"/>
          <w:sz w:val="26"/>
        </w:rPr>
        <w:t>3.2  v2 — Euler buckling only (baseline)</w:t>
      </w:r>
    </w:p>
    <w:p>
      <w:pPr>
        <w:spacing w:before="0" w:after="120"/>
      </w:pPr>
      <w:r>
        <w:rPr>
          <w:rFonts w:ascii="Calibri" w:hAnsi="Calibri"/>
          <w:b w:val="0"/>
          <w:i w:val="0"/>
          <w:color w:val="444F5A"/>
          <w:sz w:val="22"/>
        </w:rPr>
        <w:t>v2 used 12 degrees of freedom and enforced only Euler buckling (FOS ≥ 1.8).  The apparent winner at 2.808 kg is physically invalid: post-hoc torsional analysis showed 54 of 60 island winners fail the Tulloch/Wacker torsional stability criterion, with the global winner having torsional FOS = 0.069 — failing by 22×.  The dominant failure mode is small ring radius at the ground end: torsional capacity scales as r², so a tapered shaft with r_bottom ≈ 0.1 m has negligible torque capacity.</w:t>
      </w:r>
    </w:p>
    <w:p>
      <w:pPr>
        <w:pStyle w:val="Heading2"/>
      </w:pPr>
      <w:r>
        <w:rPr>
          <w:rFonts w:ascii="Calibri" w:hAnsi="Calibri"/>
          <w:b/>
          <w:color w:val="0D1B2A"/>
          <w:sz w:val="26"/>
        </w:rPr>
        <w:t>3.3  v3 — Torsional constraint added</w:t>
      </w:r>
    </w:p>
    <w:p>
      <w:pPr>
        <w:spacing w:before="0" w:after="120"/>
      </w:pPr>
      <w:r>
        <w:rPr>
          <w:rFonts w:ascii="Calibri" w:hAnsi="Calibri"/>
          <w:b w:val="0"/>
          <w:i w:val="0"/>
          <w:color w:val="444F5A"/>
          <w:sz w:val="22"/>
        </w:rPr>
        <w:t>v3 added the Tulloch/Wacker torsional stability criterion as a hard feasibility gate.  The maximum torque capacity of a segment of axial length L between rings of radius r under total tether tension T_total is:</w:t>
      </w:r>
    </w:p>
    <w:p>
      <w:pPr>
        <w:jc w:val="center"/>
      </w:pPr>
      <w:r>
        <w:rPr>
          <w:rFonts w:ascii="Courier New" w:hAnsi="Courier New"/>
          <w:color w:val="0D1B2A"/>
          <w:sz w:val="22"/>
        </w:rPr>
        <w:t>τ_cap = T_total × r² / √(L² + 2r²)</w:t>
      </w:r>
    </w:p>
    <w:p>
      <w:pPr>
        <w:spacing w:before="0" w:after="120"/>
      </w:pPr>
      <w:r>
        <w:rPr>
          <w:rFonts w:ascii="Calibri" w:hAnsi="Calibri"/>
          <w:b w:val="0"/>
          <w:i w:val="0"/>
          <w:color w:val="444F5A"/>
          <w:sz w:val="22"/>
        </w:rPr>
        <w:t>All 60 v3 islands converged to taper_ratio = 1.0 (cylindrical shaft).  With uniform ring spacing, a tapered shaft has high L/r at the thin end, creating an Euler buckling limit that forces cylindrical geometry.  The v3 10 kW winner is 15.435 kg — physically valid, but the cylindrical constraint is artificial.</w:t>
      </w:r>
    </w:p>
    <w:p>
      <w:pPr>
        <w:jc w:val="center"/>
      </w:pPr>
      <w:r>
        <w:drawing>
          <wp:inline xmlns:a="http://schemas.openxmlformats.org/drawingml/2006/main" xmlns:pic="http://schemas.openxmlformats.org/drawingml/2006/picture">
            <wp:extent cx="4572000" cy="2128800"/>
            <wp:docPr id="3" name="Picture 3"/>
            <wp:cNvGraphicFramePr>
              <a:graphicFrameLocks noChangeAspect="1"/>
            </wp:cNvGraphicFramePr>
            <a:graphic>
              <a:graphicData uri="http://schemas.openxmlformats.org/drawingml/2006/picture">
                <pic:pic>
                  <pic:nvPicPr>
                    <pic:cNvPr id="0" name="fig_tulloch_wacker_chart.png"/>
                    <pic:cNvPicPr/>
                  </pic:nvPicPr>
                  <pic:blipFill>
                    <a:blip r:embed="rId11"/>
                    <a:stretch>
                      <a:fillRect/>
                    </a:stretch>
                  </pic:blipFill>
                  <pic:spPr>
                    <a:xfrm>
                      <a:off x="0" y="0"/>
                      <a:ext cx="4572000" cy="2128800"/>
                    </a:xfrm>
                    <a:prstGeom prst="rect"/>
                  </pic:spPr>
                </pic:pic>
              </a:graphicData>
            </a:graphic>
          </wp:inline>
        </w:drawing>
      </w:r>
    </w:p>
    <w:p>
      <w:pPr>
        <w:spacing w:after="240"/>
        <w:jc w:val="center"/>
      </w:pPr>
      <w:r>
        <w:rPr>
          <w:rFonts w:ascii="Calibri" w:hAnsi="Calibri"/>
          <w:i/>
          <w:color w:val="444F5A"/>
          <w:sz w:val="18"/>
        </w:rPr>
        <w:t>Figure 3 — Tulloch/Wacker torsional stability criterion.  τ_cap ∝ r² / √(L² + 2r²).  Small ring radius is the dominant failure mode.</w:t>
      </w:r>
    </w:p>
    <w:p>
      <w:pPr>
        <w:pStyle w:val="Heading2"/>
      </w:pPr>
      <w:r>
        <w:rPr>
          <w:rFonts w:ascii="Calibri" w:hAnsi="Calibri"/>
          <w:b/>
          <w:color w:val="0D1B2A"/>
          <w:sz w:val="26"/>
        </w:rPr>
        <w:t>3.4  v4 — Geometric L/r ring spacing</w:t>
      </w:r>
    </w:p>
    <w:p>
      <w:pPr>
        <w:spacing w:before="0" w:after="120"/>
      </w:pPr>
      <w:r>
        <w:rPr>
          <w:rFonts w:ascii="Calibri" w:hAnsi="Calibri"/>
          <w:b w:val="0"/>
          <w:i w:val="0"/>
          <w:color w:val="444F5A"/>
          <w:sz w:val="22"/>
        </w:rPr>
        <w:t>The key insight from v3 is that uniform ring spacing penalises taper.  v4 replaced uniform spacing with geometric-series spacing that maintains a constant L/r ratio per segment (target_Lr parameter, 9th degree of freedom).  This allows the optimiser to use a tapered shaft — larger hub radius, smaller bottom radius — without incurring additional Euler buckling risk at the thin end.</w:t>
      </w:r>
    </w:p>
    <w:p>
      <w:pPr>
        <w:jc w:val="center"/>
      </w:pPr>
      <w:r>
        <w:drawing>
          <wp:inline xmlns:a="http://schemas.openxmlformats.org/drawingml/2006/main" xmlns:pic="http://schemas.openxmlformats.org/drawingml/2006/picture">
            <wp:extent cx="5029200" cy="4117334"/>
            <wp:docPr id="4" name="Picture 4"/>
            <wp:cNvGraphicFramePr>
              <a:graphicFrameLocks noChangeAspect="1"/>
            </wp:cNvGraphicFramePr>
            <a:graphic>
              <a:graphicData uri="http://schemas.openxmlformats.org/drawingml/2006/picture">
                <pic:pic>
                  <pic:nvPicPr>
                    <pic:cNvPr id="0" name="fig_ring_spacing_comparison.png"/>
                    <pic:cNvPicPr/>
                  </pic:nvPicPr>
                  <pic:blipFill>
                    <a:blip r:embed="rId12"/>
                    <a:stretch>
                      <a:fillRect/>
                    </a:stretch>
                  </pic:blipFill>
                  <pic:spPr>
                    <a:xfrm>
                      <a:off x="0" y="0"/>
                      <a:ext cx="5029200" cy="4117334"/>
                    </a:xfrm>
                    <a:prstGeom prst="rect"/>
                  </pic:spPr>
                </pic:pic>
              </a:graphicData>
            </a:graphic>
          </wp:inline>
        </w:drawing>
      </w:r>
    </w:p>
    <w:p>
      <w:pPr>
        <w:spacing w:after="240"/>
        <w:jc w:val="center"/>
      </w:pPr>
      <w:r>
        <w:rPr>
          <w:rFonts w:ascii="Calibri" w:hAnsi="Calibri"/>
          <w:i/>
          <w:color w:val="444F5A"/>
          <w:sz w:val="18"/>
        </w:rPr>
        <w:t>Figure 4 — Ring spacing comparison: uniform (v3, left) vs geometric L/r (v4, right).  Geometric spacing keeps L/r constant despite shaft taper, enabling lighter tapered designs.</w:t>
      </w:r>
    </w:p>
    <w:p>
      <w:pPr>
        <w:spacing w:before="0" w:after="120"/>
      </w:pPr>
      <w:r>
        <w:rPr>
          <w:rFonts w:ascii="Calibri" w:hAnsi="Calibri"/>
          <w:b w:val="0"/>
          <w:i w:val="0"/>
          <w:color w:val="444F5A"/>
          <w:sz w:val="22"/>
        </w:rPr>
        <w:t>v4 results: 10 kW winner 10.587 kg (−31.4 % vs v3).  n_lines = 8 selected unanimously.  target_Lr converged to 2.0 across the winning islands.</w:t>
      </w:r>
    </w:p>
    <w:p>
      <w:pPr>
        <w:jc w:val="center"/>
      </w:pPr>
      <w:r>
        <w:drawing>
          <wp:inline xmlns:a="http://schemas.openxmlformats.org/drawingml/2006/main" xmlns:pic="http://schemas.openxmlformats.org/drawingml/2006/picture">
            <wp:extent cx="5029200" cy="2311347"/>
            <wp:docPr id="5" name="Picture 5"/>
            <wp:cNvGraphicFramePr>
              <a:graphicFrameLocks noChangeAspect="1"/>
            </wp:cNvGraphicFramePr>
            <a:graphic>
              <a:graphicData uri="http://schemas.openxmlformats.org/drawingml/2006/picture">
                <pic:pic>
                  <pic:nvPicPr>
                    <pic:cNvPr id="0" name="fig_nlines_mass_curve.png"/>
                    <pic:cNvPicPr/>
                  </pic:nvPicPr>
                  <pic:blipFill>
                    <a:blip r:embed="rId13"/>
                    <a:stretch>
                      <a:fillRect/>
                    </a:stretch>
                  </pic:blipFill>
                  <pic:spPr>
                    <a:xfrm>
                      <a:off x="0" y="0"/>
                      <a:ext cx="5029200" cy="2311347"/>
                    </a:xfrm>
                    <a:prstGeom prst="rect"/>
                  </pic:spPr>
                </pic:pic>
              </a:graphicData>
            </a:graphic>
          </wp:inline>
        </w:drawing>
      </w:r>
    </w:p>
    <w:p>
      <w:pPr>
        <w:spacing w:after="240"/>
        <w:jc w:val="center"/>
      </w:pPr>
      <w:r>
        <w:rPr>
          <w:rFonts w:ascii="Calibri" w:hAnsi="Calibri"/>
          <w:i/>
          <w:color w:val="444F5A"/>
          <w:sz w:val="18"/>
        </w:rPr>
        <w:t>Figure 5 — Shaft mass vs n_lines for v4 and v5 campaigns overlaid.  Both campaigns show a clear minimum at n_lines = 8.</w:t>
      </w:r>
    </w:p>
    <w:p>
      <w:pPr>
        <w:pStyle w:val="Heading2"/>
      </w:pPr>
      <w:r>
        <w:rPr>
          <w:rFonts w:ascii="Calibri" w:hAnsi="Calibri"/>
          <w:b/>
          <w:color w:val="0D1B2A"/>
          <w:sz w:val="26"/>
        </w:rPr>
        <w:t>3.5  v5 — BEM-coupled rotor radius</w:t>
      </w:r>
    </w:p>
    <w:p>
      <w:pPr>
        <w:spacing w:before="0" w:after="120"/>
      </w:pPr>
      <w:r>
        <w:rPr>
          <w:rFonts w:ascii="Calibri" w:hAnsi="Calibri"/>
          <w:b w:val="0"/>
          <w:i w:val="0"/>
          <w:color w:val="444F5A"/>
          <w:sz w:val="22"/>
        </w:rPr>
        <w:t>v4 used a fixed rotor radius R (determined externally from power requirements).  v5 closes the aerodynamic coupling loop by deriving R self-consistently from n_lines via a Prandtl tip-loss BEM model:</w:t>
      </w:r>
    </w:p>
    <w:p>
      <w:pPr>
        <w:jc w:val="center"/>
      </w:pPr>
      <w:r>
        <w:rPr>
          <w:rFonts w:ascii="Courier New" w:hAnsi="Courier New"/>
          <w:color w:val="0D1B2A"/>
          <w:sz w:val="22"/>
        </w:rPr>
        <w:t>Cp(n_lines) = (16/27) × [1 − exp(−n_lines/2)] × 0.85</w:t>
      </w:r>
    </w:p>
    <w:p>
      <w:pPr>
        <w:spacing w:before="0" w:after="120"/>
      </w:pPr>
      <w:r>
        <w:rPr>
          <w:rFonts w:ascii="Calibri" w:hAnsi="Calibri"/>
          <w:b w:val="0"/>
          <w:i w:val="0"/>
          <w:color w:val="444F5A"/>
          <w:sz w:val="22"/>
        </w:rPr>
        <w:t>R is then computed from P = Cp × ½ρπR²v³.  This means the optimiser must account for the aerodynamic cost of each choice of n_lines: more lines → higher Cp → smaller R → lighter shaft, but also higher tether tension per unit area.  The self-consistent solution requires slightly larger R than v4 at 10 kW (5.12 m vs 5.0 m), adding +8.3 % to the 10 kW mass.  At 50 kW, BEM coupling dramatically improves accuracy and reduces mass by 51 %.</w:t>
      </w:r>
    </w:p>
    <w:p>
      <w:pPr>
        <w:jc w:val="center"/>
      </w:pPr>
      <w:r>
        <w:drawing>
          <wp:inline xmlns:a="http://schemas.openxmlformats.org/drawingml/2006/main" xmlns:pic="http://schemas.openxmlformats.org/drawingml/2006/picture">
            <wp:extent cx="4572000" cy="1949694"/>
            <wp:docPr id="6" name="Picture 6"/>
            <wp:cNvGraphicFramePr>
              <a:graphicFrameLocks noChangeAspect="1"/>
            </wp:cNvGraphicFramePr>
            <a:graphic>
              <a:graphicData uri="http://schemas.openxmlformats.org/drawingml/2006/picture">
                <pic:pic>
                  <pic:nvPicPr>
                    <pic:cNvPr id="0" name="fig_cp_contour.png"/>
                    <pic:cNvPicPr/>
                  </pic:nvPicPr>
                  <pic:blipFill>
                    <a:blip r:embed="rId14"/>
                    <a:stretch>
                      <a:fillRect/>
                    </a:stretch>
                  </pic:blipFill>
                  <pic:spPr>
                    <a:xfrm>
                      <a:off x="0" y="0"/>
                      <a:ext cx="4572000" cy="1949694"/>
                    </a:xfrm>
                    <a:prstGeom prst="rect"/>
                  </pic:spPr>
                </pic:pic>
              </a:graphicData>
            </a:graphic>
          </wp:inline>
        </w:drawing>
      </w:r>
    </w:p>
    <w:p>
      <w:pPr>
        <w:spacing w:after="240"/>
        <w:jc w:val="center"/>
      </w:pPr>
      <w:r>
        <w:rPr>
          <w:rFonts w:ascii="Calibri" w:hAnsi="Calibri"/>
          <w:i/>
          <w:color w:val="444F5A"/>
          <w:sz w:val="18"/>
        </w:rPr>
        <w:t>Figure 6 — BEM Cp as a function of n_lines and TSR.  The Prandtl tip-loss model shows diminishing returns above n_lines = 8.</w:t>
      </w:r>
    </w:p>
    <w:p>
      <w:pPr>
        <w:jc w:val="center"/>
      </w:pPr>
      <w:r>
        <w:drawing>
          <wp:inline xmlns:a="http://schemas.openxmlformats.org/drawingml/2006/main" xmlns:pic="http://schemas.openxmlformats.org/drawingml/2006/picture">
            <wp:extent cx="5029200" cy="2144664"/>
            <wp:docPr id="7" name="Picture 7"/>
            <wp:cNvGraphicFramePr>
              <a:graphicFrameLocks noChangeAspect="1"/>
            </wp:cNvGraphicFramePr>
            <a:graphic>
              <a:graphicData uri="http://schemas.openxmlformats.org/drawingml/2006/picture">
                <pic:pic>
                  <pic:nvPicPr>
                    <pic:cNvPr id="0" name="fig_bem_analysis.png"/>
                    <pic:cNvPicPr/>
                  </pic:nvPicPr>
                  <pic:blipFill>
                    <a:blip r:embed="rId15"/>
                    <a:stretch>
                      <a:fillRect/>
                    </a:stretch>
                  </pic:blipFill>
                  <pic:spPr>
                    <a:xfrm>
                      <a:off x="0" y="0"/>
                      <a:ext cx="5029200" cy="2144664"/>
                    </a:xfrm>
                    <a:prstGeom prst="rect"/>
                  </pic:spPr>
                </pic:pic>
              </a:graphicData>
            </a:graphic>
          </wp:inline>
        </w:drawing>
      </w:r>
    </w:p>
    <w:p>
      <w:pPr>
        <w:spacing w:after="240"/>
        <w:jc w:val="center"/>
      </w:pPr>
      <w:r>
        <w:rPr>
          <w:rFonts w:ascii="Calibri" w:hAnsi="Calibri"/>
          <w:i/>
          <w:color w:val="444F5A"/>
          <w:sz w:val="18"/>
        </w:rPr>
        <w:t>Figure 7 — BEM model analysis: rotor radius R and shaft mass vs n_lines under self-consistent aerodynamic coupling.</w:t>
      </w:r>
    </w:p>
    <w:p>
      <w:r>
        <w:br w:type="page"/>
      </w:r>
    </w:p>
    <w:p>
      <w:pPr>
        <w:pStyle w:val="Heading1"/>
      </w:pPr>
      <w:r>
        <w:rPr>
          <w:rFonts w:ascii="Calibri" w:hAnsi="Calibri"/>
          <w:b/>
          <w:color w:val="0D1B2A"/>
          <w:sz w:val="32"/>
        </w:rPr>
        <w:t>4  Structural Analysis</w:t>
      </w:r>
    </w:p>
    <w:p>
      <w:pPr>
        <w:pBdr>
          <w:bottom w:val="single" w:sz="6" w:space="1" w:color="D6E4ED"/>
        </w:pBdr>
        <w:spacing w:after="120"/>
      </w:pPr>
    </w:p>
    <w:p>
      <w:pPr>
        <w:pStyle w:val="Heading2"/>
      </w:pPr>
      <w:r>
        <w:rPr>
          <w:rFonts w:ascii="Calibri" w:hAnsi="Calibri"/>
          <w:b/>
          <w:color w:val="0D1B2A"/>
          <w:sz w:val="26"/>
        </w:rPr>
        <w:t>4.1  FOS profile and design space</w:t>
      </w:r>
    </w:p>
    <w:p>
      <w:pPr>
        <w:spacing w:before="0" w:after="120"/>
      </w:pPr>
      <w:r>
        <w:rPr>
          <w:rFonts w:ascii="Calibri" w:hAnsi="Calibri"/>
          <w:b w:val="0"/>
          <w:i w:val="0"/>
          <w:color w:val="444F5A"/>
          <w:sz w:val="22"/>
        </w:rPr>
        <w:t>The structural optimiser enforces two simultaneous feasibility constraints: Euler column buckling (FOS ≥ 1.8) and Tulloch torsional stability (FOS ≥ 1.5).  Both constraints are evaluated at every ring-to-ring segment.</w:t>
      </w:r>
    </w:p>
    <w:p>
      <w:pPr>
        <w:jc w:val="center"/>
      </w:pPr>
      <w:r>
        <w:drawing>
          <wp:inline xmlns:a="http://schemas.openxmlformats.org/drawingml/2006/main" xmlns:pic="http://schemas.openxmlformats.org/drawingml/2006/picture">
            <wp:extent cx="5029200" cy="5415052"/>
            <wp:docPr id="8" name="Picture 8"/>
            <wp:cNvGraphicFramePr>
              <a:graphicFrameLocks noChangeAspect="1"/>
            </wp:cNvGraphicFramePr>
            <a:graphic>
              <a:graphicData uri="http://schemas.openxmlformats.org/drawingml/2006/picture">
                <pic:pic>
                  <pic:nvPicPr>
                    <pic:cNvPr id="0" name="fig_structural_efficiency_profile.png"/>
                    <pic:cNvPicPr/>
                  </pic:nvPicPr>
                  <pic:blipFill>
                    <a:blip r:embed="rId16"/>
                    <a:stretch>
                      <a:fillRect/>
                    </a:stretch>
                  </pic:blipFill>
                  <pic:spPr>
                    <a:xfrm>
                      <a:off x="0" y="0"/>
                      <a:ext cx="5029200" cy="5415052"/>
                    </a:xfrm>
                    <a:prstGeom prst="rect"/>
                  </pic:spPr>
                </pic:pic>
              </a:graphicData>
            </a:graphic>
          </wp:inline>
        </w:drawing>
      </w:r>
    </w:p>
    <w:p>
      <w:pPr>
        <w:spacing w:after="240"/>
        <w:jc w:val="center"/>
      </w:pPr>
      <w:r>
        <w:rPr>
          <w:rFonts w:ascii="Calibri" w:hAnsi="Calibri"/>
          <w:i/>
          <w:color w:val="444F5A"/>
          <w:sz w:val="18"/>
        </w:rPr>
        <w:t>Figure 8 — FOS profile along the shaft length for the v5 10 kW winner.  Both Euler and torsional FOS are at or near their respective lower bounds, indicating a structurally efficient (not over-designed) solution.</w:t>
      </w:r>
    </w:p>
    <w:p>
      <w:pPr>
        <w:jc w:val="center"/>
      </w:pPr>
      <w:r>
        <w:drawing>
          <wp:inline xmlns:a="http://schemas.openxmlformats.org/drawingml/2006/main" xmlns:pic="http://schemas.openxmlformats.org/drawingml/2006/picture">
            <wp:extent cx="5029200" cy="2144664"/>
            <wp:docPr id="9" name="Picture 9"/>
            <wp:cNvGraphicFramePr>
              <a:graphicFrameLocks noChangeAspect="1"/>
            </wp:cNvGraphicFramePr>
            <a:graphic>
              <a:graphicData uri="http://schemas.openxmlformats.org/drawingml/2006/picture">
                <pic:pic>
                  <pic:nvPicPr>
                    <pic:cNvPr id="0" name="fig_fos_landscape.png"/>
                    <pic:cNvPicPr/>
                  </pic:nvPicPr>
                  <pic:blipFill>
                    <a:blip r:embed="rId17"/>
                    <a:stretch>
                      <a:fillRect/>
                    </a:stretch>
                  </pic:blipFill>
                  <pic:spPr>
                    <a:xfrm>
                      <a:off x="0" y="0"/>
                      <a:ext cx="5029200" cy="2144664"/>
                    </a:xfrm>
                    <a:prstGeom prst="rect"/>
                  </pic:spPr>
                </pic:pic>
              </a:graphicData>
            </a:graphic>
          </wp:inline>
        </w:drawing>
      </w:r>
    </w:p>
    <w:p>
      <w:pPr>
        <w:spacing w:after="240"/>
        <w:jc w:val="center"/>
      </w:pPr>
      <w:r>
        <w:rPr>
          <w:rFonts w:ascii="Calibri" w:hAnsi="Calibri"/>
          <w:i/>
          <w:color w:val="444F5A"/>
          <w:sz w:val="18"/>
        </w:rPr>
        <w:t>Figure 9 — Euler + torsional FOS landscape across the (r_hub, r_bottom) design space.  The feasible region is bounded by both constraints.</w:t>
      </w:r>
    </w:p>
    <w:p>
      <w:pPr>
        <w:jc w:val="center"/>
      </w:pPr>
      <w:r>
        <w:drawing>
          <wp:inline xmlns:a="http://schemas.openxmlformats.org/drawingml/2006/main" xmlns:pic="http://schemas.openxmlformats.org/drawingml/2006/picture">
            <wp:extent cx="4572000" cy="1949694"/>
            <wp:docPr id="10" name="Picture 10"/>
            <wp:cNvGraphicFramePr>
              <a:graphicFrameLocks noChangeAspect="1"/>
            </wp:cNvGraphicFramePr>
            <a:graphic>
              <a:graphicData uri="http://schemas.openxmlformats.org/drawingml/2006/picture">
                <pic:pic>
                  <pic:nvPicPr>
                    <pic:cNvPr id="0" name="fig_design_space.png"/>
                    <pic:cNvPicPr/>
                  </pic:nvPicPr>
                  <pic:blipFill>
                    <a:blip r:embed="rId18"/>
                    <a:stretch>
                      <a:fillRect/>
                    </a:stretch>
                  </pic:blipFill>
                  <pic:spPr>
                    <a:xfrm>
                      <a:off x="0" y="0"/>
                      <a:ext cx="4572000" cy="1949694"/>
                    </a:xfrm>
                    <a:prstGeom prst="rect"/>
                  </pic:spPr>
                </pic:pic>
              </a:graphicData>
            </a:graphic>
          </wp:inline>
        </w:drawing>
      </w:r>
    </w:p>
    <w:p>
      <w:pPr>
        <w:spacing w:after="240"/>
        <w:jc w:val="center"/>
      </w:pPr>
      <w:r>
        <w:rPr>
          <w:rFonts w:ascii="Calibri" w:hAnsi="Calibri"/>
          <w:i/>
          <w:color w:val="444F5A"/>
          <w:sz w:val="18"/>
        </w:rPr>
        <w:t>Figure 10 — Feasible region in (r_hub, r_bottom) space.  The optimum lies in the corner where both constraints are simultaneously active.</w:t>
      </w:r>
    </w:p>
    <w:p>
      <w:pPr>
        <w:pStyle w:val="Heading2"/>
      </w:pPr>
      <w:r>
        <w:rPr>
          <w:rFonts w:ascii="Calibri" w:hAnsi="Calibri"/>
          <w:b/>
          <w:color w:val="0D1B2A"/>
          <w:sz w:val="26"/>
        </w:rPr>
        <w:t>4.2  Campaign geometry evolution</w:t>
      </w:r>
    </w:p>
    <w:p>
      <w:pPr>
        <w:jc w:val="center"/>
      </w:pPr>
      <w:r>
        <w:drawing>
          <wp:inline xmlns:a="http://schemas.openxmlformats.org/drawingml/2006/main" xmlns:pic="http://schemas.openxmlformats.org/drawingml/2006/picture">
            <wp:extent cx="5029200" cy="3126638"/>
            <wp:docPr id="11" name="Picture 11"/>
            <wp:cNvGraphicFramePr>
              <a:graphicFrameLocks noChangeAspect="1"/>
            </wp:cNvGraphicFramePr>
            <a:graphic>
              <a:graphicData uri="http://schemas.openxmlformats.org/drawingml/2006/picture">
                <pic:pic>
                  <pic:nvPicPr>
                    <pic:cNvPr id="0" name="fig_campaign_geometry_evolution.png"/>
                    <pic:cNvPicPr/>
                  </pic:nvPicPr>
                  <pic:blipFill>
                    <a:blip r:embed="rId19"/>
                    <a:stretch>
                      <a:fillRect/>
                    </a:stretch>
                  </pic:blipFill>
                  <pic:spPr>
                    <a:xfrm>
                      <a:off x="0" y="0"/>
                      <a:ext cx="5029200" cy="3126638"/>
                    </a:xfrm>
                    <a:prstGeom prst="rect"/>
                  </pic:spPr>
                </pic:pic>
              </a:graphicData>
            </a:graphic>
          </wp:inline>
        </w:drawing>
      </w:r>
    </w:p>
    <w:p>
      <w:pPr>
        <w:spacing w:after="240"/>
        <w:jc w:val="center"/>
      </w:pPr>
      <w:r>
        <w:rPr>
          <w:rFonts w:ascii="Calibri" w:hAnsi="Calibri"/>
          <w:i/>
          <w:color w:val="444F5A"/>
          <w:sz w:val="18"/>
        </w:rPr>
        <w:t>Figure 11 — Winning shaft geometry across v2–v5.  The shift from the near-cylindrical v3 geometry to the tapered v4/v5 geometry is clearly visible.</w:t>
      </w:r>
    </w:p>
    <w:p>
      <w:pPr>
        <w:pStyle w:val="Heading2"/>
      </w:pPr>
      <w:r>
        <w:rPr>
          <w:rFonts w:ascii="Calibri" w:hAnsi="Calibri"/>
          <w:b/>
          <w:color w:val="0D1B2A"/>
          <w:sz w:val="26"/>
        </w:rPr>
        <w:t>4.3  Elevation angle trade-off</w:t>
      </w:r>
    </w:p>
    <w:p>
      <w:pPr>
        <w:jc w:val="center"/>
      </w:pPr>
      <w:r>
        <w:drawing>
          <wp:inline xmlns:a="http://schemas.openxmlformats.org/drawingml/2006/main" xmlns:pic="http://schemas.openxmlformats.org/drawingml/2006/picture">
            <wp:extent cx="5029200" cy="2311347"/>
            <wp:docPr id="12" name="Picture 12"/>
            <wp:cNvGraphicFramePr>
              <a:graphicFrameLocks noChangeAspect="1"/>
            </wp:cNvGraphicFramePr>
            <a:graphic>
              <a:graphicData uri="http://schemas.openxmlformats.org/drawingml/2006/picture">
                <pic:pic>
                  <pic:nvPicPr>
                    <pic:cNvPr id="0" name="fig_elevation_angle_trade.png"/>
                    <pic:cNvPicPr/>
                  </pic:nvPicPr>
                  <pic:blipFill>
                    <a:blip r:embed="rId20"/>
                    <a:stretch>
                      <a:fillRect/>
                    </a:stretch>
                  </pic:blipFill>
                  <pic:spPr>
                    <a:xfrm>
                      <a:off x="0" y="0"/>
                      <a:ext cx="5029200" cy="2311347"/>
                    </a:xfrm>
                    <a:prstGeom prst="rect"/>
                  </pic:spPr>
                </pic:pic>
              </a:graphicData>
            </a:graphic>
          </wp:inline>
        </w:drawing>
      </w:r>
    </w:p>
    <w:p>
      <w:pPr>
        <w:spacing w:after="240"/>
        <w:jc w:val="center"/>
      </w:pPr>
      <w:r>
        <w:rPr>
          <w:rFonts w:ascii="Calibri" w:hAnsi="Calibri"/>
          <w:i/>
          <w:color w:val="444F5A"/>
          <w:sz w:val="18"/>
        </w:rPr>
        <w:t>Figure 12 — Shaft mass and aerodynamic performance vs elevation angle β.  β = 30° was used throughout v2–v5; the optimum is estimated near 26°.</w:t>
      </w:r>
    </w:p>
    <w:p>
      <w:r>
        <w:br w:type="page"/>
      </w:r>
    </w:p>
    <w:p>
      <w:pPr>
        <w:pStyle w:val="Heading1"/>
      </w:pPr>
      <w:r>
        <w:rPr>
          <w:rFonts w:ascii="Calibri" w:hAnsi="Calibri"/>
          <w:b/>
          <w:color w:val="0D1B2A"/>
          <w:sz w:val="32"/>
        </w:rPr>
        <w:t>5  Winning Designs — v5 Reference</w:t>
      </w:r>
    </w:p>
    <w:p>
      <w:pPr>
        <w:pBdr>
          <w:bottom w:val="single" w:sz="6" w:space="1" w:color="D6E4ED"/>
        </w:pBdr>
        <w:spacing w:after="120"/>
      </w:pPr>
    </w:p>
    <w:p>
      <w:pPr>
        <w:pStyle w:val="Heading2"/>
      </w:pPr>
      <w:r>
        <w:rPr>
          <w:rFonts w:ascii="Calibri" w:hAnsi="Calibri"/>
          <w:b/>
          <w:color w:val="0D1B2A"/>
          <w:sz w:val="26"/>
        </w:rPr>
        <w:t>5.1  10 kW winner</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0D1B2A"/>
          </w:tcPr>
          <w:p>
            <w:pPr>
              <w:jc w:val="center"/>
            </w:pPr>
            <w:r>
              <w:rPr>
                <w:rFonts w:ascii="Calibri" w:hAnsi="Calibri"/>
                <w:b/>
                <w:color w:val="FFFFFF"/>
                <w:sz w:val="20"/>
              </w:rPr>
              <w:t>Parameter</w:t>
            </w:r>
          </w:p>
        </w:tc>
        <w:tc>
          <w:tcPr>
            <w:tcW w:type="dxa" w:w="5760"/>
            <w:shd w:val="clear" w:color="auto" w:fill="0D1B2A"/>
          </w:tcPr>
          <w:p>
            <w:pPr>
              <w:jc w:val="center"/>
            </w:pPr>
            <w:r>
              <w:rPr>
                <w:rFonts w:ascii="Calibri" w:hAnsi="Calibri"/>
                <w:b/>
                <w:color w:val="FFFFFF"/>
                <w:sz w:val="20"/>
              </w:rPr>
              <w:t>Value</w:t>
            </w:r>
          </w:p>
        </w:tc>
      </w:tr>
      <w:tr>
        <w:tc>
          <w:tcPr>
            <w:tcW w:type="dxa" w:w="4536"/>
            <w:shd w:val="clear" w:color="auto" w:fill="F0F4F8"/>
          </w:tcPr>
          <w:p>
            <w:pPr>
              <w:jc w:val="center"/>
            </w:pPr>
            <w:r>
              <w:rPr>
                <w:rFonts w:ascii="Calibri" w:hAnsi="Calibri"/>
                <w:b w:val="0"/>
                <w:color w:val="444F5A"/>
                <w:sz w:val="20"/>
              </w:rPr>
              <w:t>n_lines</w:t>
            </w:r>
          </w:p>
        </w:tc>
        <w:tc>
          <w:tcPr>
            <w:tcW w:type="dxa" w:w="4536"/>
            <w:shd w:val="clear" w:color="auto" w:fill="F0F4F8"/>
          </w:tcPr>
          <w:p>
            <w:pPr>
              <w:jc w:val="center"/>
            </w:pPr>
            <w:r>
              <w:rPr>
                <w:rFonts w:ascii="Calibri" w:hAnsi="Calibri"/>
                <w:b w:val="0"/>
                <w:color w:val="444F5A"/>
                <w:sz w:val="20"/>
              </w:rPr>
              <w:t>8</w:t>
            </w:r>
          </w:p>
        </w:tc>
      </w:tr>
      <w:tr>
        <w:tc>
          <w:tcPr>
            <w:tcW w:type="dxa" w:w="4536"/>
            <w:shd w:val="clear" w:color="auto" w:fill="FFFFFF"/>
          </w:tcPr>
          <w:p>
            <w:pPr>
              <w:jc w:val="center"/>
            </w:pPr>
            <w:r>
              <w:rPr>
                <w:rFonts w:ascii="Calibri" w:hAnsi="Calibri"/>
                <w:b w:val="0"/>
                <w:color w:val="444F5A"/>
                <w:sz w:val="20"/>
              </w:rPr>
              <w:t>mass_kg</w:t>
            </w:r>
          </w:p>
        </w:tc>
        <w:tc>
          <w:tcPr>
            <w:tcW w:type="dxa" w:w="4536"/>
            <w:shd w:val="clear" w:color="auto" w:fill="FFFFFF"/>
          </w:tcPr>
          <w:p>
            <w:pPr>
              <w:jc w:val="center"/>
            </w:pPr>
            <w:r>
              <w:rPr>
                <w:rFonts w:ascii="Calibri" w:hAnsi="Calibri"/>
                <w:b w:val="0"/>
                <w:color w:val="444F5A"/>
                <w:sz w:val="20"/>
              </w:rPr>
              <w:t>11.470 kg</w:t>
            </w:r>
          </w:p>
        </w:tc>
      </w:tr>
      <w:tr>
        <w:tc>
          <w:tcPr>
            <w:tcW w:type="dxa" w:w="4536"/>
            <w:shd w:val="clear" w:color="auto" w:fill="F0F4F8"/>
          </w:tcPr>
          <w:p>
            <w:pPr>
              <w:jc w:val="center"/>
            </w:pPr>
            <w:r>
              <w:rPr>
                <w:rFonts w:ascii="Calibri" w:hAnsi="Calibri"/>
                <w:b w:val="0"/>
                <w:color w:val="444F5A"/>
                <w:sz w:val="20"/>
              </w:rPr>
              <w:t>r_hub_m</w:t>
            </w:r>
          </w:p>
        </w:tc>
        <w:tc>
          <w:tcPr>
            <w:tcW w:type="dxa" w:w="4536"/>
            <w:shd w:val="clear" w:color="auto" w:fill="F0F4F8"/>
          </w:tcPr>
          <w:p>
            <w:pPr>
              <w:jc w:val="center"/>
            </w:pPr>
            <w:r>
              <w:rPr>
                <w:rFonts w:ascii="Calibri" w:hAnsi="Calibri"/>
                <w:b w:val="0"/>
                <w:color w:val="444F5A"/>
                <w:sz w:val="20"/>
              </w:rPr>
              <w:t>1.600 m</w:t>
            </w:r>
          </w:p>
        </w:tc>
      </w:tr>
      <w:tr>
        <w:tc>
          <w:tcPr>
            <w:tcW w:type="dxa" w:w="4536"/>
            <w:shd w:val="clear" w:color="auto" w:fill="FFFFFF"/>
          </w:tcPr>
          <w:p>
            <w:pPr>
              <w:jc w:val="center"/>
            </w:pPr>
            <w:r>
              <w:rPr>
                <w:rFonts w:ascii="Calibri" w:hAnsi="Calibri"/>
                <w:b w:val="0"/>
                <w:color w:val="444F5A"/>
                <w:sz w:val="20"/>
              </w:rPr>
              <w:t>r_bottom_m</w:t>
            </w:r>
          </w:p>
        </w:tc>
        <w:tc>
          <w:tcPr>
            <w:tcW w:type="dxa" w:w="4536"/>
            <w:shd w:val="clear" w:color="auto" w:fill="FFFFFF"/>
          </w:tcPr>
          <w:p>
            <w:pPr>
              <w:jc w:val="center"/>
            </w:pPr>
            <w:r>
              <w:rPr>
                <w:rFonts w:ascii="Calibri" w:hAnsi="Calibri"/>
                <w:b w:val="0"/>
                <w:color w:val="444F5A"/>
                <w:sz w:val="20"/>
              </w:rPr>
              <w:t>0.336 m</w:t>
            </w:r>
          </w:p>
        </w:tc>
      </w:tr>
      <w:tr>
        <w:tc>
          <w:tcPr>
            <w:tcW w:type="dxa" w:w="4536"/>
            <w:shd w:val="clear" w:color="auto" w:fill="F0F4F8"/>
          </w:tcPr>
          <w:p>
            <w:pPr>
              <w:jc w:val="center"/>
            </w:pPr>
            <w:r>
              <w:rPr>
                <w:rFonts w:ascii="Calibri" w:hAnsi="Calibri"/>
                <w:b w:val="0"/>
                <w:color w:val="444F5A"/>
                <w:sz w:val="20"/>
              </w:rPr>
              <w:t>taper_ratio</w:t>
            </w:r>
          </w:p>
        </w:tc>
        <w:tc>
          <w:tcPr>
            <w:tcW w:type="dxa" w:w="4536"/>
            <w:shd w:val="clear" w:color="auto" w:fill="F0F4F8"/>
          </w:tcPr>
          <w:p>
            <w:pPr>
              <w:jc w:val="center"/>
            </w:pPr>
            <w:r>
              <w:rPr>
                <w:rFonts w:ascii="Calibri" w:hAnsi="Calibri"/>
                <w:b w:val="0"/>
                <w:color w:val="444F5A"/>
                <w:sz w:val="20"/>
              </w:rPr>
              <w:t>0.210</w:t>
            </w:r>
          </w:p>
        </w:tc>
      </w:tr>
      <w:tr>
        <w:tc>
          <w:tcPr>
            <w:tcW w:type="dxa" w:w="4536"/>
            <w:shd w:val="clear" w:color="auto" w:fill="FFFFFF"/>
          </w:tcPr>
          <w:p>
            <w:pPr>
              <w:jc w:val="center"/>
            </w:pPr>
            <w:r>
              <w:rPr>
                <w:rFonts w:ascii="Calibri" w:hAnsi="Calibri"/>
                <w:b w:val="0"/>
                <w:color w:val="444F5A"/>
                <w:sz w:val="20"/>
              </w:rPr>
              <w:t>target_Lr</w:t>
            </w:r>
          </w:p>
        </w:tc>
        <w:tc>
          <w:tcPr>
            <w:tcW w:type="dxa" w:w="4536"/>
            <w:shd w:val="clear" w:color="auto" w:fill="FFFFFF"/>
          </w:tcPr>
          <w:p>
            <w:pPr>
              <w:jc w:val="center"/>
            </w:pPr>
            <w:r>
              <w:rPr>
                <w:rFonts w:ascii="Calibri" w:hAnsi="Calibri"/>
                <w:b w:val="0"/>
                <w:color w:val="444F5A"/>
                <w:sz w:val="20"/>
              </w:rPr>
              <w:t>2.00</w:t>
            </w:r>
          </w:p>
        </w:tc>
      </w:tr>
      <w:tr>
        <w:tc>
          <w:tcPr>
            <w:tcW w:type="dxa" w:w="4536"/>
            <w:shd w:val="clear" w:color="auto" w:fill="F0F4F8"/>
          </w:tcPr>
          <w:p>
            <w:pPr>
              <w:jc w:val="center"/>
            </w:pPr>
            <w:r>
              <w:rPr>
                <w:rFonts w:ascii="Calibri" w:hAnsi="Calibri"/>
                <w:b w:val="0"/>
                <w:color w:val="444F5A"/>
                <w:sz w:val="20"/>
              </w:rPr>
              <w:t>tether_length</w:t>
            </w:r>
          </w:p>
        </w:tc>
        <w:tc>
          <w:tcPr>
            <w:tcW w:type="dxa" w:w="4536"/>
            <w:shd w:val="clear" w:color="auto" w:fill="F0F4F8"/>
          </w:tcPr>
          <w:p>
            <w:pPr>
              <w:jc w:val="center"/>
            </w:pPr>
            <w:r>
              <w:rPr>
                <w:rFonts w:ascii="Calibri" w:hAnsi="Calibri"/>
                <w:b w:val="0"/>
                <w:color w:val="444F5A"/>
                <w:sz w:val="20"/>
              </w:rPr>
              <w:t>30.0 m</w:t>
            </w:r>
          </w:p>
        </w:tc>
      </w:tr>
      <w:tr>
        <w:tc>
          <w:tcPr>
            <w:tcW w:type="dxa" w:w="4536"/>
            <w:shd w:val="clear" w:color="auto" w:fill="FFFFFF"/>
          </w:tcPr>
          <w:p>
            <w:pPr>
              <w:jc w:val="center"/>
            </w:pPr>
            <w:r>
              <w:rPr>
                <w:rFonts w:ascii="Calibri" w:hAnsi="Calibri"/>
                <w:b w:val="0"/>
                <w:color w:val="444F5A"/>
                <w:sz w:val="20"/>
              </w:rPr>
              <w:t>Do_top_m</w:t>
            </w:r>
          </w:p>
        </w:tc>
        <w:tc>
          <w:tcPr>
            <w:tcW w:type="dxa" w:w="4536"/>
            <w:shd w:val="clear" w:color="auto" w:fill="FFFFFF"/>
          </w:tcPr>
          <w:p>
            <w:pPr>
              <w:jc w:val="center"/>
            </w:pPr>
            <w:r>
              <w:rPr>
                <w:rFonts w:ascii="Calibri" w:hAnsi="Calibri"/>
                <w:b w:val="0"/>
                <w:color w:val="444F5A"/>
                <w:sz w:val="20"/>
              </w:rPr>
              <w:t>40.9 mm</w:t>
            </w:r>
          </w:p>
        </w:tc>
      </w:tr>
      <w:tr>
        <w:tc>
          <w:tcPr>
            <w:tcW w:type="dxa" w:w="4536"/>
            <w:shd w:val="clear" w:color="auto" w:fill="F0F4F8"/>
          </w:tcPr>
          <w:p>
            <w:pPr>
              <w:jc w:val="center"/>
            </w:pPr>
            <w:r>
              <w:rPr>
                <w:rFonts w:ascii="Calibri" w:hAnsi="Calibri"/>
                <w:b w:val="0"/>
                <w:color w:val="444F5A"/>
                <w:sz w:val="20"/>
              </w:rPr>
              <w:t>t_over_D</w:t>
            </w:r>
          </w:p>
        </w:tc>
        <w:tc>
          <w:tcPr>
            <w:tcW w:type="dxa" w:w="4536"/>
            <w:shd w:val="clear" w:color="auto" w:fill="F0F4F8"/>
          </w:tcPr>
          <w:p>
            <w:pPr>
              <w:jc w:val="center"/>
            </w:pPr>
            <w:r>
              <w:rPr>
                <w:rFonts w:ascii="Calibri" w:hAnsi="Calibri"/>
                <w:b w:val="0"/>
                <w:color w:val="444F5A"/>
                <w:sz w:val="20"/>
              </w:rPr>
              <w:t>0.020</w:t>
            </w:r>
          </w:p>
        </w:tc>
      </w:tr>
      <w:tr>
        <w:tc>
          <w:tcPr>
            <w:tcW w:type="dxa" w:w="4536"/>
            <w:shd w:val="clear" w:color="auto" w:fill="FFFFFF"/>
          </w:tcPr>
          <w:p>
            <w:pPr>
              <w:jc w:val="center"/>
            </w:pPr>
            <w:r>
              <w:rPr>
                <w:rFonts w:ascii="Calibri" w:hAnsi="Calibri"/>
                <w:b w:val="0"/>
                <w:color w:val="444F5A"/>
                <w:sz w:val="20"/>
              </w:rPr>
              <w:t>min_fos</w:t>
            </w:r>
          </w:p>
        </w:tc>
        <w:tc>
          <w:tcPr>
            <w:tcW w:type="dxa" w:w="4536"/>
            <w:shd w:val="clear" w:color="auto" w:fill="FFFFFF"/>
          </w:tcPr>
          <w:p>
            <w:pPr>
              <w:jc w:val="center"/>
            </w:pPr>
            <w:r>
              <w:rPr>
                <w:rFonts w:ascii="Calibri" w:hAnsi="Calibri"/>
                <w:b w:val="0"/>
                <w:color w:val="444F5A"/>
                <w:sz w:val="20"/>
              </w:rPr>
              <w:t>1.800 (Euler + torsional)</w:t>
            </w:r>
          </w:p>
        </w:tc>
      </w:tr>
    </w:tbl>
    <w:p/>
    <w:p>
      <w:pPr>
        <w:pStyle w:val="Heading2"/>
      </w:pPr>
      <w:r>
        <w:rPr>
          <w:rFonts w:ascii="Calibri" w:hAnsi="Calibri"/>
          <w:b/>
          <w:color w:val="0D1B2A"/>
          <w:sz w:val="26"/>
        </w:rPr>
        <w:t>5.2  50 kW winner</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0D1B2A"/>
          </w:tcPr>
          <w:p>
            <w:pPr>
              <w:jc w:val="center"/>
            </w:pPr>
            <w:r>
              <w:rPr>
                <w:rFonts w:ascii="Calibri" w:hAnsi="Calibri"/>
                <w:b/>
                <w:color w:val="FFFFFF"/>
                <w:sz w:val="20"/>
              </w:rPr>
              <w:t>Parameter</w:t>
            </w:r>
          </w:p>
        </w:tc>
        <w:tc>
          <w:tcPr>
            <w:tcW w:type="dxa" w:w="5760"/>
            <w:shd w:val="clear" w:color="auto" w:fill="0D1B2A"/>
          </w:tcPr>
          <w:p>
            <w:pPr>
              <w:jc w:val="center"/>
            </w:pPr>
            <w:r>
              <w:rPr>
                <w:rFonts w:ascii="Calibri" w:hAnsi="Calibri"/>
                <w:b/>
                <w:color w:val="FFFFFF"/>
                <w:sz w:val="20"/>
              </w:rPr>
              <w:t>Value</w:t>
            </w:r>
          </w:p>
        </w:tc>
      </w:tr>
      <w:tr>
        <w:tc>
          <w:tcPr>
            <w:tcW w:type="dxa" w:w="4536"/>
            <w:shd w:val="clear" w:color="auto" w:fill="F0F4F8"/>
          </w:tcPr>
          <w:p>
            <w:pPr>
              <w:jc w:val="center"/>
            </w:pPr>
            <w:r>
              <w:rPr>
                <w:rFonts w:ascii="Calibri" w:hAnsi="Calibri"/>
                <w:b w:val="0"/>
                <w:color w:val="444F5A"/>
                <w:sz w:val="20"/>
              </w:rPr>
              <w:t>n_lines</w:t>
            </w:r>
          </w:p>
        </w:tc>
        <w:tc>
          <w:tcPr>
            <w:tcW w:type="dxa" w:w="4536"/>
            <w:shd w:val="clear" w:color="auto" w:fill="F0F4F8"/>
          </w:tcPr>
          <w:p>
            <w:pPr>
              <w:jc w:val="center"/>
            </w:pPr>
            <w:r>
              <w:rPr>
                <w:rFonts w:ascii="Calibri" w:hAnsi="Calibri"/>
                <w:b w:val="0"/>
                <w:color w:val="444F5A"/>
                <w:sz w:val="20"/>
              </w:rPr>
              <w:t>8</w:t>
            </w:r>
          </w:p>
        </w:tc>
      </w:tr>
      <w:tr>
        <w:tc>
          <w:tcPr>
            <w:tcW w:type="dxa" w:w="4536"/>
            <w:shd w:val="clear" w:color="auto" w:fill="FFFFFF"/>
          </w:tcPr>
          <w:p>
            <w:pPr>
              <w:jc w:val="center"/>
            </w:pPr>
            <w:r>
              <w:rPr>
                <w:rFonts w:ascii="Calibri" w:hAnsi="Calibri"/>
                <w:b w:val="0"/>
                <w:color w:val="444F5A"/>
                <w:sz w:val="20"/>
              </w:rPr>
              <w:t>mass_kg</w:t>
            </w:r>
          </w:p>
        </w:tc>
        <w:tc>
          <w:tcPr>
            <w:tcW w:type="dxa" w:w="4536"/>
            <w:shd w:val="clear" w:color="auto" w:fill="FFFFFF"/>
          </w:tcPr>
          <w:p>
            <w:pPr>
              <w:jc w:val="center"/>
            </w:pPr>
            <w:r>
              <w:rPr>
                <w:rFonts w:ascii="Calibri" w:hAnsi="Calibri"/>
                <w:b w:val="0"/>
                <w:color w:val="444F5A"/>
                <w:sz w:val="20"/>
              </w:rPr>
              <w:t>39.295 kg</w:t>
            </w:r>
          </w:p>
        </w:tc>
      </w:tr>
      <w:tr>
        <w:tc>
          <w:tcPr>
            <w:tcW w:type="dxa" w:w="4536"/>
            <w:shd w:val="clear" w:color="auto" w:fill="F0F4F8"/>
          </w:tcPr>
          <w:p>
            <w:pPr>
              <w:jc w:val="center"/>
            </w:pPr>
            <w:r>
              <w:rPr>
                <w:rFonts w:ascii="Calibri" w:hAnsi="Calibri"/>
                <w:b w:val="0"/>
                <w:color w:val="444F5A"/>
                <w:sz w:val="20"/>
              </w:rPr>
              <w:t>r_hub_m</w:t>
            </w:r>
          </w:p>
        </w:tc>
        <w:tc>
          <w:tcPr>
            <w:tcW w:type="dxa" w:w="4536"/>
            <w:shd w:val="clear" w:color="auto" w:fill="F0F4F8"/>
          </w:tcPr>
          <w:p>
            <w:pPr>
              <w:jc w:val="center"/>
            </w:pPr>
            <w:r>
              <w:rPr>
                <w:rFonts w:ascii="Calibri" w:hAnsi="Calibri"/>
                <w:b w:val="0"/>
                <w:color w:val="444F5A"/>
                <w:sz w:val="20"/>
              </w:rPr>
              <w:t>3.578 m</w:t>
            </w:r>
          </w:p>
        </w:tc>
      </w:tr>
      <w:tr>
        <w:tc>
          <w:tcPr>
            <w:tcW w:type="dxa" w:w="4536"/>
            <w:shd w:val="clear" w:color="auto" w:fill="FFFFFF"/>
          </w:tcPr>
          <w:p>
            <w:pPr>
              <w:jc w:val="center"/>
            </w:pPr>
            <w:r>
              <w:rPr>
                <w:rFonts w:ascii="Calibri" w:hAnsi="Calibri"/>
                <w:b w:val="0"/>
                <w:color w:val="444F5A"/>
                <w:sz w:val="20"/>
              </w:rPr>
              <w:t>r_bottom_m</w:t>
            </w:r>
          </w:p>
        </w:tc>
        <w:tc>
          <w:tcPr>
            <w:tcW w:type="dxa" w:w="4536"/>
            <w:shd w:val="clear" w:color="auto" w:fill="FFFFFF"/>
          </w:tcPr>
          <w:p>
            <w:pPr>
              <w:jc w:val="center"/>
            </w:pPr>
            <w:r>
              <w:rPr>
                <w:rFonts w:ascii="Calibri" w:hAnsi="Calibri"/>
                <w:b w:val="0"/>
                <w:color w:val="444F5A"/>
                <w:sz w:val="20"/>
              </w:rPr>
              <w:t>0.300 m</w:t>
            </w:r>
          </w:p>
        </w:tc>
      </w:tr>
      <w:tr>
        <w:tc>
          <w:tcPr>
            <w:tcW w:type="dxa" w:w="4536"/>
            <w:shd w:val="clear" w:color="auto" w:fill="F0F4F8"/>
          </w:tcPr>
          <w:p>
            <w:pPr>
              <w:jc w:val="center"/>
            </w:pPr>
            <w:r>
              <w:rPr>
                <w:rFonts w:ascii="Calibri" w:hAnsi="Calibri"/>
                <w:b w:val="0"/>
                <w:color w:val="444F5A"/>
                <w:sz w:val="20"/>
              </w:rPr>
              <w:t>tether_length</w:t>
            </w:r>
          </w:p>
        </w:tc>
        <w:tc>
          <w:tcPr>
            <w:tcW w:type="dxa" w:w="4536"/>
            <w:shd w:val="clear" w:color="auto" w:fill="F0F4F8"/>
          </w:tcPr>
          <w:p>
            <w:pPr>
              <w:jc w:val="center"/>
            </w:pPr>
            <w:r>
              <w:rPr>
                <w:rFonts w:ascii="Calibri" w:hAnsi="Calibri"/>
                <w:b w:val="0"/>
                <w:color w:val="444F5A"/>
                <w:sz w:val="20"/>
              </w:rPr>
              <w:t>67.08 m</w:t>
            </w:r>
          </w:p>
        </w:tc>
      </w:tr>
      <w:tr>
        <w:tc>
          <w:tcPr>
            <w:tcW w:type="dxa" w:w="4536"/>
            <w:shd w:val="clear" w:color="auto" w:fill="FFFFFF"/>
          </w:tcPr>
          <w:p>
            <w:pPr>
              <w:jc w:val="center"/>
            </w:pPr>
            <w:r>
              <w:rPr>
                <w:rFonts w:ascii="Calibri" w:hAnsi="Calibri"/>
                <w:b w:val="0"/>
                <w:color w:val="444F5A"/>
                <w:sz w:val="20"/>
              </w:rPr>
              <w:t>Do_top_m</w:t>
            </w:r>
          </w:p>
        </w:tc>
        <w:tc>
          <w:tcPr>
            <w:tcW w:type="dxa" w:w="4536"/>
            <w:shd w:val="clear" w:color="auto" w:fill="FFFFFF"/>
          </w:tcPr>
          <w:p>
            <w:pPr>
              <w:jc w:val="center"/>
            </w:pPr>
            <w:r>
              <w:rPr>
                <w:rFonts w:ascii="Calibri" w:hAnsi="Calibri"/>
                <w:b w:val="0"/>
                <w:color w:val="444F5A"/>
                <w:sz w:val="20"/>
              </w:rPr>
              <w:t>58.6 mm</w:t>
            </w:r>
          </w:p>
        </w:tc>
      </w:tr>
      <w:tr>
        <w:tc>
          <w:tcPr>
            <w:tcW w:type="dxa" w:w="4536"/>
            <w:shd w:val="clear" w:color="auto" w:fill="F0F4F8"/>
          </w:tcPr>
          <w:p>
            <w:pPr>
              <w:jc w:val="center"/>
            </w:pPr>
            <w:r>
              <w:rPr>
                <w:rFonts w:ascii="Calibri" w:hAnsi="Calibri"/>
                <w:b w:val="0"/>
                <w:color w:val="444F5A"/>
                <w:sz w:val="20"/>
              </w:rPr>
              <w:t>min_fos</w:t>
            </w:r>
          </w:p>
        </w:tc>
        <w:tc>
          <w:tcPr>
            <w:tcW w:type="dxa" w:w="4536"/>
            <w:shd w:val="clear" w:color="auto" w:fill="F0F4F8"/>
          </w:tcPr>
          <w:p>
            <w:pPr>
              <w:jc w:val="center"/>
            </w:pPr>
            <w:r>
              <w:rPr>
                <w:rFonts w:ascii="Calibri" w:hAnsi="Calibri"/>
                <w:b w:val="0"/>
                <w:color w:val="444F5A"/>
                <w:sz w:val="20"/>
              </w:rPr>
              <w:t>1.800 (Euler + torsional)</w:t>
            </w:r>
          </w:p>
        </w:tc>
      </w:tr>
    </w:tbl>
    <w:p/>
    <w:p>
      <w:r>
        <w:br w:type="page"/>
      </w:r>
    </w:p>
    <w:p>
      <w:pPr>
        <w:pStyle w:val="Heading1"/>
      </w:pPr>
      <w:r>
        <w:rPr>
          <w:rFonts w:ascii="Calibri" w:hAnsi="Calibri"/>
          <w:b/>
          <w:color w:val="0D1B2A"/>
          <w:sz w:val="32"/>
        </w:rPr>
        <w:t>6  Open Questions for v6</w:t>
      </w:r>
    </w:p>
    <w:p>
      <w:pPr>
        <w:pBdr>
          <w:bottom w:val="single" w:sz="6" w:space="1" w:color="D6E4ED"/>
        </w:pBdr>
        <w:spacing w:after="120"/>
      </w:pPr>
    </w:p>
    <w:p>
      <w:pPr>
        <w:spacing w:before="0" w:after="120"/>
      </w:pPr>
      <w:r>
        <w:rPr>
          <w:rFonts w:ascii="Calibri" w:hAnsi="Calibri"/>
          <w:b w:val="0"/>
          <w:i w:val="0"/>
          <w:color w:val="444F5A"/>
          <w:sz w:val="22"/>
        </w:rPr>
        <w:t>Three issues must be resolved before committing to hardware.  They are listed in priority order:</w:t>
      </w:r>
    </w:p>
    <w:p>
      <w:pPr>
        <w:spacing w:before="160"/>
      </w:pPr>
      <w:r>
        <w:rPr>
          <w:rFonts w:ascii="Calibri" w:hAnsi="Calibri"/>
          <w:b/>
          <w:color w:val="0D1B2A"/>
          <w:sz w:val="24"/>
        </w:rPr>
        <w:t>1.  CFD / panel-method validation of n_lines = 8</w:t>
      </w:r>
    </w:p>
    <w:p>
      <w:pPr>
        <w:spacing w:before="0" w:after="120"/>
      </w:pPr>
      <w:r>
        <w:rPr>
          <w:rFonts w:ascii="Calibri" w:hAnsi="Calibri"/>
          <w:b w:val="0"/>
          <w:i w:val="0"/>
          <w:color w:val="444F5A"/>
          <w:sz w:val="22"/>
        </w:rPr>
        <w:t>Strip theory is not validated above n = 6 lines. Blade-to-blade wake interference and solidity blockage are unmodelled. This is the highest-priority item before any hardware commitment.</w:t>
      </w:r>
    </w:p>
    <w:p>
      <w:pPr>
        <w:spacing w:before="160"/>
      </w:pPr>
      <w:r>
        <w:rPr>
          <w:rFonts w:ascii="Calibri" w:hAnsi="Calibri"/>
          <w:b/>
          <w:color w:val="0D1B2A"/>
          <w:sz w:val="24"/>
        </w:rPr>
        <w:t>2.  Joint β + structural optimisation</w:t>
      </w:r>
    </w:p>
    <w:p>
      <w:pPr>
        <w:spacing w:before="0" w:after="120"/>
      </w:pPr>
      <w:r>
        <w:rPr>
          <w:rFonts w:ascii="Calibri" w:hAnsi="Calibri"/>
          <w:b w:val="0"/>
          <w:i w:val="0"/>
          <w:color w:val="444F5A"/>
          <w:sz w:val="22"/>
        </w:rPr>
        <w:t>Elevation angle β was fixed at 30° throughout v2–v5. Cold-start and lift-kite analysis suggest the optimum β is near 26°. v6 should free β alongside the structural parameters to find the true aerodynamic-structural optimum simultaneously.</w:t>
      </w:r>
    </w:p>
    <w:p>
      <w:pPr>
        <w:spacing w:before="160"/>
      </w:pPr>
      <w:r>
        <w:rPr>
          <w:rFonts w:ascii="Calibri" w:hAnsi="Calibri"/>
          <w:b/>
          <w:color w:val="0D1B2A"/>
          <w:sz w:val="24"/>
        </w:rPr>
        <w:t>3.  Dynamic torsional loading and fatigue</w:t>
      </w:r>
    </w:p>
    <w:p>
      <w:pPr>
        <w:spacing w:before="0" w:after="120"/>
      </w:pPr>
      <w:r>
        <w:rPr>
          <w:rFonts w:ascii="Calibri" w:hAnsi="Calibri"/>
          <w:b w:val="0"/>
          <w:i w:val="0"/>
          <w:color w:val="444F5A"/>
          <w:sz w:val="22"/>
        </w:rPr>
        <w:t>All campaigns size against a static peak load envelope with Design Load Factor DLF = 1.2. Cyclic 1P/2P tether tension loading and S-N fatigue are not modelled. Fatigue life must be assessed before selecting tube wall thickness for manufacture.</w:t>
      </w:r>
    </w:p>
    <w:p>
      <w:r>
        <w:br w:type="page"/>
      </w:r>
    </w:p>
    <w:p>
      <w:pPr>
        <w:pStyle w:val="Heading1"/>
      </w:pPr>
      <w:r>
        <w:rPr>
          <w:rFonts w:ascii="Calibri" w:hAnsi="Calibri"/>
          <w:b/>
          <w:color w:val="0D1B2A"/>
          <w:sz w:val="32"/>
        </w:rPr>
        <w:t>Appendix — Code and Data Reference</w:t>
      </w:r>
    </w:p>
    <w:p>
      <w:pPr>
        <w:pBdr>
          <w:bottom w:val="single" w:sz="6" w:space="1" w:color="D6E4ED"/>
        </w:pBdr>
        <w:spacing w:after="120"/>
      </w:pPr>
    </w:p>
    <w:tbl>
      <w:tblPr>
        <w:tblStyle w:val="TableGrid"/>
        <w:tblW w:type="auto" w:w="0"/>
        <w:jc w:val="center"/>
        <w:tblLook w:firstColumn="1" w:firstRow="1" w:lastColumn="0" w:lastRow="0" w:noHBand="0" w:noVBand="1" w:val="04A0"/>
      </w:tblPr>
      <w:tblGrid>
        <w:gridCol w:w="4536"/>
        <w:gridCol w:w="4536"/>
      </w:tblGrid>
      <w:tr>
        <w:tc>
          <w:tcPr>
            <w:tcW w:type="dxa" w:w="4320"/>
            <w:shd w:val="clear" w:color="auto" w:fill="0D1B2A"/>
          </w:tcPr>
          <w:p>
            <w:pPr>
              <w:jc w:val="center"/>
            </w:pPr>
            <w:r>
              <w:rPr>
                <w:rFonts w:ascii="Calibri" w:hAnsi="Calibri"/>
                <w:b/>
                <w:color w:val="FFFFFF"/>
                <w:sz w:val="20"/>
              </w:rPr>
              <w:t>File</w:t>
            </w:r>
          </w:p>
        </w:tc>
        <w:tc>
          <w:tcPr>
            <w:tcW w:type="dxa" w:w="6768"/>
            <w:shd w:val="clear" w:color="auto" w:fill="0D1B2A"/>
          </w:tcPr>
          <w:p>
            <w:pPr>
              <w:jc w:val="center"/>
            </w:pPr>
            <w:r>
              <w:rPr>
                <w:rFonts w:ascii="Calibri" w:hAnsi="Calibri"/>
                <w:b/>
                <w:color w:val="FFFFFF"/>
                <w:sz w:val="20"/>
              </w:rPr>
              <w:t>Purpose</w:t>
            </w:r>
          </w:p>
        </w:tc>
      </w:tr>
      <w:tr>
        <w:tc>
          <w:tcPr>
            <w:tcW w:type="dxa" w:w="4536"/>
            <w:shd w:val="clear" w:color="auto" w:fill="F0F4F8"/>
          </w:tcPr>
          <w:p>
            <w:pPr>
              <w:jc w:val="center"/>
            </w:pPr>
            <w:r>
              <w:rPr>
                <w:rFonts w:ascii="Calibri" w:hAnsi="Calibri"/>
                <w:b w:val="0"/>
                <w:color w:val="444F5A"/>
                <w:sz w:val="20"/>
              </w:rPr>
              <w:t>src/ring_spacing.jl</w:t>
            </w:r>
          </w:p>
        </w:tc>
        <w:tc>
          <w:tcPr>
            <w:tcW w:type="dxa" w:w="4536"/>
            <w:shd w:val="clear" w:color="auto" w:fill="F0F4F8"/>
          </w:tcPr>
          <w:p>
            <w:pPr>
              <w:jc w:val="center"/>
            </w:pPr>
            <w:r>
              <w:rPr>
                <w:rFonts w:ascii="Calibri" w:hAnsi="Calibri"/>
                <w:b w:val="0"/>
                <w:color w:val="444F5A"/>
                <w:sz w:val="20"/>
              </w:rPr>
              <w:t>v4/v5 geometric L/r ring spacing; TRPTDesignV4; evaluate_design</w:t>
            </w:r>
          </w:p>
        </w:tc>
      </w:tr>
      <w:tr>
        <w:tc>
          <w:tcPr>
            <w:tcW w:type="dxa" w:w="4536"/>
            <w:shd w:val="clear" w:color="auto" w:fill="FFFFFF"/>
          </w:tcPr>
          <w:p>
            <w:pPr>
              <w:jc w:val="center"/>
            </w:pPr>
            <w:r>
              <w:rPr>
                <w:rFonts w:ascii="Calibri" w:hAnsi="Calibri"/>
                <w:b w:val="0"/>
                <w:color w:val="444F5A"/>
                <w:sz w:val="20"/>
              </w:rPr>
              <w:t>src/bem.jl</w:t>
            </w:r>
          </w:p>
        </w:tc>
        <w:tc>
          <w:tcPr>
            <w:tcW w:type="dxa" w:w="4536"/>
            <w:shd w:val="clear" w:color="auto" w:fill="FFFFFF"/>
          </w:tcPr>
          <w:p>
            <w:pPr>
              <w:jc w:val="center"/>
            </w:pPr>
            <w:r>
              <w:rPr>
                <w:rFonts w:ascii="Calibri" w:hAnsi="Calibri"/>
                <w:b w:val="0"/>
                <w:color w:val="444F5A"/>
                <w:sz w:val="20"/>
              </w:rPr>
              <w:t>v5 Prandtl tip-loss BEM Cp(n_lines); self-consistent R</w:t>
            </w:r>
          </w:p>
        </w:tc>
      </w:tr>
      <w:tr>
        <w:tc>
          <w:tcPr>
            <w:tcW w:type="dxa" w:w="4536"/>
            <w:shd w:val="clear" w:color="auto" w:fill="F0F4F8"/>
          </w:tcPr>
          <w:p>
            <w:pPr>
              <w:jc w:val="center"/>
            </w:pPr>
            <w:r>
              <w:rPr>
                <w:rFonts w:ascii="Calibri" w:hAnsi="Calibri"/>
                <w:b w:val="0"/>
                <w:color w:val="444F5A"/>
                <w:sz w:val="20"/>
              </w:rPr>
              <w:t>src/trpt_axial_profiles.jl</w:t>
            </w:r>
          </w:p>
        </w:tc>
        <w:tc>
          <w:tcPr>
            <w:tcW w:type="dxa" w:w="4536"/>
            <w:shd w:val="clear" w:color="auto" w:fill="F0F4F8"/>
          </w:tcPr>
          <w:p>
            <w:pPr>
              <w:jc w:val="center"/>
            </w:pPr>
            <w:r>
              <w:rPr>
                <w:rFonts w:ascii="Calibri" w:hAnsi="Calibri"/>
                <w:b w:val="0"/>
                <w:color w:val="444F5A"/>
                <w:sz w:val="20"/>
              </w:rPr>
              <w:t>Torsional collapse constraint (v3+)</w:t>
            </w:r>
          </w:p>
        </w:tc>
      </w:tr>
      <w:tr>
        <w:tc>
          <w:tcPr>
            <w:tcW w:type="dxa" w:w="4536"/>
            <w:shd w:val="clear" w:color="auto" w:fill="FFFFFF"/>
          </w:tcPr>
          <w:p>
            <w:pPr>
              <w:jc w:val="center"/>
            </w:pPr>
            <w:r>
              <w:rPr>
                <w:rFonts w:ascii="Calibri" w:hAnsi="Calibri"/>
                <w:b w:val="0"/>
                <w:color w:val="444F5A"/>
                <w:sz w:val="20"/>
              </w:rPr>
              <w:t>src/trpt_optimization.jl</w:t>
            </w:r>
          </w:p>
        </w:tc>
        <w:tc>
          <w:tcPr>
            <w:tcW w:type="dxa" w:w="4536"/>
            <w:shd w:val="clear" w:color="auto" w:fill="FFFFFF"/>
          </w:tcPr>
          <w:p>
            <w:pPr>
              <w:jc w:val="center"/>
            </w:pPr>
            <w:r>
              <w:rPr>
                <w:rFonts w:ascii="Calibri" w:hAnsi="Calibri"/>
                <w:b w:val="0"/>
                <w:color w:val="444F5A"/>
                <w:sz w:val="20"/>
              </w:rPr>
              <w:t>EvalResult struct; v2/v3 objectives</w:t>
            </w:r>
          </w:p>
        </w:tc>
      </w:tr>
      <w:tr>
        <w:tc>
          <w:tcPr>
            <w:tcW w:type="dxa" w:w="4536"/>
            <w:shd w:val="clear" w:color="auto" w:fill="F0F4F8"/>
          </w:tcPr>
          <w:p>
            <w:pPr>
              <w:jc w:val="center"/>
            </w:pPr>
            <w:r>
              <w:rPr>
                <w:rFonts w:ascii="Calibri" w:hAnsi="Calibri"/>
                <w:b w:val="0"/>
                <w:color w:val="444F5A"/>
                <w:sz w:val="20"/>
              </w:rPr>
              <w:t>test/test_ring_spacing_v4.jl</w:t>
            </w:r>
          </w:p>
        </w:tc>
        <w:tc>
          <w:tcPr>
            <w:tcW w:type="dxa" w:w="4536"/>
            <w:shd w:val="clear" w:color="auto" w:fill="F0F4F8"/>
          </w:tcPr>
          <w:p>
            <w:pPr>
              <w:jc w:val="center"/>
            </w:pPr>
            <w:r>
              <w:rPr>
                <w:rFonts w:ascii="Calibri" w:hAnsi="Calibri"/>
                <w:b w:val="0"/>
                <w:color w:val="444F5A"/>
                <w:sz w:val="20"/>
              </w:rPr>
              <w:t>368 unit tests for ring_spacing_v4 (all passing)</w:t>
            </w:r>
          </w:p>
        </w:tc>
      </w:tr>
      <w:tr>
        <w:tc>
          <w:tcPr>
            <w:tcW w:type="dxa" w:w="4536"/>
            <w:shd w:val="clear" w:color="auto" w:fill="FFFFFF"/>
          </w:tcPr>
          <w:p>
            <w:pPr>
              <w:jc w:val="center"/>
            </w:pPr>
            <w:r>
              <w:rPr>
                <w:rFonts w:ascii="Calibri" w:hAnsi="Calibri"/>
                <w:b w:val="0"/>
                <w:color w:val="444F5A"/>
                <w:sz w:val="20"/>
              </w:rPr>
              <w:t>scripts/run_v4_campaign.jl</w:t>
            </w:r>
          </w:p>
        </w:tc>
        <w:tc>
          <w:tcPr>
            <w:tcW w:type="dxa" w:w="4536"/>
            <w:shd w:val="clear" w:color="auto" w:fill="FFFFFF"/>
          </w:tcPr>
          <w:p>
            <w:pPr>
              <w:jc w:val="center"/>
            </w:pPr>
            <w:r>
              <w:rPr>
                <w:rFonts w:ascii="Calibri" w:hAnsi="Calibri"/>
                <w:b w:val="0"/>
                <w:color w:val="444F5A"/>
                <w:sz w:val="20"/>
              </w:rPr>
              <w:t>v4 60-island DE campaign launcher</w:t>
            </w:r>
          </w:p>
        </w:tc>
      </w:tr>
      <w:tr>
        <w:tc>
          <w:tcPr>
            <w:tcW w:type="dxa" w:w="4536"/>
            <w:shd w:val="clear" w:color="auto" w:fill="F0F4F8"/>
          </w:tcPr>
          <w:p>
            <w:pPr>
              <w:jc w:val="center"/>
            </w:pPr>
            <w:r>
              <w:rPr>
                <w:rFonts w:ascii="Calibri" w:hAnsi="Calibri"/>
                <w:b w:val="0"/>
                <w:color w:val="444F5A"/>
                <w:sz w:val="20"/>
              </w:rPr>
              <w:t>scripts/run_v5_campaign.jl</w:t>
            </w:r>
          </w:p>
        </w:tc>
        <w:tc>
          <w:tcPr>
            <w:tcW w:type="dxa" w:w="4536"/>
            <w:shd w:val="clear" w:color="auto" w:fill="F0F4F8"/>
          </w:tcPr>
          <w:p>
            <w:pPr>
              <w:jc w:val="center"/>
            </w:pPr>
            <w:r>
              <w:rPr>
                <w:rFonts w:ascii="Calibri" w:hAnsi="Calibri"/>
                <w:b w:val="0"/>
                <w:color w:val="444F5A"/>
                <w:sz w:val="20"/>
              </w:rPr>
              <w:t>v5 60-island DE campaign launcher</w:t>
            </w:r>
          </w:p>
        </w:tc>
      </w:tr>
      <w:tr>
        <w:tc>
          <w:tcPr>
            <w:tcW w:type="dxa" w:w="4536"/>
            <w:shd w:val="clear" w:color="auto" w:fill="FFFFFF"/>
          </w:tcPr>
          <w:p>
            <w:pPr>
              <w:jc w:val="center"/>
            </w:pPr>
            <w:r>
              <w:rPr>
                <w:rFonts w:ascii="Calibri" w:hAnsi="Calibri"/>
                <w:b w:val="0"/>
                <w:color w:val="444F5A"/>
                <w:sz w:val="20"/>
              </w:rPr>
              <w:t>scripts/torsional_collapse_check.jl</w:t>
            </w:r>
          </w:p>
        </w:tc>
        <w:tc>
          <w:tcPr>
            <w:tcW w:type="dxa" w:w="4536"/>
            <w:shd w:val="clear" w:color="auto" w:fill="FFFFFF"/>
          </w:tcPr>
          <w:p>
            <w:pPr>
              <w:jc w:val="center"/>
            </w:pPr>
            <w:r>
              <w:rPr>
                <w:rFonts w:ascii="Calibri" w:hAnsi="Calibri"/>
                <w:b w:val="0"/>
                <w:color w:val="444F5A"/>
                <w:sz w:val="20"/>
              </w:rPr>
              <w:t>Post-hoc v2 torsional validation</w:t>
            </w:r>
          </w:p>
        </w:tc>
      </w:tr>
      <w:tr>
        <w:tc>
          <w:tcPr>
            <w:tcW w:type="dxa" w:w="4536"/>
            <w:shd w:val="clear" w:color="auto" w:fill="F0F4F8"/>
          </w:tcPr>
          <w:p>
            <w:pPr>
              <w:jc w:val="center"/>
            </w:pPr>
            <w:r>
              <w:rPr>
                <w:rFonts w:ascii="Calibri" w:hAnsi="Calibri"/>
                <w:b w:val="0"/>
                <w:color w:val="444F5A"/>
                <w:sz w:val="20"/>
              </w:rPr>
              <w:t>scripts/results/trpt_opt_v4/</w:t>
            </w:r>
          </w:p>
        </w:tc>
        <w:tc>
          <w:tcPr>
            <w:tcW w:type="dxa" w:w="4536"/>
            <w:shd w:val="clear" w:color="auto" w:fill="F0F4F8"/>
          </w:tcPr>
          <w:p>
            <w:pPr>
              <w:jc w:val="center"/>
            </w:pPr>
            <w:r>
              <w:rPr>
                <w:rFonts w:ascii="Calibri" w:hAnsi="Calibri"/>
                <w:b w:val="0"/>
                <w:color w:val="444F5A"/>
                <w:sz w:val="20"/>
              </w:rPr>
              <w:t>v4 island results (committed to master)</w:t>
            </w:r>
          </w:p>
        </w:tc>
      </w:tr>
      <w:tr>
        <w:tc>
          <w:tcPr>
            <w:tcW w:type="dxa" w:w="4536"/>
            <w:shd w:val="clear" w:color="auto" w:fill="FFFFFF"/>
          </w:tcPr>
          <w:p>
            <w:pPr>
              <w:jc w:val="center"/>
            </w:pPr>
            <w:r>
              <w:rPr>
                <w:rFonts w:ascii="Calibri" w:hAnsi="Calibri"/>
                <w:b w:val="0"/>
                <w:color w:val="444F5A"/>
                <w:sz w:val="20"/>
              </w:rPr>
              <w:t>scripts/results/trpt_opt_v5/</w:t>
            </w:r>
          </w:p>
        </w:tc>
        <w:tc>
          <w:tcPr>
            <w:tcW w:type="dxa" w:w="4536"/>
            <w:shd w:val="clear" w:color="auto" w:fill="FFFFFF"/>
          </w:tcPr>
          <w:p>
            <w:pPr>
              <w:jc w:val="center"/>
            </w:pPr>
            <w:r>
              <w:rPr>
                <w:rFonts w:ascii="Calibri" w:hAnsi="Calibri"/>
                <w:b w:val="0"/>
                <w:color w:val="444F5A"/>
                <w:sz w:val="20"/>
              </w:rPr>
              <w:t>v5 island results (committed to master)</w:t>
            </w:r>
          </w:p>
        </w:tc>
      </w:tr>
      <w:tr>
        <w:tc>
          <w:tcPr>
            <w:tcW w:type="dxa" w:w="4536"/>
            <w:shd w:val="clear" w:color="auto" w:fill="F0F4F8"/>
          </w:tcPr>
          <w:p>
            <w:pPr>
              <w:jc w:val="center"/>
            </w:pPr>
            <w:r>
              <w:rPr>
                <w:rFonts w:ascii="Calibri" w:hAnsi="Calibri"/>
                <w:b w:val="0"/>
                <w:color w:val="444F5A"/>
                <w:sz w:val="20"/>
              </w:rPr>
              <w:t>DECISIONS.md</w:t>
            </w:r>
          </w:p>
        </w:tc>
        <w:tc>
          <w:tcPr>
            <w:tcW w:type="dxa" w:w="4536"/>
            <w:shd w:val="clear" w:color="auto" w:fill="F0F4F8"/>
          </w:tcPr>
          <w:p>
            <w:pPr>
              <w:jc w:val="center"/>
            </w:pPr>
            <w:r>
              <w:rPr>
                <w:rFonts w:ascii="Calibri" w:hAnsi="Calibri"/>
                <w:b w:val="0"/>
                <w:color w:val="444F5A"/>
                <w:sz w:val="20"/>
              </w:rPr>
              <w:t>Full derivation and rationale for all campaigns</w:t>
            </w:r>
          </w:p>
        </w:tc>
      </w:tr>
    </w:tbl>
    <w:p/>
    <w:p/>
    <w:p>
      <w:pPr>
        <w:spacing w:before="0" w:after="120"/>
        <w:jc w:val="right"/>
      </w:pPr>
      <w:r>
        <w:rPr>
          <w:rFonts w:ascii="Calibri" w:hAnsi="Calibri"/>
          <w:b w:val="0"/>
          <w:i/>
          <w:color w:val="444F5A"/>
          <w:sz w:val="18"/>
        </w:rPr>
        <w:t>Generated 2026-04-30 by produce_awes_forum_report.py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