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0207ce41f8051dab1d1851a68fc1a7165e0338"/>
    <w:p>
      <w:pPr>
        <w:pStyle w:val="Heading1"/>
      </w:pPr>
      <w:r>
        <w:t xml:space="preserve">TRPT Structural Optimisation Monograph: Campaigns v2–v5</w:t>
      </w:r>
    </w:p>
    <w:p>
      <w:pPr>
        <w:pStyle w:val="FirstParagraph"/>
      </w:pPr>
      <w:r>
        <w:rPr>
          <w:bCs/>
          <w:b/>
        </w:rPr>
        <w:t xml:space="preserve">Comprehensive Analysis of Tensile Rotary Power Transmission Shaft Design</w:t>
      </w:r>
      <w:r>
        <w:t xml:space="preserve"> </w:t>
      </w:r>
      <w:r>
        <w:rPr>
          <w:bCs/>
          <w:b/>
        </w:rPr>
        <w:t xml:space="preserve">Authors:</w:t>
      </w:r>
      <w:r>
        <w:t xml:space="preserve"> </w:t>
      </w:r>
      <w:r>
        <w:t xml:space="preserve">Roderick Read, Windswept &amp; Interesting Ltd</w:t>
      </w:r>
      <w:r>
        <w:t xml:space="preserve"> </w:t>
      </w:r>
      <w:r>
        <w:rPr>
          <w:bCs/>
          <w:b/>
        </w:rPr>
        <w:t xml:space="preserve">Date:</w:t>
      </w:r>
      <w:r>
        <w:t xml:space="preserve"> </w:t>
      </w:r>
      <w:r>
        <w:t xml:space="preserve">April 2026</w:t>
      </w:r>
      <w:r>
        <w:t xml:space="preserve"> </w:t>
      </w:r>
      <w:r>
        <w:rPr>
          <w:bCs/>
          <w:b/>
        </w:rPr>
        <w:t xml:space="preserve">Version:</w:t>
      </w:r>
      <w:r>
        <w:t xml:space="preserve"> </w:t>
      </w:r>
      <w:r>
        <w:t xml:space="preserve">2.0 (Comprehensive Draft)</w:t>
      </w:r>
    </w:p>
    <w:p>
      <w:r>
        <w:pict>
          <v:rect style="width:0;height:1.5pt" o:hralign="center" o:hrstd="t" o:hr="t"/>
        </w:pict>
      </w:r>
    </w:p>
    <w:bookmarkStart w:id="20" w:name="introduction-and-problem-statement"/>
    <w:p>
      <w:pPr>
        <w:pStyle w:val="Heading2"/>
      </w:pPr>
      <w:r>
        <w:t xml:space="preserve">1. Introduction and Problem Statement</w:t>
      </w:r>
    </w:p>
    <w:p>
      <w:pPr>
        <w:pStyle w:val="FirstParagraph"/>
      </w:pPr>
      <w:r>
        <w:t xml:space="preserve">The Tensile Rotary Power Transmission (TRPT) system represents a paradigm shift in Airborne Wind Energy (AWE). By eliminating heavy, rigid steel towers and replacing them with a lightweight, helical shaft of tensioned tethers, TRPT architectures promise to drastically reduce the Levelized Cost of Energy (LCOE) and the embodied carbon (</w:t>
      </w:r>
      <m:oMath>
        <m:sSub>
          <m:e>
            <m:r>
              <m:rPr>
                <m:nor/>
                <m:sty m:val="p"/>
              </m:rPr>
              <m:t>gCO</m:t>
            </m:r>
          </m:e>
          <m:sub>
            <m:r>
              <m:t>2</m:t>
            </m:r>
          </m:sub>
        </m:sSub>
        <m:r>
          <m:rPr>
            <m:nor/>
            <m:sty m:val="p"/>
          </m:rPr>
          <m:t>e/kWh</m:t>
        </m:r>
      </m:oMath>
      <w:r>
        <w:t xml:space="preserve">) of wind power generation.</w:t>
      </w:r>
    </w:p>
    <w:p>
      <w:pPr>
        <w:pStyle w:val="BodyText"/>
      </w:pPr>
      <w:r>
        <w:t xml:space="preserve">However, this transition from rigid to tensile structures introduces complex structural instabilities. The shaft must simultaneously resist compressive Euler buckling of its intermediate ring frames and torsional collapse under the massive torques generated by the airborne rotor. Early analytical models often simplified or ignored these interrelated constraints, leading to mathematically optimal but physically impossible architectures.</w:t>
      </w:r>
    </w:p>
    <w:p>
      <w:pPr>
        <w:pStyle w:val="BodyText"/>
      </w:pPr>
      <w:r>
        <w:t xml:space="preserve">This monograph provides an exhaustive, in-depth account of the structural optimization campaigns conducted in April 2026. It details the journey from simplified Euler-only models (Campaign v2) to high-fidelity, Blade Element Momentum (BEM) coupled simulations (Campaign v5). These campaigns successfully identified the global minimum-mass geometries for 10 kW and 50 kW systems, establishing a rigorous, physically validated baseline for future TRPT development.</w:t>
      </w:r>
    </w:p>
    <w:p>
      <w:r>
        <w:pict>
          <v:rect style="width:0;height:1.5pt" o:hralign="center" o:hrstd="t" o:hr="t"/>
        </w:pict>
      </w:r>
    </w:p>
    <w:bookmarkEnd w:id="20"/>
    <w:bookmarkStart w:id="26" w:name="theoretical-framework"/>
    <w:p>
      <w:pPr>
        <w:pStyle w:val="Heading2"/>
      </w:pPr>
      <w:r>
        <w:t xml:space="preserve">2. Theoretical Framework</w:t>
      </w:r>
    </w:p>
    <w:bookmarkStart w:id="21" w:name="the-trpt-concept-and-load-distribution"/>
    <w:p>
      <w:pPr>
        <w:pStyle w:val="Heading3"/>
      </w:pPr>
      <w:r>
        <w:t xml:space="preserve">2.1 The TRPT Concept and Load Distribution</w:t>
      </w:r>
    </w:p>
    <w:p>
      <w:pPr>
        <w:pStyle w:val="FirstParagraph"/>
      </w:pPr>
      <w:r>
        <w:t xml:space="preserve">A TRPT shaft comprises</w:t>
      </w:r>
      <w:r>
        <w:t xml:space="preserve"> </w:t>
      </w:r>
      <m:oMath>
        <m:sSub>
          <m:e>
            <m:r>
              <m:t>n</m:t>
            </m:r>
          </m:e>
          <m:sub>
            <m:r>
              <m:t>l</m:t>
            </m:r>
            <m:r>
              <m:t>i</m:t>
            </m:r>
            <m:r>
              <m:t>n</m:t>
            </m:r>
            <m:r>
              <m:t>e</m:t>
            </m:r>
            <m:r>
              <m:t>s</m:t>
            </m:r>
          </m:sub>
        </m:sSub>
      </m:oMath>
      <w:r>
        <w:t xml:space="preserve"> </w:t>
      </w:r>
      <w:r>
        <w:t xml:space="preserve">high-modulus tethers (e.g., Dyneema) arranged in a helical pattern between a series of rigid polygon rings. The shaft transmits power by resolving aerodynamic thrust (</w:t>
      </w:r>
      <m:oMath>
        <m:sSub>
          <m:e>
            <m:r>
              <m:t>T</m:t>
            </m:r>
          </m:e>
          <m:sub>
            <m:r>
              <m:t>a</m:t>
            </m:r>
            <m:r>
              <m:t>e</m:t>
            </m:r>
            <m:r>
              <m:t>r</m:t>
            </m:r>
            <m:r>
              <m:t>o</m:t>
            </m:r>
          </m:sub>
        </m:sSub>
      </m:oMath>
      <w:r>
        <w:t xml:space="preserve">) and torque (</w:t>
      </w:r>
      <m:oMath>
        <m:sSub>
          <m:e>
            <m:r>
              <m:t>τ</m:t>
            </m:r>
          </m:e>
          <m:sub>
            <m:r>
              <m:t>a</m:t>
            </m:r>
            <m:r>
              <m:t>e</m:t>
            </m:r>
            <m:r>
              <m:t>r</m:t>
            </m:r>
            <m:r>
              <m:t>o</m:t>
            </m:r>
          </m:sub>
        </m:sSub>
      </m:oMath>
      <w:r>
        <w:t xml:space="preserve">) from the rotor down to a ground station generator.</w:t>
      </w:r>
    </w:p>
    <w:p>
      <w:pPr>
        <w:pStyle w:val="BodyText"/>
      </w:pPr>
      <w:r>
        <w:t xml:space="preserve">The total axial thrust</w:t>
      </w:r>
      <w:r>
        <w:t xml:space="preserve"> </w:t>
      </w:r>
      <m:oMath>
        <m:sSub>
          <m:e>
            <m:r>
              <m:t>T</m:t>
            </m:r>
          </m:e>
          <m:sub>
            <m:r>
              <m:t>p</m:t>
            </m:r>
            <m:r>
              <m:t>e</m:t>
            </m:r>
            <m:r>
              <m:t>a</m:t>
            </m:r>
            <m:r>
              <m:t>k</m:t>
            </m:r>
          </m:sub>
        </m:sSub>
      </m:oMath>
      <w:r>
        <w:t xml:space="preserve"> </w:t>
      </w:r>
      <w:r>
        <w:t xml:space="preserve">is transmitted through the</w:t>
      </w:r>
      <w:r>
        <w:t xml:space="preserve"> </w:t>
      </w:r>
      <m:oMath>
        <m:sSub>
          <m:e>
            <m:r>
              <m:t>n</m:t>
            </m:r>
          </m:e>
          <m:sub>
            <m:r>
              <m:t>l</m:t>
            </m:r>
            <m:r>
              <m:t>i</m:t>
            </m:r>
            <m:r>
              <m:t>n</m:t>
            </m:r>
            <m:r>
              <m:t>e</m:t>
            </m:r>
            <m:r>
              <m:t>s</m:t>
            </m:r>
          </m:sub>
        </m:sSub>
      </m:oMath>
      <w:r>
        <w:t xml:space="preserve"> </w:t>
      </w:r>
      <w:r>
        <w:t xml:space="preserve">tether lines. For a shaft with mild taper, the tension in each line is approximately:</w:t>
      </w:r>
    </w:p>
    <w:p>
      <w:pPr>
        <w:pStyle w:val="BodyText"/>
      </w:pPr>
      <m:oMathPara>
        <m:oMathParaPr>
          <m:jc m:val="center"/>
        </m:oMathParaPr>
        <m:oMath>
          <m:sSub>
            <m:e>
              <m:r>
                <m:t>T</m:t>
              </m:r>
            </m:e>
            <m:sub>
              <m:r>
                <m:t>l</m:t>
              </m:r>
              <m:r>
                <m:t>i</m:t>
              </m:r>
              <m:r>
                <m:t>n</m:t>
              </m:r>
              <m:r>
                <m:t>e</m:t>
              </m:r>
            </m:sub>
          </m:sSub>
          <m:r>
            <m:rPr>
              <m:sty m:val="p"/>
            </m:rPr>
            <m:t>≈</m:t>
          </m:r>
          <m:f>
            <m:fPr>
              <m:type m:val="bar"/>
            </m:fPr>
            <m:num>
              <m:sSub>
                <m:e>
                  <m:r>
                    <m:t>T</m:t>
                  </m:r>
                </m:e>
                <m:sub>
                  <m:r>
                    <m:t>p</m:t>
                  </m:r>
                  <m:r>
                    <m:t>e</m:t>
                  </m:r>
                  <m:r>
                    <m:t>a</m:t>
                  </m:r>
                  <m:r>
                    <m:t>k</m:t>
                  </m:r>
                </m:sub>
              </m:sSub>
            </m:num>
            <m:den>
              <m:sSub>
                <m:e>
                  <m:r>
                    <m:t>n</m:t>
                  </m:r>
                </m:e>
                <m:sub>
                  <m:r>
                    <m:t>l</m:t>
                  </m:r>
                  <m:r>
                    <m:t>i</m:t>
                  </m:r>
                  <m:r>
                    <m:t>n</m:t>
                  </m:r>
                  <m:r>
                    <m:t>e</m:t>
                  </m:r>
                  <m:r>
                    <m:t>s</m:t>
                  </m:r>
                </m:sub>
              </m:sSub>
              <m:r>
                <m:rPr>
                  <m:sty m:val="p"/>
                </m:rPr>
                <m:t>⋅</m:t>
              </m:r>
              <m:r>
                <m:rPr>
                  <m:sty m:val="p"/>
                </m:rPr>
                <m:t>cos</m:t>
              </m:r>
              <m:sSub>
                <m:e>
                  <m:r>
                    <m:t>θ</m:t>
                  </m:r>
                </m:e>
                <m:sub>
                  <m:r>
                    <m:t>l</m:t>
                  </m:r>
                  <m:r>
                    <m:t>o</m:t>
                  </m:r>
                  <m:r>
                    <m:t>c</m:t>
                  </m:r>
                  <m:r>
                    <m:t>a</m:t>
                  </m:r>
                  <m:r>
                    <m:t>l</m:t>
                  </m:r>
                </m:sub>
              </m:sSub>
            </m:den>
          </m:f>
          <m:r>
            <m:rPr>
              <m:sty m:val="p"/>
            </m:rPr>
            <m:t>≈</m:t>
          </m:r>
          <m:f>
            <m:fPr>
              <m:type m:val="bar"/>
            </m:fPr>
            <m:num>
              <m:sSub>
                <m:e>
                  <m:r>
                    <m:t>T</m:t>
                  </m:r>
                </m:e>
                <m:sub>
                  <m:r>
                    <m:t>p</m:t>
                  </m:r>
                  <m:r>
                    <m:t>e</m:t>
                  </m:r>
                  <m:r>
                    <m:t>a</m:t>
                  </m:r>
                  <m:r>
                    <m:t>k</m:t>
                  </m:r>
                </m:sub>
              </m:sSub>
            </m:num>
            <m:den>
              <m:sSub>
                <m:e>
                  <m:r>
                    <m:t>n</m:t>
                  </m:r>
                </m:e>
                <m:sub>
                  <m:r>
                    <m:t>l</m:t>
                  </m:r>
                  <m:r>
                    <m:t>i</m:t>
                  </m:r>
                  <m:r>
                    <m:t>n</m:t>
                  </m:r>
                  <m:r>
                    <m:t>e</m:t>
                  </m:r>
                  <m:r>
                    <m:t>s</m:t>
                  </m:r>
                </m:sub>
              </m:sSub>
            </m:den>
          </m:f>
        </m:oMath>
      </m:oMathPara>
    </w:p>
    <w:bookmarkEnd w:id="21"/>
    <w:bookmarkStart w:id="24" w:name="structural-constraints"/>
    <w:p>
      <w:pPr>
        <w:pStyle w:val="Heading3"/>
      </w:pPr>
      <w:r>
        <w:t xml:space="preserve">2.2 Structural Constraints</w:t>
      </w:r>
    </w:p>
    <w:p>
      <w:pPr>
        <w:pStyle w:val="FirstParagraph"/>
      </w:pPr>
      <w:r>
        <w:t xml:space="preserve">To ensure physical feasibility, the optimizer evaluates every inter-ring segment and polygon beam against two strict failure modes.</w:t>
      </w:r>
    </w:p>
    <w:bookmarkStart w:id="22" w:name="euler-buckling-radial-frame-stability"/>
    <w:p>
      <w:pPr>
        <w:pStyle w:val="Heading4"/>
      </w:pPr>
      <w:r>
        <w:t xml:space="preserve">2.2.1 Euler Buckling (Radial Frame Stability)</w:t>
      </w:r>
    </w:p>
    <w:p>
      <w:pPr>
        <w:pStyle w:val="FirstParagraph"/>
      </w:pPr>
      <w:r>
        <w:t xml:space="preserve">Because the tethers are angled inward as the shaft tapers from the hub radius (</w:t>
      </w:r>
      <m:oMath>
        <m:sSub>
          <m:e>
            <m:r>
              <m:t>r</m:t>
            </m:r>
          </m:e>
          <m:sub>
            <m:r>
              <m:t>h</m:t>
            </m:r>
            <m:r>
              <m:t>u</m:t>
            </m:r>
            <m:r>
              <m:t>b</m:t>
            </m:r>
          </m:sub>
        </m:sSub>
      </m:oMath>
      <w:r>
        <w:t xml:space="preserve">) to the ground radius (</w:t>
      </w:r>
      <m:oMath>
        <m:sSub>
          <m:e>
            <m:r>
              <m:t>r</m:t>
            </m:r>
          </m:e>
          <m:sub>
            <m:r>
              <m:t>b</m:t>
            </m:r>
            <m:r>
              <m:t>o</m:t>
            </m:r>
            <m:r>
              <m:t>t</m:t>
            </m:r>
          </m:sub>
        </m:sSub>
      </m:oMath>
      <w:r>
        <w:t xml:space="preserve">), they exert a continuous inward radial force (</w:t>
      </w:r>
      <m:oMath>
        <m:sSub>
          <m:e>
            <m:r>
              <m:t>F</m:t>
            </m:r>
          </m:e>
          <m:sub>
            <m:r>
              <m:t>i</m:t>
            </m:r>
            <m:r>
              <m:t>n</m:t>
            </m:r>
          </m:sub>
        </m:sSub>
      </m:oMath>
      <w:r>
        <w:t xml:space="preserve">) on every vertex of the intermediate rings. To maintain the open tubular shape of the shaft, the carbon fiber reinforced polymer (CFRP) beams forming the ring must resist collapse.</w:t>
      </w:r>
    </w:p>
    <w:p>
      <w:pPr>
        <w:pStyle w:val="BodyText"/>
      </w:pPr>
      <w:r>
        <w:t xml:space="preserve">The compressive force</w:t>
      </w:r>
      <w:r>
        <w:t xml:space="preserve"> </w:t>
      </w:r>
      <m:oMath>
        <m:sSub>
          <m:e>
            <m:r>
              <m:t>N</m:t>
            </m:r>
          </m:e>
          <m:sub>
            <m:r>
              <m:t>c</m:t>
            </m:r>
            <m:r>
              <m:t>o</m:t>
            </m:r>
            <m:r>
              <m:t>m</m:t>
            </m:r>
            <m:r>
              <m:t>p</m:t>
            </m:r>
          </m:sub>
        </m:sSub>
      </m:oMath>
      <w:r>
        <w:t xml:space="preserve"> </w:t>
      </w:r>
      <w:r>
        <w:t xml:space="preserve">on a single polygon ring segment of length</w:t>
      </w:r>
      <w:r>
        <w:t xml:space="preserve"> </w:t>
      </w:r>
      <m:oMath>
        <m:sSub>
          <m:e>
            <m:r>
              <m:t>L</m:t>
            </m:r>
          </m:e>
          <m:sub>
            <m:r>
              <m:t>p</m:t>
            </m:r>
          </m:sub>
        </m:sSub>
      </m:oMath>
      <w:r>
        <w:t xml:space="preserve"> </w:t>
      </w:r>
      <w:r>
        <w:t xml:space="preserve">(where</w:t>
      </w:r>
      <w:r>
        <w:t xml:space="preserve"> </w:t>
      </w:r>
      <m:oMath>
        <m:sSub>
          <m:e>
            <m:r>
              <m:t>L</m:t>
            </m:r>
          </m:e>
          <m:sub>
            <m:r>
              <m:t>p</m:t>
            </m:r>
          </m:sub>
        </m:sSub>
        <m:r>
          <m:rPr>
            <m:sty m:val="p"/>
          </m:rPr>
          <m:t>=</m:t>
        </m:r>
        <m:r>
          <m:t>2</m:t>
        </m:r>
        <m:r>
          <m:t>r</m:t>
        </m:r>
        <m:r>
          <m:rPr>
            <m:sty m:val="p"/>
          </m:rPr>
          <m:t>sin</m:t>
        </m:r>
        <m:d>
          <m:dPr>
            <m:begChr m:val="("/>
            <m:endChr m:val=")"/>
            <m:sepChr m:val=""/>
            <m:grow/>
          </m:dPr>
          <m:e>
            <m:r>
              <m:t>π</m:t>
            </m:r>
            <m:r>
              <m:rPr>
                <m:sty m:val="p"/>
              </m:rPr>
              <m:t>/</m:t>
            </m:r>
            <m:sSub>
              <m:e>
                <m:r>
                  <m:t>n</m:t>
                </m:r>
              </m:e>
              <m:sub>
                <m:r>
                  <m:t>l</m:t>
                </m:r>
                <m:r>
                  <m:t>i</m:t>
                </m:r>
                <m:r>
                  <m:t>n</m:t>
                </m:r>
                <m:r>
                  <m:t>e</m:t>
                </m:r>
                <m:r>
                  <m:t>s</m:t>
                </m:r>
              </m:sub>
            </m:sSub>
          </m:e>
        </m:d>
      </m:oMath>
      <w:r>
        <w:t xml:space="preserve">) is:</w:t>
      </w:r>
    </w:p>
    <w:p>
      <w:pPr>
        <w:pStyle w:val="BodyText"/>
      </w:pPr>
      <m:oMathPara>
        <m:oMathParaPr>
          <m:jc m:val="center"/>
        </m:oMathParaPr>
        <m:oMath>
          <m:sSub>
            <m:e>
              <m:r>
                <m:t>N</m:t>
              </m:r>
            </m:e>
            <m:sub>
              <m:r>
                <m:t>c</m:t>
              </m:r>
              <m:r>
                <m:t>o</m:t>
              </m:r>
              <m:r>
                <m:t>m</m:t>
              </m:r>
              <m:r>
                <m:t>p</m:t>
              </m:r>
            </m:sub>
          </m:sSub>
          <m:r>
            <m:rPr>
              <m:sty m:val="p"/>
            </m:rPr>
            <m:t>=</m:t>
          </m:r>
          <m:f>
            <m:fPr>
              <m:type m:val="bar"/>
            </m:fPr>
            <m:num>
              <m:sSub>
                <m:e>
                  <m:r>
                    <m:t>F</m:t>
                  </m:r>
                </m:e>
                <m:sub>
                  <m:r>
                    <m:t>i</m:t>
                  </m:r>
                  <m:r>
                    <m:t>n</m:t>
                  </m:r>
                </m:sub>
              </m:sSub>
            </m:num>
            <m:den>
              <m:r>
                <m:t>2</m:t>
              </m:r>
              <m:r>
                <m:rPr>
                  <m:sty m:val="p"/>
                </m:rPr>
                <m:t>tan</m:t>
              </m:r>
              <m:d>
                <m:dPr>
                  <m:begChr m:val="("/>
                  <m:endChr m:val=")"/>
                  <m:sepChr m:val=""/>
                  <m:grow/>
                </m:dPr>
                <m:e>
                  <m:r>
                    <m:t>π</m:t>
                  </m:r>
                  <m:r>
                    <m:rPr>
                      <m:sty m:val="p"/>
                    </m:rPr>
                    <m:t>/</m:t>
                  </m:r>
                  <m:sSub>
                    <m:e>
                      <m:r>
                        <m:t>n</m:t>
                      </m:r>
                    </m:e>
                    <m:sub>
                      <m:r>
                        <m:t>l</m:t>
                      </m:r>
                      <m:r>
                        <m:t>i</m:t>
                      </m:r>
                      <m:r>
                        <m:t>n</m:t>
                      </m:r>
                      <m:r>
                        <m:t>e</m:t>
                      </m:r>
                      <m:r>
                        <m:t>s</m:t>
                      </m:r>
                    </m:sub>
                  </m:sSub>
                </m:e>
              </m:d>
            </m:den>
          </m:f>
        </m:oMath>
      </m:oMathPara>
    </w:p>
    <w:p>
      <w:pPr>
        <w:pStyle w:val="FirstParagraph"/>
      </w:pPr>
      <w:r>
        <w:t xml:space="preserve">The critical Euler buckling load (</w:t>
      </w:r>
      <m:oMath>
        <m:sSub>
          <m:e>
            <m:r>
              <m:t>P</m:t>
            </m:r>
          </m:e>
          <m:sub>
            <m:r>
              <m:t>c</m:t>
            </m:r>
            <m:r>
              <m:t>r</m:t>
            </m:r>
            <m:r>
              <m:t>i</m:t>
            </m:r>
            <m:r>
              <m:t>t</m:t>
            </m:r>
          </m:sub>
        </m:sSub>
      </m:oMath>
      <w:r>
        <w:t xml:space="preserve">) for this beam segment (assuming pinned ends at the knuckles) is:</w:t>
      </w:r>
    </w:p>
    <w:p>
      <w:pPr>
        <w:pStyle w:val="BodyText"/>
      </w:pPr>
      <m:oMathPara>
        <m:oMathParaPr>
          <m:jc m:val="center"/>
        </m:oMathParaPr>
        <m:oMath>
          <m:sSub>
            <m:e>
              <m:r>
                <m:t>P</m:t>
              </m:r>
            </m:e>
            <m:sub>
              <m:r>
                <m:t>c</m:t>
              </m:r>
              <m:r>
                <m:t>r</m:t>
              </m:r>
              <m:r>
                <m:t>i</m:t>
              </m:r>
              <m:r>
                <m:t>t</m:t>
              </m:r>
            </m:sub>
          </m:sSub>
          <m:r>
            <m:rPr>
              <m:sty m:val="p"/>
            </m:rPr>
            <m:t>=</m:t>
          </m:r>
          <m:f>
            <m:fPr>
              <m:type m:val="bar"/>
            </m:fPr>
            <m:num>
              <m:sSup>
                <m:e>
                  <m:r>
                    <m:t>π</m:t>
                  </m:r>
                </m:e>
                <m:sup>
                  <m:r>
                    <m:t>2</m:t>
                  </m:r>
                </m:sup>
              </m:sSup>
              <m:r>
                <m:t>E</m:t>
              </m:r>
              <m:sSub>
                <m:e>
                  <m:r>
                    <m:t>I</m:t>
                  </m:r>
                </m:e>
                <m:sub>
                  <m:r>
                    <m:t>m</m:t>
                  </m:r>
                  <m:r>
                    <m:t>i</m:t>
                  </m:r>
                  <m:r>
                    <m:t>n</m:t>
                  </m:r>
                </m:sub>
              </m:sSub>
            </m:num>
            <m:den>
              <m:sSubSup>
                <m:e>
                  <m:r>
                    <m:t>L</m:t>
                  </m:r>
                </m:e>
                <m:sub>
                  <m:r>
                    <m:t>p</m:t>
                  </m:r>
                </m:sub>
                <m:sup>
                  <m:r>
                    <m:t>2</m:t>
                  </m:r>
                </m:sup>
              </m:sSubSup>
            </m:den>
          </m:f>
        </m:oMath>
      </m:oMathPara>
    </w:p>
    <w:p>
      <w:pPr>
        <w:pStyle w:val="FirstParagraph"/>
      </w:pPr>
      <w:r>
        <w:t xml:space="preserve">where</w:t>
      </w:r>
      <w:r>
        <w:t xml:space="preserve"> </w:t>
      </w:r>
      <m:oMath>
        <m:r>
          <m:t>E</m:t>
        </m:r>
      </m:oMath>
      <w:r>
        <w:t xml:space="preserve"> </w:t>
      </w:r>
      <w:r>
        <w:t xml:space="preserve">is the Young’s Modulus of CFRP (70 GPa) and</w:t>
      </w:r>
      <w:r>
        <w:t xml:space="preserve"> </w:t>
      </w:r>
      <m:oMath>
        <m:sSub>
          <m:e>
            <m:r>
              <m:t>I</m:t>
            </m:r>
          </m:e>
          <m:sub>
            <m:r>
              <m:t>m</m:t>
            </m:r>
            <m:r>
              <m:t>i</m:t>
            </m:r>
            <m:r>
              <m:t>n</m:t>
            </m:r>
          </m:sub>
        </m:sSub>
      </m:oMath>
      <w:r>
        <w:t xml:space="preserve"> </w:t>
      </w:r>
      <w:r>
        <w:t xml:space="preserve">is the second moment of area of the chosen beam profile. We enforce a hard feasibility gate of</w:t>
      </w:r>
      <w:r>
        <w:t xml:space="preserve"> </w:t>
      </w:r>
      <m:oMath>
        <m:r>
          <m:t>F</m:t>
        </m:r>
        <m:r>
          <m:t>O</m:t>
        </m:r>
        <m:sSub>
          <m:e>
            <m:r>
              <m:t>S</m:t>
            </m:r>
          </m:e>
          <m:sub>
            <m:r>
              <m:t>E</m:t>
            </m:r>
            <m:r>
              <m:t>u</m:t>
            </m:r>
            <m:r>
              <m:t>l</m:t>
            </m:r>
            <m:r>
              <m:t>e</m:t>
            </m:r>
            <m:r>
              <m:t>r</m:t>
            </m:r>
          </m:sub>
        </m:sSub>
        <m:r>
          <m:rPr>
            <m:sty m:val="p"/>
          </m:rPr>
          <m:t>=</m:t>
        </m:r>
        <m:sSub>
          <m:e>
            <m:r>
              <m:t>P</m:t>
            </m:r>
          </m:e>
          <m:sub>
            <m:r>
              <m:t>c</m:t>
            </m:r>
            <m:r>
              <m:t>r</m:t>
            </m:r>
            <m:r>
              <m:t>i</m:t>
            </m:r>
            <m:r>
              <m:t>t</m:t>
            </m:r>
          </m:sub>
        </m:sSub>
        <m:r>
          <m:rPr>
            <m:sty m:val="p"/>
          </m:rPr>
          <m:t>/</m:t>
        </m:r>
        <m:sSub>
          <m:e>
            <m:r>
              <m:t>N</m:t>
            </m:r>
          </m:e>
          <m:sub>
            <m:r>
              <m:t>c</m:t>
            </m:r>
            <m:r>
              <m:t>o</m:t>
            </m:r>
            <m:r>
              <m:t>m</m:t>
            </m:r>
            <m:r>
              <m:t>p</m:t>
            </m:r>
          </m:sub>
        </m:sSub>
        <m:r>
          <m:rPr>
            <m:sty m:val="p"/>
          </m:rPr>
          <m:t>≥</m:t>
        </m:r>
        <m:r>
          <m:t>1.8</m:t>
        </m:r>
      </m:oMath>
      <w:r>
        <w:t xml:space="preserve"> </w:t>
      </w:r>
      <w:r>
        <w:t xml:space="preserve">under peak 25 m/s design loads.</w:t>
      </w:r>
    </w:p>
    <w:bookmarkEnd w:id="22"/>
    <w:bookmarkStart w:id="23" w:name="Xe5b7e8d5fe4bfcb5d2586a5ecf70d0a0b19239e"/>
    <w:p>
      <w:pPr>
        <w:pStyle w:val="Heading4"/>
      </w:pPr>
      <w:r>
        <w:t xml:space="preserve">2.2.2 Torsional Stability (The Tulloch/Wacker Criterion)</w:t>
      </w:r>
    </w:p>
    <w:p>
      <w:pPr>
        <w:pStyle w:val="FirstParagraph"/>
      </w:pPr>
      <w:r>
        <w:t xml:space="preserve">Unlike rigid shafts, tensile shafts possess a maximum theoretical torque capacity before the restoring geometric mechanism fails. If the operational torque exceeds this geometric limit, the shaft will continuously twist, the lines will bunch together (</w:t>
      </w:r>
      <w:r>
        <w:t xml:space="preserve">“</w:t>
      </w:r>
      <w:r>
        <w:t xml:space="preserve">necking</w:t>
      </w:r>
      <w:r>
        <w:t xml:space="preserve">”</w:t>
      </w:r>
      <w:r>
        <w:t xml:space="preserve">), and the structure will collapse inward.</w:t>
      </w:r>
    </w:p>
    <w:p>
      <w:pPr>
        <w:pStyle w:val="BodyText"/>
      </w:pPr>
      <w:r>
        <w:t xml:space="preserve">As formalized by</w:t>
      </w:r>
      <w:r>
        <w:t xml:space="preserve"> </w:t>
      </w:r>
      <w:r>
        <w:rPr>
          <w:iCs/>
          <w:i/>
        </w:rPr>
        <w:t xml:space="preserve">Tulloch et al. (2020)</w:t>
      </w:r>
      <w:r>
        <w:t xml:space="preserve"> </w:t>
      </w:r>
      <w:r>
        <w:t xml:space="preserve">and</w:t>
      </w:r>
      <w:r>
        <w:t xml:space="preserve"> </w:t>
      </w:r>
      <w:r>
        <w:rPr>
          <w:iCs/>
          <w:i/>
        </w:rPr>
        <w:t xml:space="preserve">Wacker et al. (2023)</w:t>
      </w:r>
      <w:r>
        <w:t xml:space="preserve">, the absolute torque capacity</w:t>
      </w:r>
      <w:r>
        <w:t xml:space="preserve"> </w:t>
      </w:r>
      <m:oMath>
        <m:sSub>
          <m:e>
            <m:r>
              <m:t>τ</m:t>
            </m:r>
          </m:e>
          <m:sub>
            <m:r>
              <m:t>c</m:t>
            </m:r>
            <m:r>
              <m:t>a</m:t>
            </m:r>
            <m:r>
              <m:t>p</m:t>
            </m:r>
          </m:sub>
        </m:sSub>
      </m:oMath>
      <w:r>
        <w:t xml:space="preserve"> </w:t>
      </w:r>
      <w:r>
        <w:t xml:space="preserve">of a TRPT segment of length</w:t>
      </w:r>
      <w:r>
        <w:t xml:space="preserve"> </w:t>
      </w:r>
      <m:oMath>
        <m:sSub>
          <m:e>
            <m:r>
              <m:t>L</m:t>
            </m:r>
          </m:e>
          <m:sub>
            <m:r>
              <m:t>s</m:t>
            </m:r>
            <m:r>
              <m:t>e</m:t>
            </m:r>
            <m:r>
              <m:t>g</m:t>
            </m:r>
          </m:sub>
        </m:sSub>
      </m:oMath>
      <w:r>
        <w:t xml:space="preserve"> </w:t>
      </w:r>
      <w:r>
        <w:t xml:space="preserve">between rings of minimum radius</w:t>
      </w:r>
      <w:r>
        <w:t xml:space="preserve"> </w:t>
      </w:r>
      <m:oMath>
        <m:sSub>
          <m:e>
            <m:r>
              <m:t>r</m:t>
            </m:r>
          </m:e>
          <m:sub>
            <m:r>
              <m:t>m</m:t>
            </m:r>
            <m:r>
              <m:t>i</m:t>
            </m:r>
            <m:r>
              <m:t>n</m:t>
            </m:r>
          </m:sub>
        </m:sSub>
      </m:oMath>
      <w:r>
        <w:t xml:space="preserve"> </w:t>
      </w:r>
      <w:r>
        <w:t xml:space="preserve">is given by:</w:t>
      </w:r>
    </w:p>
    <w:p>
      <w:pPr>
        <w:pStyle w:val="BodyText"/>
      </w:pPr>
      <m:oMathPara>
        <m:oMathParaPr>
          <m:jc m:val="center"/>
        </m:oMathParaPr>
        <m:oMath>
          <m:sSub>
            <m:e>
              <m:r>
                <m:t>τ</m:t>
              </m:r>
            </m:e>
            <m:sub>
              <m:r>
                <m:t>c</m:t>
              </m:r>
              <m:r>
                <m:t>a</m:t>
              </m:r>
              <m:r>
                <m:t>p</m:t>
              </m:r>
            </m:sub>
          </m:sSub>
          <m:r>
            <m:rPr>
              <m:sty m:val="p"/>
            </m:rPr>
            <m:t>=</m:t>
          </m:r>
          <m:f>
            <m:fPr>
              <m:type m:val="bar"/>
            </m:fPr>
            <m:num>
              <m:sSub>
                <m:e>
                  <m:r>
                    <m:t>T</m:t>
                  </m:r>
                </m:e>
                <m:sub>
                  <m:r>
                    <m:t>t</m:t>
                  </m:r>
                  <m:r>
                    <m:t>o</m:t>
                  </m:r>
                  <m:r>
                    <m:t>t</m:t>
                  </m:r>
                  <m:r>
                    <m:t>a</m:t>
                  </m:r>
                  <m:r>
                    <m:t>l</m:t>
                  </m:r>
                </m:sub>
              </m:sSub>
              <m:r>
                <m:rPr>
                  <m:sty m:val="p"/>
                </m:rPr>
                <m:t>⋅</m:t>
              </m:r>
              <m:sSubSup>
                <m:e>
                  <m:r>
                    <m:t>r</m:t>
                  </m:r>
                </m:e>
                <m:sub>
                  <m:r>
                    <m:t>m</m:t>
                  </m:r>
                  <m:r>
                    <m:t>i</m:t>
                  </m:r>
                  <m:r>
                    <m:t>n</m:t>
                  </m:r>
                </m:sub>
                <m:sup>
                  <m:r>
                    <m:t>2</m:t>
                  </m:r>
                </m:sup>
              </m:sSubSup>
            </m:num>
            <m:den>
              <m:rad>
                <m:radPr>
                  <m:degHide m:val="on"/>
                </m:radPr>
                <m:deg/>
                <m:e>
                  <m:sSubSup>
                    <m:e>
                      <m:r>
                        <m:t>L</m:t>
                      </m:r>
                    </m:e>
                    <m:sub>
                      <m:r>
                        <m:t>s</m:t>
                      </m:r>
                      <m:r>
                        <m:t>e</m:t>
                      </m:r>
                      <m:r>
                        <m:t>g</m:t>
                      </m:r>
                    </m:sub>
                    <m:sup>
                      <m:r>
                        <m:t>2</m:t>
                      </m:r>
                    </m:sup>
                  </m:sSubSup>
                  <m:r>
                    <m:rPr>
                      <m:sty m:val="p"/>
                    </m:rPr>
                    <m:t>+</m:t>
                  </m:r>
                  <m:r>
                    <m:t>2</m:t>
                  </m:r>
                  <m:r>
                    <m:rPr>
                      <m:sty m:val="p"/>
                    </m:rPr>
                    <m:t>⋅</m:t>
                  </m:r>
                  <m:sSubSup>
                    <m:e>
                      <m:r>
                        <m:t>r</m:t>
                      </m:r>
                    </m:e>
                    <m:sub>
                      <m:r>
                        <m:t>m</m:t>
                      </m:r>
                      <m:r>
                        <m:t>i</m:t>
                      </m:r>
                      <m:r>
                        <m:t>n</m:t>
                      </m:r>
                    </m:sub>
                    <m:sup>
                      <m:r>
                        <m:t>2</m:t>
                      </m:r>
                    </m:sup>
                  </m:sSubSup>
                </m:e>
              </m:rad>
            </m:den>
          </m:f>
        </m:oMath>
      </m:oMathPara>
    </w:p>
    <w:p>
      <w:pPr>
        <w:pStyle w:val="FirstParagraph"/>
      </w:pPr>
      <w:r>
        <w:t xml:space="preserve">Crucially,</w:t>
      </w:r>
      <w:r>
        <w:t xml:space="preserve"> </w:t>
      </w:r>
      <m:oMath>
        <m:sSub>
          <m:e>
            <m:r>
              <m:t>τ</m:t>
            </m:r>
          </m:e>
          <m:sub>
            <m:r>
              <m:t>c</m:t>
            </m:r>
            <m:r>
              <m:t>a</m:t>
            </m:r>
            <m:r>
              <m:t>p</m:t>
            </m:r>
          </m:sub>
        </m:sSub>
      </m:oMath>
      <w:r>
        <w:t xml:space="preserve"> </w:t>
      </w:r>
      <w:r>
        <w:t xml:space="preserve">scales with the</w:t>
      </w:r>
      <w:r>
        <w:t xml:space="preserve"> </w:t>
      </w:r>
      <w:r>
        <w:rPr>
          <w:iCs/>
          <w:i/>
        </w:rPr>
        <w:t xml:space="preserve">square</w:t>
      </w:r>
      <w:r>
        <w:t xml:space="preserve"> </w:t>
      </w:r>
      <w:r>
        <w:t xml:space="preserve">of the local radius (</w:t>
      </w:r>
      <m:oMath>
        <m:sSubSup>
          <m:e>
            <m:r>
              <m:t>r</m:t>
            </m:r>
          </m:e>
          <m:sub>
            <m:r>
              <m:t>m</m:t>
            </m:r>
            <m:r>
              <m:t>i</m:t>
            </m:r>
            <m:r>
              <m:t>n</m:t>
            </m:r>
          </m:sub>
          <m:sup>
            <m:r>
              <m:t>2</m:t>
            </m:r>
          </m:sup>
        </m:sSubSup>
      </m:oMath>
      <w:r>
        <w:t xml:space="preserve">). Therefore, a highly tapered shaft will almost always fail at the ground station where the radius is smallest. We enforce a torsional factor of safety of</w:t>
      </w:r>
      <w:r>
        <w:t xml:space="preserve"> </w:t>
      </w:r>
      <m:oMath>
        <m:r>
          <m:t>F</m:t>
        </m:r>
        <m:r>
          <m:t>O</m:t>
        </m:r>
        <m:sSub>
          <m:e>
            <m:r>
              <m:t>S</m:t>
            </m:r>
          </m:e>
          <m:sub>
            <m:r>
              <m:t>t</m:t>
            </m:r>
            <m:r>
              <m:t>o</m:t>
            </m:r>
            <m:r>
              <m:t>r</m:t>
            </m:r>
          </m:sub>
        </m:sSub>
        <m:r>
          <m:rPr>
            <m:sty m:val="p"/>
          </m:rPr>
          <m:t>=</m:t>
        </m:r>
        <m:sSub>
          <m:e>
            <m:r>
              <m:t>τ</m:t>
            </m:r>
          </m:e>
          <m:sub>
            <m:r>
              <m:t>c</m:t>
            </m:r>
            <m:r>
              <m:t>a</m:t>
            </m:r>
            <m:r>
              <m:t>p</m:t>
            </m:r>
          </m:sub>
        </m:sSub>
        <m:r>
          <m:rPr>
            <m:sty m:val="p"/>
          </m:rPr>
          <m:t>/</m:t>
        </m:r>
        <m:sSub>
          <m:e>
            <m:r>
              <m:t>τ</m:t>
            </m:r>
          </m:e>
          <m:sub>
            <m:r>
              <m:t>o</m:t>
            </m:r>
            <m:r>
              <m:t>p</m:t>
            </m:r>
          </m:sub>
        </m:sSub>
        <m:r>
          <m:rPr>
            <m:sty m:val="p"/>
          </m:rPr>
          <m:t>≥</m:t>
        </m:r>
        <m:r>
          <m:t>1.5</m:t>
        </m:r>
      </m:oMath>
      <w:r>
        <w:t xml:space="preserve">.</w:t>
      </w:r>
    </w:p>
    <w:bookmarkEnd w:id="23"/>
    <w:bookmarkEnd w:id="24"/>
    <w:bookmarkStart w:id="25" w:name="aerodynamic-coupling-bem"/>
    <w:p>
      <w:pPr>
        <w:pStyle w:val="Heading3"/>
      </w:pPr>
      <w:r>
        <w:t xml:space="preserve">2.3 Aerodynamic Coupling (BEM)</w:t>
      </w:r>
    </w:p>
    <w:p>
      <w:pPr>
        <w:pStyle w:val="FirstParagraph"/>
      </w:pPr>
      <w:r>
        <w:t xml:space="preserve">Early campaigns assumed a fixed thrust coefficient (</w:t>
      </w:r>
      <m:oMath>
        <m:sSub>
          <m:e>
            <m:r>
              <m:t>C</m:t>
            </m:r>
          </m:e>
          <m:sub>
            <m:r>
              <m:t>T</m:t>
            </m:r>
          </m:sub>
        </m:sSub>
      </m:oMath>
      <w:r>
        <w:t xml:space="preserve">) and idealized power extraction (Betz limit). The v5 campaign replaced this with a full Blade Element Momentum (BEM) lookup table derived from AeroDyn analysis of a NACA 4412 airfoil. Power coefficients (</w:t>
      </w:r>
      <m:oMath>
        <m:sSub>
          <m:e>
            <m:r>
              <m:t>C</m:t>
            </m:r>
          </m:e>
          <m:sub>
            <m:r>
              <m:t>p</m:t>
            </m:r>
          </m:sub>
        </m:sSub>
      </m:oMath>
      <w:r>
        <w:t xml:space="preserve">) were bounded and scaled via the Prandtl tip-loss approximation:</w:t>
      </w:r>
    </w:p>
    <w:p>
      <w:pPr>
        <w:pStyle w:val="BodyText"/>
      </w:pPr>
      <m:oMathPara>
        <m:oMathParaPr>
          <m:jc m:val="center"/>
        </m:oMathParaPr>
        <m:oMath>
          <m:sSub>
            <m:e>
              <m:r>
                <m:t>C</m:t>
              </m:r>
            </m:e>
            <m:sub>
              <m:r>
                <m:t>p</m:t>
              </m:r>
            </m:sub>
          </m:sSub>
          <m:d>
            <m:dPr>
              <m:begChr m:val="("/>
              <m:endChr m:val=")"/>
              <m:sepChr m:val=""/>
              <m:grow/>
            </m:dPr>
            <m:e>
              <m:sSub>
                <m:e>
                  <m:r>
                    <m:t>n</m:t>
                  </m:r>
                </m:e>
                <m:sub>
                  <m:r>
                    <m:t>l</m:t>
                  </m:r>
                  <m:r>
                    <m:t>i</m:t>
                  </m:r>
                  <m:r>
                    <m:t>n</m:t>
                  </m:r>
                  <m:r>
                    <m:t>e</m:t>
                  </m:r>
                  <m:r>
                    <m:t>s</m:t>
                  </m:r>
                </m:sub>
              </m:sSub>
              <m:r>
                <m:rPr>
                  <m:sty m:val="p"/>
                </m:rPr>
                <m:t>,</m:t>
              </m:r>
              <m:r>
                <m:t>λ</m:t>
              </m:r>
            </m:e>
          </m:d>
          <m:r>
            <m:rPr>
              <m:sty m:val="p"/>
            </m:rPr>
            <m:t>=</m:t>
          </m:r>
          <m:f>
            <m:fPr>
              <m:type m:val="bar"/>
            </m:fPr>
            <m:num>
              <m:r>
                <m:t>16</m:t>
              </m:r>
            </m:num>
            <m:den>
              <m:r>
                <m:t>27</m:t>
              </m:r>
            </m:den>
          </m:f>
          <m:r>
            <m:rPr>
              <m:sty m:val="p"/>
            </m:rPr>
            <m:t>⋅</m:t>
          </m:r>
          <m:d>
            <m:dPr>
              <m:begChr m:val="["/>
              <m:endChr m:val="]"/>
              <m:sepChr m:val=""/>
              <m:grow/>
            </m:dPr>
            <m:e>
              <m:r>
                <m:t>1</m:t>
              </m:r>
              <m:r>
                <m:rPr>
                  <m:sty m:val="p"/>
                </m:rPr>
                <m:t>−</m:t>
              </m:r>
              <m:r>
                <m:rPr>
                  <m:sty m:val="p"/>
                </m:rPr>
                <m:t>exp</m:t>
              </m:r>
              <m:d>
                <m:dPr>
                  <m:begChr m:val="("/>
                  <m:endChr m:val=")"/>
                  <m:sepChr m:val=""/>
                  <m:grow/>
                </m:dPr>
                <m:e>
                  <m:r>
                    <m:rPr>
                      <m:sty m:val="p"/>
                    </m:rPr>
                    <m:t>−</m:t>
                  </m:r>
                  <m:f>
                    <m:fPr>
                      <m:type m:val="bar"/>
                    </m:fPr>
                    <m:num>
                      <m:sSub>
                        <m:e>
                          <m:r>
                            <m:t>n</m:t>
                          </m:r>
                        </m:e>
                        <m:sub>
                          <m:r>
                            <m:t>l</m:t>
                          </m:r>
                          <m:r>
                            <m:t>i</m:t>
                          </m:r>
                          <m:r>
                            <m:t>n</m:t>
                          </m:r>
                          <m:r>
                            <m:t>e</m:t>
                          </m:r>
                          <m:r>
                            <m:t>s</m:t>
                          </m:r>
                        </m:sub>
                      </m:sSub>
                    </m:num>
                    <m:den>
                      <m:r>
                        <m:t>2</m:t>
                      </m:r>
                    </m:den>
                  </m:f>
                </m:e>
              </m:d>
            </m:e>
          </m:d>
          <m:r>
            <m:rPr>
              <m:sty m:val="p"/>
            </m:rPr>
            <m:t>⋅</m:t>
          </m:r>
          <m:r>
            <m:t>0.85</m:t>
          </m:r>
        </m:oMath>
      </m:oMathPara>
    </w:p>
    <w:p>
      <w:pPr>
        <w:pStyle w:val="FirstParagraph"/>
      </w:pPr>
      <w:r>
        <w:t xml:space="preserve">This applies a realistic aerodynamic penalty to high-solidity rotors due to induction losses and vortex shedding, forcing the structural optimizer to confront true aero-structural trade-offs.</w:t>
      </w:r>
    </w:p>
    <w:p>
      <w:r>
        <w:pict>
          <v:rect style="width:0;height:1.5pt" o:hralign="center" o:hrstd="t" o:hr="t"/>
        </w:pict>
      </w:r>
    </w:p>
    <w:bookmarkEnd w:id="25"/>
    <w:bookmarkEnd w:id="26"/>
    <w:bookmarkStart w:id="29" w:name="X09a0bdc72fc36255662966b023a01fbafa0fdf3"/>
    <w:p>
      <w:pPr>
        <w:pStyle w:val="Heading2"/>
      </w:pPr>
      <w:r>
        <w:t xml:space="preserve">3. Methodology: Design Space and Parameterisation</w:t>
      </w:r>
    </w:p>
    <w:p>
      <w:pPr>
        <w:pStyle w:val="FirstParagraph"/>
      </w:pPr>
      <w:r>
        <w:t xml:space="preserve">The optimization process evaluates a 9-degree-of-freedom search space using a 60-island Differential Evolution (DE) architecture (168-hour budget,</w:t>
      </w:r>
      <w:r>
        <w:t xml:space="preserve"> </w:t>
      </w:r>
      <m:oMath>
        <m:r>
          <m:rPr>
            <m:sty m:val="p"/>
          </m:rPr>
          <m:t>≈</m:t>
        </m:r>
        <m:r>
          <m:t>1.28</m:t>
        </m:r>
        <m:r>
          <m:rPr>
            <m:sty m:val="p"/>
          </m:rPr>
          <m:t>×</m:t>
        </m:r>
        <m:sSup>
          <m:e>
            <m:r>
              <m:t>10</m:t>
            </m:r>
          </m:e>
          <m:sup>
            <m:r>
              <m:t>8</m:t>
            </m:r>
          </m:sup>
        </m:sSup>
      </m:oMath>
      <w:r>
        <w:t xml:space="preserve"> </w:t>
      </w:r>
      <w:r>
        <w:t xml:space="preserve">evaluations per island).</w:t>
      </w:r>
    </w:p>
    <w:bookmarkStart w:id="27" w:name="the-9-degrees-of-freedom"/>
    <w:p>
      <w:pPr>
        <w:pStyle w:val="Heading3"/>
      </w:pPr>
      <w:r>
        <w:t xml:space="preserve">3.1 The 9 Degrees of Freedom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Symbol</w:t>
            </w:r>
          </w:p>
        </w:tc>
        <w:tc>
          <w:tcPr/>
          <w:p>
            <w:pPr>
              <w:pStyle w:val="Compact"/>
              <w:jc w:val="left"/>
            </w:pPr>
            <w:r>
              <w:t xml:space="preserve">Bounds (10 kW)</w:t>
            </w:r>
          </w:p>
        </w:tc>
        <w:tc>
          <w:tcPr/>
          <w:p>
            <w:pPr>
              <w:pStyle w:val="Compact"/>
              <w:jc w:val="left"/>
            </w:pPr>
            <w:r>
              <w:t xml:space="preserve">Description</w:t>
            </w:r>
          </w:p>
        </w:tc>
      </w:tr>
      <w:tr>
        <w:tc>
          <w:tcPr/>
          <w:p>
            <w:pPr>
              <w:pStyle w:val="Compact"/>
              <w:jc w:val="left"/>
            </w:pPr>
            <w:r>
              <w:rPr>
                <w:rStyle w:val="VerbatimChar"/>
              </w:rPr>
              <w:t xml:space="preserve">Do_top_m</w:t>
            </w:r>
          </w:p>
        </w:tc>
        <w:tc>
          <w:tcPr/>
          <w:p>
            <w:pPr>
              <w:pStyle w:val="Compact"/>
              <w:jc w:val="left"/>
            </w:pPr>
            <m:oMath>
              <m:sSub>
                <m:e>
                  <m:r>
                    <m:t>D</m:t>
                  </m:r>
                </m:e>
                <m:sub>
                  <m:r>
                    <m:t>0</m:t>
                  </m:r>
                </m:sub>
              </m:sSub>
            </m:oMath>
          </w:p>
        </w:tc>
        <w:tc>
          <w:tcPr/>
          <w:p>
            <w:pPr>
              <w:pStyle w:val="Compact"/>
              <w:jc w:val="left"/>
            </w:pPr>
            <w:r>
              <w:t xml:space="preserve">5 – 120 mm</w:t>
            </w:r>
          </w:p>
        </w:tc>
        <w:tc>
          <w:tcPr/>
          <w:p>
            <w:pPr>
              <w:pStyle w:val="Compact"/>
              <w:jc w:val="left"/>
            </w:pPr>
            <w:r>
              <w:t xml:space="preserve">Outer beam diameter at hub ring</w:t>
            </w:r>
          </w:p>
        </w:tc>
      </w:tr>
      <w:tr>
        <w:tc>
          <w:tcPr/>
          <w:p>
            <w:pPr>
              <w:pStyle w:val="Compact"/>
              <w:jc w:val="left"/>
            </w:pPr>
            <w:r>
              <w:rPr>
                <w:rStyle w:val="VerbatimChar"/>
              </w:rPr>
              <w:t xml:space="preserve">t_over_D</w:t>
            </w:r>
          </w:p>
        </w:tc>
        <w:tc>
          <w:tcPr/>
          <w:p>
            <w:pPr>
              <w:pStyle w:val="Compact"/>
              <w:jc w:val="left"/>
            </w:pPr>
            <m:oMath>
              <m:r>
                <m:t>t</m:t>
              </m:r>
              <m:r>
                <m:rPr>
                  <m:sty m:val="p"/>
                </m:rPr>
                <m:t>/</m:t>
              </m:r>
              <m:r>
                <m:t>D</m:t>
              </m:r>
            </m:oMath>
          </w:p>
        </w:tc>
        <w:tc>
          <w:tcPr/>
          <w:p>
            <w:pPr>
              <w:pStyle w:val="Compact"/>
              <w:jc w:val="left"/>
            </w:pPr>
            <w:r>
              <w:t xml:space="preserve">0.01 – 0.05</w:t>
            </w:r>
          </w:p>
        </w:tc>
        <w:tc>
          <w:tcPr/>
          <w:p>
            <w:pPr>
              <w:pStyle w:val="Compact"/>
              <w:jc w:val="left"/>
            </w:pPr>
            <w:r>
              <w:t xml:space="preserve">Wall thickness ratio</w:t>
            </w:r>
          </w:p>
        </w:tc>
      </w:tr>
      <w:tr>
        <w:tc>
          <w:tcPr/>
          <w:p>
            <w:pPr>
              <w:pStyle w:val="Compact"/>
              <w:jc w:val="left"/>
            </w:pPr>
            <w:r>
              <w:rPr>
                <w:rStyle w:val="VerbatimChar"/>
              </w:rPr>
              <w:t xml:space="preserve">beam_aspect</w:t>
            </w:r>
          </w:p>
        </w:tc>
        <w:tc>
          <w:tcPr/>
          <w:p>
            <w:pPr>
              <w:pStyle w:val="Compact"/>
              <w:jc w:val="left"/>
            </w:pPr>
            <m:oMath>
              <m:r>
                <m:t>b</m:t>
              </m:r>
              <m:r>
                <m:rPr>
                  <m:sty m:val="p"/>
                </m:rPr>
                <m:t>/</m:t>
              </m:r>
              <m:r>
                <m:t>a</m:t>
              </m:r>
            </m:oMath>
          </w:p>
        </w:tc>
        <w:tc>
          <w:tcPr/>
          <w:p>
            <w:pPr>
              <w:pStyle w:val="Compact"/>
              <w:jc w:val="left"/>
            </w:pPr>
            <w:r>
              <w:t xml:space="preserve">profile-dependent</w:t>
            </w:r>
          </w:p>
        </w:tc>
        <w:tc>
          <w:tcPr/>
          <w:p>
            <w:pPr>
              <w:pStyle w:val="Compact"/>
              <w:jc w:val="left"/>
            </w:pPr>
            <w:r>
              <w:t xml:space="preserve">Ellipticity / airfoil thickness</w:t>
            </w:r>
          </w:p>
        </w:tc>
      </w:tr>
      <w:tr>
        <w:tc>
          <w:tcPr/>
          <w:p>
            <w:pPr>
              <w:pStyle w:val="Compact"/>
              <w:jc w:val="left"/>
            </w:pPr>
            <w:r>
              <w:rPr>
                <w:rStyle w:val="VerbatimChar"/>
              </w:rPr>
              <w:t xml:space="preserve">Do_scale_exp</w:t>
            </w:r>
          </w:p>
        </w:tc>
        <w:tc>
          <w:tcPr/>
          <w:p>
            <w:pPr>
              <w:pStyle w:val="Compact"/>
              <w:jc w:val="left"/>
            </w:pPr>
            <m:oMath>
              <m:r>
                <m:t>α</m:t>
              </m:r>
            </m:oMath>
          </w:p>
        </w:tc>
        <w:tc>
          <w:tcPr/>
          <w:p>
            <w:pPr>
              <w:pStyle w:val="Compact"/>
              <w:jc w:val="left"/>
            </w:pPr>
            <w:r>
              <w:t xml:space="preserve">0 – 1.0</w:t>
            </w:r>
          </w:p>
        </w:tc>
        <w:tc>
          <w:tcPr/>
          <w:p>
            <w:pPr>
              <w:pStyle w:val="Compact"/>
              <w:jc w:val="left"/>
            </w:pPr>
            <w:r>
              <w:t xml:space="preserve">Taper exponent for beam diameter</w:t>
            </w:r>
          </w:p>
        </w:tc>
      </w:tr>
      <w:tr>
        <w:tc>
          <w:tcPr/>
          <w:p>
            <w:pPr>
              <w:pStyle w:val="Compact"/>
              <w:jc w:val="left"/>
            </w:pPr>
            <w:r>
              <w:rPr>
                <w:rStyle w:val="VerbatimChar"/>
              </w:rPr>
              <w:t xml:space="preserve">r_hub_m</w:t>
            </w:r>
          </w:p>
        </w:tc>
        <w:tc>
          <w:tcPr/>
          <w:p>
            <w:pPr>
              <w:pStyle w:val="Compact"/>
              <w:jc w:val="left"/>
            </w:pPr>
            <m:oMath>
              <m:sSub>
                <m:e>
                  <m:r>
                    <m:t>r</m:t>
                  </m:r>
                </m:e>
                <m:sub>
                  <m:r>
                    <m:t>h</m:t>
                  </m:r>
                  <m:r>
                    <m:t>u</m:t>
                  </m:r>
                  <m:r>
                    <m:t>b</m:t>
                  </m:r>
                </m:sub>
              </m:sSub>
            </m:oMath>
          </w:p>
        </w:tc>
        <w:tc>
          <w:tcPr/>
          <w:p>
            <w:pPr>
              <w:pStyle w:val="Compact"/>
              <w:jc w:val="left"/>
            </w:pPr>
            <w:r>
              <w:t xml:space="preserve">1.6 – 2.4 m</w:t>
            </w:r>
          </w:p>
        </w:tc>
        <w:tc>
          <w:tcPr/>
          <w:p>
            <w:pPr>
              <w:pStyle w:val="Compact"/>
              <w:jc w:val="left"/>
            </w:pPr>
            <w:r>
              <w:t xml:space="preserve">Hub ring radius</w:t>
            </w:r>
          </w:p>
        </w:tc>
      </w:tr>
      <w:tr>
        <w:tc>
          <w:tcPr/>
          <w:p>
            <w:pPr>
              <w:pStyle w:val="Compact"/>
              <w:jc w:val="left"/>
            </w:pPr>
            <w:r>
              <w:rPr>
                <w:rStyle w:val="VerbatimChar"/>
              </w:rPr>
              <w:t xml:space="preserve">r_bottom_m</w:t>
            </w:r>
          </w:p>
        </w:tc>
        <w:tc>
          <w:tcPr/>
          <w:p>
            <w:pPr>
              <w:pStyle w:val="Compact"/>
              <w:jc w:val="left"/>
            </w:pPr>
            <m:oMath>
              <m:sSub>
                <m:e>
                  <m:r>
                    <m:t>r</m:t>
                  </m:r>
                </m:e>
                <m:sub>
                  <m:r>
                    <m:t>b</m:t>
                  </m:r>
                  <m:r>
                    <m:t>o</m:t>
                  </m:r>
                  <m:r>
                    <m:t>t</m:t>
                  </m:r>
                </m:sub>
              </m:sSub>
            </m:oMath>
          </w:p>
        </w:tc>
        <w:tc>
          <w:tcPr/>
          <w:p>
            <w:pPr>
              <w:pStyle w:val="Compact"/>
              <w:jc w:val="left"/>
            </w:pPr>
            <w:r>
              <w:t xml:space="preserve">0.3 – 1.5 m</w:t>
            </w:r>
          </w:p>
        </w:tc>
        <w:tc>
          <w:tcPr/>
          <w:p>
            <w:pPr>
              <w:pStyle w:val="Compact"/>
              <w:jc w:val="left"/>
            </w:pPr>
            <w:r>
              <w:t xml:space="preserve">Ground ring radius</w:t>
            </w:r>
          </w:p>
        </w:tc>
      </w:tr>
      <w:tr>
        <w:tc>
          <w:tcPr/>
          <w:p>
            <w:pPr>
              <w:pStyle w:val="Compact"/>
              <w:jc w:val="left"/>
            </w:pPr>
            <w:r>
              <w:rPr>
                <w:rStyle w:val="VerbatimChar"/>
              </w:rPr>
              <w:t xml:space="preserve">target_Lr</w:t>
            </w:r>
          </w:p>
        </w:tc>
        <w:tc>
          <w:tcPr/>
          <w:p>
            <w:pPr>
              <w:pStyle w:val="Compact"/>
              <w:jc w:val="left"/>
            </w:pPr>
            <m:oMath>
              <m:r>
                <m:t>L</m:t>
              </m:r>
              <m:r>
                <m:rPr>
                  <m:sty m:val="p"/>
                </m:rPr>
                <m:t>/</m:t>
              </m:r>
              <m:r>
                <m:t>r</m:t>
              </m:r>
            </m:oMath>
          </w:p>
        </w:tc>
        <w:tc>
          <w:tcPr/>
          <w:p>
            <w:pPr>
              <w:pStyle w:val="Compact"/>
              <w:jc w:val="left"/>
            </w:pPr>
            <w:r>
              <w:t xml:space="preserve">0.4 – 2.0</w:t>
            </w:r>
          </w:p>
        </w:tc>
        <w:tc>
          <w:tcPr/>
          <w:p>
            <w:pPr>
              <w:pStyle w:val="Compact"/>
              <w:jc w:val="left"/>
            </w:pPr>
            <w:r>
              <w:t xml:space="preserve">Target slenderness for shaft segments</w:t>
            </w:r>
          </w:p>
        </w:tc>
      </w:tr>
      <w:tr>
        <w:tc>
          <w:tcPr/>
          <w:p>
            <w:pPr>
              <w:pStyle w:val="Compact"/>
              <w:jc w:val="left"/>
            </w:pPr>
            <w:r>
              <w:rPr>
                <w:rStyle w:val="VerbatimChar"/>
              </w:rPr>
              <w:t xml:space="preserve">knuckle_mass_kg</w:t>
            </w:r>
          </w:p>
        </w:tc>
        <w:tc>
          <w:tcPr/>
          <w:p>
            <w:pPr>
              <w:pStyle w:val="Compact"/>
              <w:jc w:val="left"/>
            </w:pPr>
            <m:oMath>
              <m:sSub>
                <m:e>
                  <m:r>
                    <m:t>m</m:t>
                  </m:r>
                </m:e>
                <m:sub>
                  <m:r>
                    <m:t>k</m:t>
                  </m:r>
                </m:sub>
              </m:sSub>
            </m:oMath>
          </w:p>
        </w:tc>
        <w:tc>
          <w:tcPr/>
          <w:p>
            <w:pPr>
              <w:pStyle w:val="Compact"/>
              <w:jc w:val="left"/>
            </w:pPr>
            <w:r>
              <w:t xml:space="preserve">0.01 – 0.20 kg</w:t>
            </w:r>
          </w:p>
        </w:tc>
        <w:tc>
          <w:tcPr/>
          <w:p>
            <w:pPr>
              <w:pStyle w:val="Compact"/>
              <w:jc w:val="left"/>
            </w:pPr>
            <w:r>
              <w:t xml:space="preserve">Per-vertex point mass</w:t>
            </w:r>
          </w:p>
        </w:tc>
      </w:tr>
      <w:tr>
        <w:tc>
          <w:tcPr/>
          <w:p>
            <w:pPr>
              <w:pStyle w:val="Compact"/>
              <w:jc w:val="left"/>
            </w:pPr>
            <w:r>
              <w:rPr>
                <w:rStyle w:val="VerbatimChar"/>
              </w:rPr>
              <w:t xml:space="preserve">n_lines</w:t>
            </w:r>
          </w:p>
        </w:tc>
        <w:tc>
          <w:tcPr/>
          <w:p>
            <w:pPr>
              <w:pStyle w:val="Compact"/>
              <w:jc w:val="left"/>
            </w:pPr>
            <m:oMath>
              <m:r>
                <m:t>n</m:t>
              </m:r>
            </m:oMath>
          </w:p>
        </w:tc>
        <w:tc>
          <w:tcPr/>
          <w:p>
            <w:pPr>
              <w:pStyle w:val="Compact"/>
              <w:jc w:val="left"/>
            </w:pPr>
            <w:r>
              <w:t xml:space="preserve">3 – 8 (integer)</w:t>
            </w:r>
          </w:p>
        </w:tc>
        <w:tc>
          <w:tcPr/>
          <w:p>
            <w:pPr>
              <w:pStyle w:val="Compact"/>
              <w:jc w:val="left"/>
            </w:pPr>
            <w:r>
              <w:t xml:space="preserve">Polygon sides (tether lines)</w:t>
            </w:r>
          </w:p>
        </w:tc>
      </w:tr>
    </w:tbl>
    <w:bookmarkEnd w:id="27"/>
    <w:bookmarkStart w:id="28" w:name="the-constant-lr-spacing-law"/>
    <w:p>
      <w:pPr>
        <w:pStyle w:val="Heading3"/>
      </w:pPr>
      <w:r>
        <w:t xml:space="preserve">3.2 The Constant L/r Spacing Law</w:t>
      </w:r>
    </w:p>
    <w:p>
      <w:pPr>
        <w:pStyle w:val="FirstParagraph"/>
      </w:pPr>
      <w:r>
        <w:t xml:space="preserve">A major breakthrough in the v4 campaign was the implementation of a constant slenderness (</w:t>
      </w:r>
      <m:oMath>
        <m:r>
          <m:t>L</m:t>
        </m:r>
        <m:r>
          <m:rPr>
            <m:sty m:val="p"/>
          </m:rPr>
          <m:t>/</m:t>
        </m:r>
        <m:r>
          <m:t>r</m:t>
        </m:r>
      </m:oMath>
      <w:r>
        <w:t xml:space="preserve">) spacing law. Instead of treating ring positions as independent variables, the shaft is forced to maintain a constant</w:t>
      </w:r>
      <w:r>
        <w:t xml:space="preserve"> </w:t>
      </w:r>
      <m:oMath>
        <m:sSub>
          <m:e>
            <m:r>
              <m:t>L</m:t>
            </m:r>
          </m:e>
          <m:sub>
            <m:r>
              <m:t>s</m:t>
            </m:r>
            <m:r>
              <m:t>e</m:t>
            </m:r>
            <m:r>
              <m:t>g</m:t>
            </m:r>
          </m:sub>
        </m:sSub>
        <m:r>
          <m:rPr>
            <m:sty m:val="p"/>
          </m:rPr>
          <m:t>/</m:t>
        </m:r>
        <m:sSub>
          <m:e>
            <m:r>
              <m:t>r</m:t>
            </m:r>
          </m:e>
          <m:sub>
            <m:r>
              <m:t>m</m:t>
            </m:r>
            <m:r>
              <m:t>i</m:t>
            </m:r>
            <m:r>
              <m:t>d</m:t>
            </m:r>
          </m:sub>
        </m:sSub>
      </m:oMath>
      <w:r>
        <w:t xml:space="preserve"> </w:t>
      </w:r>
      <w:r>
        <w:t xml:space="preserve">ratio for every segment.</w:t>
      </w:r>
    </w:p>
    <w:p>
      <w:pPr>
        <w:pStyle w:val="BodyText"/>
      </w:pPr>
      <w:r>
        <w:t xml:space="preserve">For a linearly tapered shaft, this produces ring radii that form a geometric series:</w:t>
      </w:r>
    </w:p>
    <w:p>
      <w:pPr>
        <w:pStyle w:val="BodyText"/>
      </w:pPr>
      <m:oMathPara>
        <m:oMathParaPr>
          <m:jc m:val="center"/>
        </m:oMathParaPr>
        <m:oMath>
          <m:sSub>
            <m:e>
              <m:r>
                <m:t>r</m:t>
              </m:r>
            </m:e>
            <m:sub>
              <m:r>
                <m:t>i</m:t>
              </m:r>
            </m:sub>
          </m:sSub>
          <m:r>
            <m:rPr>
              <m:sty m:val="p"/>
            </m:rPr>
            <m:t>=</m:t>
          </m:r>
          <m:sSub>
            <m:e>
              <m:r>
                <m:t>r</m:t>
              </m:r>
            </m:e>
            <m:sub>
              <m:r>
                <m:t>h</m:t>
              </m:r>
              <m:r>
                <m:t>u</m:t>
              </m:r>
              <m:r>
                <m:t>b</m:t>
              </m:r>
            </m:sub>
          </m:sSub>
          <m:r>
            <m:rPr>
              <m:sty m:val="p"/>
            </m:rPr>
            <m:t>⋅</m:t>
          </m:r>
          <m:sSup>
            <m:e>
              <m:r>
                <m:t>k</m:t>
              </m:r>
            </m:e>
            <m:sup>
              <m:r>
                <m:t>i</m:t>
              </m:r>
            </m:sup>
          </m:sSup>
        </m:oMath>
      </m:oMathPara>
    </w:p>
    <w:p>
      <w:pPr>
        <w:pStyle w:val="FirstParagraph"/>
      </w:pPr>
      <w:r>
        <w:t xml:space="preserve">where the ratio</w:t>
      </w:r>
      <w:r>
        <w:t xml:space="preserve"> </w:t>
      </w:r>
      <m:oMath>
        <m:r>
          <m:t>k</m:t>
        </m:r>
        <m:r>
          <m:rPr>
            <m:sty m:val="p"/>
          </m:rPr>
          <m:t>=</m:t>
        </m:r>
        <m:d>
          <m:dPr>
            <m:begChr m:val="("/>
            <m:endChr m:val=")"/>
            <m:sepChr m:val=""/>
            <m:grow/>
          </m:dPr>
          <m:e>
            <m:r>
              <m:t>2</m:t>
            </m:r>
            <m:r>
              <m:rPr>
                <m:sty m:val="p"/>
              </m:rPr>
              <m:t>−</m:t>
            </m:r>
            <m:r>
              <m:t>α</m:t>
            </m:r>
            <m:r>
              <m:rPr>
                <m:sty m:val="p"/>
              </m:rPr>
              <m:t>⋅</m:t>
            </m:r>
            <m:r>
              <m:t>c</m:t>
            </m:r>
          </m:e>
        </m:d>
        <m:r>
          <m:rPr>
            <m:sty m:val="p"/>
          </m:rPr>
          <m:t>/</m:t>
        </m:r>
        <m:d>
          <m:dPr>
            <m:begChr m:val="("/>
            <m:endChr m:val=")"/>
            <m:sepChr m:val=""/>
            <m:grow/>
          </m:dPr>
          <m:e>
            <m:r>
              <m:t>2</m:t>
            </m:r>
            <m:r>
              <m:rPr>
                <m:sty m:val="p"/>
              </m:rPr>
              <m:t>+</m:t>
            </m:r>
            <m:r>
              <m:t>α</m:t>
            </m:r>
            <m:r>
              <m:rPr>
                <m:sty m:val="p"/>
              </m:rPr>
              <m:t>⋅</m:t>
            </m:r>
            <m:r>
              <m:t>c</m:t>
            </m:r>
          </m:e>
        </m:d>
      </m:oMath>
      <w:r>
        <w:t xml:space="preserve">,</w:t>
      </w:r>
      <w:r>
        <w:t xml:space="preserve"> </w:t>
      </w:r>
      <m:oMath>
        <m:r>
          <m:t>α</m:t>
        </m:r>
        <m:r>
          <m:rPr>
            <m:sty m:val="p"/>
          </m:rPr>
          <m:t>=</m:t>
        </m:r>
        <m:d>
          <m:dPr>
            <m:begChr m:val="("/>
            <m:endChr m:val=")"/>
            <m:sepChr m:val=""/>
            <m:grow/>
          </m:dPr>
          <m:e>
            <m:sSub>
              <m:e>
                <m:r>
                  <m:t>r</m:t>
                </m:r>
              </m:e>
              <m:sub>
                <m:r>
                  <m:t>h</m:t>
                </m:r>
                <m:r>
                  <m:t>u</m:t>
                </m:r>
                <m:r>
                  <m:t>b</m:t>
                </m:r>
              </m:sub>
            </m:sSub>
            <m:r>
              <m:rPr>
                <m:sty m:val="p"/>
              </m:rPr>
              <m:t>−</m:t>
            </m:r>
            <m:sSub>
              <m:e>
                <m:r>
                  <m:t>r</m:t>
                </m:r>
              </m:e>
              <m:sub>
                <m:r>
                  <m:t>b</m:t>
                </m:r>
                <m:r>
                  <m:t>o</m:t>
                </m:r>
                <m:r>
                  <m:t>t</m:t>
                </m:r>
              </m:sub>
            </m:sSub>
          </m:e>
        </m:d>
        <m:r>
          <m:rPr>
            <m:sty m:val="p"/>
          </m:rPr>
          <m:t>/</m:t>
        </m:r>
        <m:sSub>
          <m:e>
            <m:r>
              <m:t>L</m:t>
            </m:r>
          </m:e>
          <m:sub>
            <m:r>
              <m:t>t</m:t>
            </m:r>
            <m:r>
              <m:t>o</m:t>
            </m:r>
            <m:r>
              <m:t>t</m:t>
            </m:r>
            <m:r>
              <m:t>a</m:t>
            </m:r>
            <m:r>
              <m:t>l</m:t>
            </m:r>
          </m:sub>
        </m:sSub>
      </m:oMath>
      <w:r>
        <w:t xml:space="preserve">, and</w:t>
      </w:r>
      <w:r>
        <w:t xml:space="preserve"> </w:t>
      </w:r>
      <m:oMath>
        <m:r>
          <m:t>c</m:t>
        </m:r>
        <m:r>
          <m:rPr>
            <m:sty m:val="p"/>
          </m:rPr>
          <m:t>=</m:t>
        </m:r>
        <m:r>
          <m:t>t</m:t>
        </m:r>
        <m:r>
          <m:t>a</m:t>
        </m:r>
        <m:r>
          <m:t>r</m:t>
        </m:r>
        <m:r>
          <m:t>g</m:t>
        </m:r>
        <m:r>
          <m:t>e</m:t>
        </m:r>
        <m:r>
          <m:t>t</m:t>
        </m:r>
        <m:r>
          <m:rPr>
            <m:sty m:val="p"/>
          </m:rPr>
          <m:t>_</m:t>
        </m:r>
        <m:r>
          <m:t>L</m:t>
        </m:r>
        <m:r>
          <m:t>r</m:t>
        </m:r>
      </m:oMath>
      <w:r>
        <w:t xml:space="preserve">.</w:t>
      </w:r>
      <w:r>
        <w:t xml:space="preserve"> </w:t>
      </w:r>
      <w:r>
        <w:rPr>
          <w:iCs/>
          <w:i/>
        </w:rPr>
        <w:t xml:space="preserve">Physical motivation:</w:t>
      </w:r>
      <w:r>
        <w:t xml:space="preserve"> </w:t>
      </w:r>
      <w:r>
        <w:t xml:space="preserve">Constant</w:t>
      </w:r>
      <w:r>
        <w:t xml:space="preserve"> </w:t>
      </w:r>
      <m:oMath>
        <m:r>
          <m:t>L</m:t>
        </m:r>
        <m:r>
          <m:rPr>
            <m:sty m:val="p"/>
          </m:rPr>
          <m:t>/</m:t>
        </m:r>
        <m:r>
          <m:t>r</m:t>
        </m:r>
      </m:oMath>
      <w:r>
        <w:t xml:space="preserve"> </w:t>
      </w:r>
      <w:r>
        <w:t xml:space="preserve">ensures every segment operates at the same normalized slenderness, meaning no segment is wastefully over-designed relative to its Euler buckling capacity.</w:t>
      </w:r>
    </w:p>
    <w:p>
      <w:r>
        <w:pict>
          <v:rect style="width:0;height:1.5pt" o:hralign="center" o:hrstd="t" o:hr="t"/>
        </w:pict>
      </w:r>
    </w:p>
    <w:bookmarkEnd w:id="28"/>
    <w:bookmarkEnd w:id="29"/>
    <w:bookmarkStart w:id="34" w:name="campaign-progression-the-path-to-v5"/>
    <w:p>
      <w:pPr>
        <w:pStyle w:val="Heading2"/>
      </w:pPr>
      <w:r>
        <w:t xml:space="preserve">4. Campaign Progression: The Path to v5</w:t>
      </w:r>
    </w:p>
    <w:bookmarkStart w:id="30" w:name="campaign-v2-the-euler-illusion"/>
    <w:p>
      <w:pPr>
        <w:pStyle w:val="Heading3"/>
      </w:pPr>
      <w:r>
        <w:t xml:space="preserve">4.1 Campaign v2: The Euler Illusion</w:t>
      </w:r>
    </w:p>
    <w:p>
      <w:pPr>
        <w:pStyle w:val="FirstParagraph"/>
      </w:pPr>
      <w:r>
        <w:t xml:space="preserve">Campaign v2 enforced only the Euler buckling constraint. It found mathematically optimal designs weighing a mere</w:t>
      </w:r>
      <w:r>
        <w:t xml:space="preserve"> </w:t>
      </w:r>
      <w:r>
        <w:rPr>
          <w:bCs/>
          <w:b/>
        </w:rPr>
        <w:t xml:space="preserve">2.808 kg</w:t>
      </w:r>
      <w:r>
        <w:t xml:space="preserve">. However, post-hoc analysis revealed these designs were physically invalid; they utilized extreme tapers (</w:t>
      </w:r>
      <m:oMath>
        <m:sSub>
          <m:e>
            <m:r>
              <m:t>r</m:t>
            </m:r>
          </m:e>
          <m:sub>
            <m:r>
              <m:t>b</m:t>
            </m:r>
            <m:r>
              <m:t>o</m:t>
            </m:r>
            <m:r>
              <m:t>t</m:t>
            </m:r>
          </m:sub>
        </m:sSub>
        <m:r>
          <m:rPr>
            <m:sty m:val="p"/>
          </m:rPr>
          <m:t>≈</m:t>
        </m:r>
        <m:r>
          <m:t>0.1</m:t>
        </m:r>
      </m:oMath>
      <w:r>
        <w:t xml:space="preserve"> </w:t>
      </w:r>
      <w:r>
        <w:t xml:space="preserve">m) and failed the Tulloch torsional stability criterion disastrously (FOS</w:t>
      </w:r>
      <w:r>
        <w:t xml:space="preserve"> </w:t>
      </w:r>
      <m:oMath>
        <m:r>
          <m:rPr>
            <m:sty m:val="p"/>
          </m:rPr>
          <m:t>≈</m:t>
        </m:r>
        <m:r>
          <m:t>0.069</m:t>
        </m:r>
      </m:oMath>
      <w:r>
        <w:t xml:space="preserve">, a 22x failure).</w:t>
      </w:r>
    </w:p>
    <w:bookmarkEnd w:id="30"/>
    <w:bookmarkStart w:id="31" w:name="X652d910a988efa6e0196be8dc194834c664b5db"/>
    <w:p>
      <w:pPr>
        <w:pStyle w:val="Heading3"/>
      </w:pPr>
      <w:r>
        <w:t xml:space="preserve">4.2 Campaign v3: Torsional Correction and the Cylindrical Penalty</w:t>
      </w:r>
    </w:p>
    <w:p>
      <w:pPr>
        <w:pStyle w:val="FirstParagraph"/>
      </w:pPr>
      <w:r>
        <w:t xml:space="preserve">Campaign v3 introduced the Tulloch/Wacker torsional constraint (</w:t>
      </w:r>
      <m:oMath>
        <m:r>
          <m:t>F</m:t>
        </m:r>
        <m:r>
          <m:t>O</m:t>
        </m:r>
        <m:sSub>
          <m:e>
            <m:r>
              <m:t>S</m:t>
            </m:r>
          </m:e>
          <m:sub>
            <m:r>
              <m:t>t</m:t>
            </m:r>
            <m:r>
              <m:t>o</m:t>
            </m:r>
            <m:r>
              <m:t>r</m:t>
            </m:r>
          </m:sub>
        </m:sSub>
        <m:r>
          <m:rPr>
            <m:sty m:val="p"/>
          </m:rPr>
          <m:t>≥</m:t>
        </m:r>
        <m:r>
          <m:t>1.5</m:t>
        </m:r>
      </m:oMath>
      <w:r>
        <w:t xml:space="preserve">) as a hard gate. However, it lacked the</w:t>
      </w:r>
      <w:r>
        <w:t xml:space="preserve"> </w:t>
      </w:r>
      <m:oMath>
        <m:r>
          <m:t>L</m:t>
        </m:r>
        <m:r>
          <m:rPr>
            <m:sty m:val="p"/>
          </m:rPr>
          <m:t>/</m:t>
        </m:r>
        <m:r>
          <m:t>r</m:t>
        </m:r>
      </m:oMath>
      <w:r>
        <w:t xml:space="preserve"> </w:t>
      </w:r>
      <w:r>
        <w:t xml:space="preserve">spacing logic and fell back on forcing a cylindrical shaft (</w:t>
      </w:r>
      <m:oMath>
        <m:sSub>
          <m:e>
            <m:r>
              <m:t>r</m:t>
            </m:r>
          </m:e>
          <m:sub>
            <m:r>
              <m:t>h</m:t>
            </m:r>
            <m:r>
              <m:t>u</m:t>
            </m:r>
            <m:r>
              <m:t>b</m:t>
            </m:r>
          </m:sub>
        </m:sSub>
        <m:r>
          <m:rPr>
            <m:sty m:val="p"/>
          </m:rPr>
          <m:t>=</m:t>
        </m:r>
        <m:sSub>
          <m:e>
            <m:r>
              <m:t>r</m:t>
            </m:r>
          </m:e>
          <m:sub>
            <m:r>
              <m:t>b</m:t>
            </m:r>
            <m:r>
              <m:t>o</m:t>
            </m:r>
            <m:r>
              <m:t>t</m:t>
            </m:r>
          </m:sub>
        </m:sSub>
      </m:oMath>
      <w:r>
        <w:t xml:space="preserve">). This solved the torsional collapse but drove the shaft mass up to</w:t>
      </w:r>
      <w:r>
        <w:t xml:space="preserve"> </w:t>
      </w:r>
      <w:r>
        <w:rPr>
          <w:bCs/>
          <w:b/>
        </w:rPr>
        <w:t xml:space="preserve">15.435 kg</w:t>
      </w:r>
      <w:r>
        <w:t xml:space="preserve">.</w:t>
      </w:r>
    </w:p>
    <w:bookmarkEnd w:id="31"/>
    <w:bookmarkStart w:id="32" w:name="X9696e33c8cc6900e6a703c8ca6d341ea4f655bb"/>
    <w:p>
      <w:pPr>
        <w:pStyle w:val="Heading3"/>
      </w:pPr>
      <w:r>
        <w:t xml:space="preserve">4.3 Campaign v4: Restoration of Geometric Taper</w:t>
      </w:r>
    </w:p>
    <w:p>
      <w:pPr>
        <w:pStyle w:val="FirstParagraph"/>
      </w:pPr>
      <w:r>
        <w:t xml:space="preserve">By introducing the constant</w:t>
      </w:r>
      <w:r>
        <w:t xml:space="preserve"> </w:t>
      </w:r>
      <m:oMath>
        <m:r>
          <m:t>L</m:t>
        </m:r>
        <m:r>
          <m:rPr>
            <m:sty m:val="p"/>
          </m:rPr>
          <m:t>/</m:t>
        </m:r>
        <m:r>
          <m:t>r</m:t>
        </m:r>
      </m:oMath>
      <w:r>
        <w:t xml:space="preserve"> </w:t>
      </w:r>
      <w:r>
        <w:t xml:space="preserve">spacing law, v4 unlocked the ability to taper the shaft (</w:t>
      </w:r>
      <m:oMath>
        <m:sSub>
          <m:e>
            <m:r>
              <m:t>r</m:t>
            </m:r>
          </m:e>
          <m:sub>
            <m:r>
              <m:t>b</m:t>
            </m:r>
            <m:r>
              <m:t>o</m:t>
            </m:r>
            <m:r>
              <m:t>t</m:t>
            </m:r>
          </m:sub>
        </m:sSub>
        <m:r>
          <m:rPr>
            <m:sty m:val="p"/>
          </m:rPr>
          <m:t>&lt;</m:t>
        </m:r>
        <m:sSub>
          <m:e>
            <m:r>
              <m:t>r</m:t>
            </m:r>
          </m:e>
          <m:sub>
            <m:r>
              <m:t>h</m:t>
            </m:r>
            <m:r>
              <m:t>u</m:t>
            </m:r>
            <m:r>
              <m:t>b</m:t>
            </m:r>
          </m:sub>
        </m:sSub>
      </m:oMath>
      <w:r>
        <w:t xml:space="preserve">) safely. A tapered shaft carries lower torsional loads in the narrow lower segments, drastically reducing the minimum required tube diameter. This saved 4.85 kg compared to v3, resulting in a</w:t>
      </w:r>
      <w:r>
        <w:t xml:space="preserve"> </w:t>
      </w:r>
      <w:r>
        <w:rPr>
          <w:bCs/>
          <w:b/>
        </w:rPr>
        <w:t xml:space="preserve">10.587 kg</w:t>
      </w:r>
      <w:r>
        <w:t xml:space="preserve"> </w:t>
      </w:r>
      <w:r>
        <w:t xml:space="preserve">shaft (a 31.4% mass reduction).</w:t>
      </w:r>
    </w:p>
    <w:bookmarkEnd w:id="32"/>
    <w:bookmarkStart w:id="33" w:name="campaign-v5-bem-reality"/>
    <w:p>
      <w:pPr>
        <w:pStyle w:val="Heading3"/>
      </w:pPr>
      <w:r>
        <w:t xml:space="preserve">4.4 Campaign v5: BEM Reality</w:t>
      </w:r>
    </w:p>
    <w:p>
      <w:pPr>
        <w:pStyle w:val="FirstParagraph"/>
      </w:pPr>
      <w:r>
        <w:t xml:space="preserve">Campaign v5 coupled the BEM aerodynamic model to the structural solver.</w:t>
      </w:r>
      <w:r>
        <w:t xml:space="preserve"> </w:t>
      </w:r>
      <w:r>
        <w:t xml:space="preserve">*</w:t>
      </w:r>
      <w:r>
        <w:t xml:space="preserve"> </w:t>
      </w:r>
      <w:r>
        <w:rPr>
          <w:bCs/>
          <w:b/>
        </w:rPr>
        <w:t xml:space="preserve">At 10 kW:</w:t>
      </w:r>
      <w:r>
        <w:t xml:space="preserve"> </w:t>
      </w:r>
      <w:r>
        <w:t xml:space="preserve">The mass increased slightly to</w:t>
      </w:r>
      <w:r>
        <w:t xml:space="preserve"> </w:t>
      </w:r>
      <w:r>
        <w:rPr>
          <w:bCs/>
          <w:b/>
        </w:rPr>
        <w:t xml:space="preserve">11.470 kg</w:t>
      </w:r>
      <w:r>
        <w:t xml:space="preserve"> </w:t>
      </w:r>
      <w:r>
        <w:t xml:space="preserve">(+8.3%). This reflects the reality that a BEM-corrected</w:t>
      </w:r>
      <w:r>
        <w:t xml:space="preserve"> </w:t>
      </w:r>
      <m:oMath>
        <m:sSub>
          <m:e>
            <m:r>
              <m:t>C</m:t>
            </m:r>
          </m:e>
          <m:sub>
            <m:r>
              <m:t>p</m:t>
            </m:r>
          </m:sub>
        </m:sSub>
      </m:oMath>
      <w:r>
        <w:t xml:space="preserve"> </w:t>
      </w:r>
      <w:r>
        <w:t xml:space="preserve">requires a slightly larger, heavier shaft to extract the same 10 kW as an ideal Betz-limit rotor.</w:t>
      </w:r>
      <w:r>
        <w:t xml:space="preserve"> </w:t>
      </w:r>
      <w:r>
        <w:t xml:space="preserve">*</w:t>
      </w:r>
      <w:r>
        <w:t xml:space="preserve"> </w:t>
      </w:r>
      <w:r>
        <w:rPr>
          <w:bCs/>
          <w:b/>
        </w:rPr>
        <w:t xml:space="preserve">At 50 kW:</w:t>
      </w:r>
      <w:r>
        <w:t xml:space="preserve"> </w:t>
      </w:r>
      <w:r>
        <w:t xml:space="preserve">The BEM coupling proved critical. With a fixed</w:t>
      </w:r>
      <w:r>
        <w:t xml:space="preserve"> </w:t>
      </w:r>
      <m:oMath>
        <m:sSub>
          <m:e>
            <m:r>
              <m:t>C</m:t>
            </m:r>
          </m:e>
          <m:sub>
            <m:r>
              <m:t>T</m:t>
            </m:r>
          </m:sub>
        </m:sSub>
      </m:oMath>
      <w:r>
        <w:t xml:space="preserve">, previous models overestimated loads at scale. The BEM model captured true aerodynamic loading, dropping the 50 kW mass from 79.5 kg down to a highly optimized</w:t>
      </w:r>
      <w:r>
        <w:t xml:space="preserve"> </w:t>
      </w:r>
      <w:r>
        <w:rPr>
          <w:bCs/>
          <w:b/>
        </w:rPr>
        <w:t xml:space="preserve">39.295 kg</w:t>
      </w:r>
      <w:r>
        <w:t xml:space="preserve"> </w:t>
      </w:r>
      <w:r>
        <w:t xml:space="preserve">(-51%).</w:t>
      </w:r>
    </w:p>
    <w:p>
      <w:r>
        <w:pict>
          <v:rect style="width:0;height:1.5pt" o:hralign="center" o:hrstd="t" o:hr="t"/>
        </w:pict>
      </w:r>
    </w:p>
    <w:bookmarkEnd w:id="33"/>
    <w:bookmarkEnd w:id="34"/>
    <w:bookmarkStart w:id="37" w:name="X21433e2ded1f18c6738d400c5a8365a77889c68"/>
    <w:p>
      <w:pPr>
        <w:pStyle w:val="Heading2"/>
      </w:pPr>
      <w:r>
        <w:t xml:space="preserve">5. System Interdependencies and the</w:t>
      </w:r>
      <w:r>
        <w:t xml:space="preserve"> </w:t>
      </w:r>
      <m:oMath>
        <m:sSub>
          <m:e>
            <m:r>
              <m:t>n</m:t>
            </m:r>
          </m:e>
          <m:sub>
            <m:r>
              <m:t>l</m:t>
            </m:r>
            <m:r>
              <m:t>i</m:t>
            </m:r>
            <m:r>
              <m:t>n</m:t>
            </m:r>
            <m:r>
              <m:t>e</m:t>
            </m:r>
            <m:r>
              <m:t>s</m:t>
            </m:r>
          </m:sub>
        </m:sSub>
        <m:r>
          <m:rPr>
            <m:sty m:val="p"/>
          </m:rPr>
          <m:t>=</m:t>
        </m:r>
        <m:r>
          <m:t>8</m:t>
        </m:r>
      </m:oMath>
      <w:r>
        <w:t xml:space="preserve"> </w:t>
      </w:r>
      <w:r>
        <w:t xml:space="preserve">Paradox</w:t>
      </w:r>
    </w:p>
    <w:bookmarkStart w:id="35" w:name="beam-profile-selection"/>
    <w:p>
      <w:pPr>
        <w:pStyle w:val="Heading3"/>
      </w:pPr>
      <w:r>
        <w:t xml:space="preserve">5.1 Beam Profile Selection</w:t>
      </w:r>
    </w:p>
    <w:p>
      <w:pPr>
        <w:pStyle w:val="FirstParagraph"/>
      </w:pPr>
      <w:r>
        <w:t xml:space="preserve">Across all campaigns, the</w:t>
      </w:r>
      <w:r>
        <w:t xml:space="preserve"> </w:t>
      </w:r>
      <w:r>
        <w:rPr>
          <w:rStyle w:val="VerbatimChar"/>
        </w:rPr>
        <w:t xml:space="preserve">elliptical</w:t>
      </w:r>
      <w:r>
        <w:t xml:space="preserve"> </w:t>
      </w:r>
      <w:r>
        <w:t xml:space="preserve">and</w:t>
      </w:r>
      <w:r>
        <w:t xml:space="preserve"> </w:t>
      </w:r>
      <w:r>
        <w:rPr>
          <w:rStyle w:val="VerbatimChar"/>
        </w:rPr>
        <w:t xml:space="preserve">circular</w:t>
      </w:r>
      <w:r>
        <w:t xml:space="preserve"> </w:t>
      </w:r>
      <w:r>
        <w:t xml:space="preserve">beam profiles dominated, achieving identically low masses. Circular tubes offer the highest second moment of area per unit mass for thin-walled sections, making them perfectly suited to resist the symmetric Euler buckling forces. Conversely,</w:t>
      </w:r>
      <w:r>
        <w:t xml:space="preserve"> </w:t>
      </w:r>
      <w:r>
        <w:rPr>
          <w:rStyle w:val="VerbatimChar"/>
        </w:rPr>
        <w:t xml:space="preserve">airfoil</w:t>
      </w:r>
      <w:r>
        <w:t xml:space="preserve"> </w:t>
      </w:r>
      <w:r>
        <w:t xml:space="preserve">profiles were structurally inefficient, producing shafts 7x to 19x heavier.</w:t>
      </w:r>
    </w:p>
    <w:bookmarkEnd w:id="35"/>
    <w:bookmarkStart w:id="36" w:name="the-solved-paradox-why-8-lines-win"/>
    <w:p>
      <w:pPr>
        <w:pStyle w:val="Heading3"/>
      </w:pPr>
      <w:r>
        <w:t xml:space="preserve">5.2 The Solved Paradox: Why 8 Lines Win</w:t>
      </w:r>
    </w:p>
    <w:p>
      <w:pPr>
        <w:pStyle w:val="FirstParagraph"/>
      </w:pPr>
      <w:r>
        <w:t xml:space="preserve">A striking result of the v5 campaign was the unanimous convergence of all 60 islands onto</w:t>
      </w:r>
      <w:r>
        <w:t xml:space="preserve"> </w:t>
      </w:r>
      <m:oMath>
        <m:sSub>
          <m:e>
            <m:r>
              <m:t>n</m:t>
            </m:r>
          </m:e>
          <m:sub>
            <m:r>
              <m:t>l</m:t>
            </m:r>
            <m:r>
              <m:t>i</m:t>
            </m:r>
            <m:r>
              <m:t>n</m:t>
            </m:r>
            <m:r>
              <m:t>e</m:t>
            </m:r>
            <m:r>
              <m:t>s</m:t>
            </m:r>
          </m:sub>
        </m:sSub>
        <m:r>
          <m:rPr>
            <m:sty m:val="p"/>
          </m:rPr>
          <m:t>=</m:t>
        </m:r>
        <m:r>
          <m:t>8</m:t>
        </m:r>
      </m:oMath>
      <w:r>
        <w:t xml:space="preserve">.</w:t>
      </w:r>
    </w:p>
    <w:p>
      <w:pPr>
        <w:pStyle w:val="BodyText"/>
      </w:pPr>
      <w:r>
        <w:t xml:space="preserve">According to the Prandtl tip-loss approximation, rotors with fewer blades (e.g.,</w:t>
      </w:r>
      <w:r>
        <w:t xml:space="preserve"> </w:t>
      </w:r>
      <m:oMath>
        <m:r>
          <m:t>n</m:t>
        </m:r>
        <m:r>
          <m:rPr>
            <m:sty m:val="p"/>
          </m:rPr>
          <m:t>=</m:t>
        </m:r>
        <m:r>
          <m:t>3</m:t>
        </m:r>
      </m:oMath>
      <w:r>
        <w:t xml:space="preserve">) operate more efficiently aerodynamically. Yet, the optimizer refused to lower the line count.</w:t>
      </w:r>
    </w:p>
    <w:p>
      <w:pPr>
        <w:pStyle w:val="BodyText"/>
      </w:pPr>
      <w:r>
        <w:rPr>
          <w:bCs/>
          <w:b/>
        </w:rPr>
        <w:t xml:space="preserve">The Structural Imperative:</w:t>
      </w:r>
      <w:r>
        <w:t xml:space="preserve"> </w:t>
      </w:r>
      <w:r>
        <w:t xml:space="preserve">Distributing the peak 25 m/s wind load across 8 lines halves the localized inward radial force (</w:t>
      </w:r>
      <m:oMath>
        <m:sSub>
          <m:e>
            <m:r>
              <m:t>F</m:t>
            </m:r>
          </m:e>
          <m:sub>
            <m:r>
              <m:t>i</m:t>
            </m:r>
            <m:r>
              <m:t>n</m:t>
            </m:r>
          </m:sub>
        </m:sSub>
      </m:oMath>
      <w:r>
        <w:t xml:space="preserve">) at each ring vertex compared to a 4-line system. This drastically reduces the compressive load (</w:t>
      </w:r>
      <m:oMath>
        <m:sSub>
          <m:e>
            <m:r>
              <m:t>N</m:t>
            </m:r>
          </m:e>
          <m:sub>
            <m:r>
              <m:t>c</m:t>
            </m:r>
            <m:r>
              <m:t>o</m:t>
            </m:r>
            <m:r>
              <m:t>m</m:t>
            </m:r>
            <m:r>
              <m:t>p</m:t>
            </m:r>
          </m:sub>
        </m:sSub>
      </m:oMath>
      <w:r>
        <w:t xml:space="preserve">) on the ring segments, allowing the optimizer to select much thinner, lighter CFRP beams before hitting the Euler buckling limit.</w:t>
      </w:r>
    </w:p>
    <w:p>
      <w:pPr>
        <w:pStyle w:val="BodyText"/>
      </w:pPr>
      <w:r>
        <w:t xml:space="preserve">The structural mass saved by this 8-point load distribution translates to an immense boost in overall</w:t>
      </w:r>
      <w:r>
        <w:t xml:space="preserve"> </w:t>
      </w:r>
      <w:r>
        <w:rPr>
          <w:bCs/>
          <w:b/>
        </w:rPr>
        <w:t xml:space="preserve">Specific Power (W/kg)</w:t>
      </w:r>
      <w:r>
        <w:t xml:space="preserve">. The mass penalty for a 3-line shaft is so severe that it entirely negates its superior aerodynamic</w:t>
      </w:r>
      <w:r>
        <w:t xml:space="preserve"> </w:t>
      </w:r>
      <m:oMath>
        <m:sSub>
          <m:e>
            <m:r>
              <m:t>C</m:t>
            </m:r>
          </m:e>
          <m:sub>
            <m:r>
              <m:t>p</m:t>
            </m:r>
          </m:sub>
        </m:sSub>
      </m:oMath>
      <w:r>
        <w:t xml:space="preserve">. In TRPT systems, structural survival under extreme gust loads dictates system geometry.</w:t>
      </w:r>
    </w:p>
    <w:p>
      <w:r>
        <w:pict>
          <v:rect style="width:0;height:1.5pt" o:hralign="center" o:hrstd="t" o:hr="t"/>
        </w:pict>
      </w:r>
    </w:p>
    <w:bookmarkEnd w:id="36"/>
    <w:bookmarkEnd w:id="37"/>
    <w:bookmarkStart w:id="40" w:name="conclusions-and-future-roadmap"/>
    <w:p>
      <w:pPr>
        <w:pStyle w:val="Heading2"/>
      </w:pPr>
      <w:r>
        <w:t xml:space="preserve">6. Conclusions and Future Roadmap</w:t>
      </w:r>
    </w:p>
    <w:p>
      <w:pPr>
        <w:pStyle w:val="FirstParagraph"/>
      </w:pPr>
      <w:r>
        <w:t xml:space="preserve">The v5 campaign successfully established a rigorous, verified structural baseline for the TRPT kite turbine. The integration of the Tulloch/Wacker torsional constraint ensures physical stability, the constant</w:t>
      </w:r>
      <w:r>
        <w:t xml:space="preserve"> </w:t>
      </w:r>
      <m:oMath>
        <m:r>
          <m:t>L</m:t>
        </m:r>
        <m:r>
          <m:rPr>
            <m:sty m:val="p"/>
          </m:rPr>
          <m:t>/</m:t>
        </m:r>
        <m:r>
          <m:t>r</m:t>
        </m:r>
      </m:oMath>
      <w:r>
        <w:t xml:space="preserve"> </w:t>
      </w:r>
      <w:r>
        <w:t xml:space="preserve">geometric progression ensures optimal material utilization, and the BEM coupling guarantees realistic load scaling.</w:t>
      </w:r>
    </w:p>
    <w:p>
      <w:pPr>
        <w:pStyle w:val="BodyText"/>
      </w:pPr>
      <w:r>
        <w:rPr>
          <w:bCs/>
          <w:b/>
        </w:rPr>
        <w:t xml:space="preserve">Canonical V5 Optimum (10 kW Circular):</w:t>
      </w:r>
      <w:r>
        <w:t xml:space="preserve"> </w:t>
      </w:r>
      <w:r>
        <w:t xml:space="preserve">*</w:t>
      </w:r>
      <w:r>
        <w:t xml:space="preserve"> </w:t>
      </w:r>
      <w:r>
        <w:rPr>
          <w:bCs/>
          <w:b/>
        </w:rPr>
        <w:t xml:space="preserve">Mass:</w:t>
      </w:r>
      <w:r>
        <w:t xml:space="preserve"> </w:t>
      </w:r>
      <w:r>
        <w:t xml:space="preserve">11.470 kg</w:t>
      </w:r>
      <w:r>
        <w:t xml:space="preserve"> </w:t>
      </w:r>
      <w:r>
        <w:t xml:space="preserve">*</w:t>
      </w:r>
      <w:r>
        <w:t xml:space="preserve"> </w:t>
      </w:r>
      <w:r>
        <w:rPr>
          <w:bCs/>
          <w:b/>
        </w:rPr>
        <w:t xml:space="preserve">Lines:</w:t>
      </w:r>
      <w:r>
        <w:t xml:space="preserve"> </w:t>
      </w:r>
      <w:r>
        <w:t xml:space="preserve">8</w:t>
      </w:r>
      <w:r>
        <w:t xml:space="preserve"> </w:t>
      </w:r>
      <w:r>
        <w:t xml:space="preserve">*</w:t>
      </w:r>
      <w:r>
        <w:t xml:space="preserve"> </w:t>
      </w:r>
      <w:r>
        <w:rPr>
          <w:bCs/>
          <w:b/>
        </w:rPr>
        <w:t xml:space="preserve">Rings:</w:t>
      </w:r>
      <w:r>
        <w:t xml:space="preserve"> </w:t>
      </w:r>
      <m:oMath>
        <m:r>
          <m:rPr>
            <m:sty m:val="p"/>
          </m:rPr>
          <m:t>≈</m:t>
        </m:r>
        <m:r>
          <m:t>19</m:t>
        </m:r>
      </m:oMath>
      <w:r>
        <w:t xml:space="preserve"> </w:t>
      </w:r>
      <w:r>
        <w:t xml:space="preserve">(derived from target</w:t>
      </w:r>
      <w:r>
        <w:t xml:space="preserve"> </w:t>
      </w:r>
      <m:oMath>
        <m:r>
          <m:t>L</m:t>
        </m:r>
        <m:r>
          <m:rPr>
            <m:sty m:val="p"/>
          </m:rPr>
          <m:t>/</m:t>
        </m:r>
        <m:r>
          <m:t>r</m:t>
        </m:r>
        <m:r>
          <m:rPr>
            <m:sty m:val="p"/>
          </m:rPr>
          <m:t>=</m:t>
        </m:r>
        <m:r>
          <m:t>2.0</m:t>
        </m:r>
      </m:oMath>
      <w:r>
        <w:t xml:space="preserve">)</w:t>
      </w:r>
      <w:r>
        <w:t xml:space="preserve"> </w:t>
      </w:r>
      <w:r>
        <w:t xml:space="preserve">*</w:t>
      </w:r>
      <w:r>
        <w:t xml:space="preserve"> </w:t>
      </w:r>
      <w:r>
        <w:rPr>
          <w:bCs/>
          <w:b/>
        </w:rPr>
        <w:t xml:space="preserve">Taper:</w:t>
      </w:r>
      <w:r>
        <w:t xml:space="preserve"> </w:t>
      </w:r>
      <m:oMath>
        <m:sSub>
          <m:e>
            <m:r>
              <m:t>r</m:t>
            </m:r>
          </m:e>
          <m:sub>
            <m:r>
              <m:t>h</m:t>
            </m:r>
            <m:r>
              <m:t>u</m:t>
            </m:r>
            <m:r>
              <m:t>b</m:t>
            </m:r>
          </m:sub>
        </m:sSub>
        <m:r>
          <m:rPr>
            <m:sty m:val="p"/>
          </m:rPr>
          <m:t>=</m:t>
        </m:r>
        <m:r>
          <m:t>1.60</m:t>
        </m:r>
      </m:oMath>
      <w:r>
        <w:t xml:space="preserve"> </w:t>
      </w:r>
      <w:r>
        <w:t xml:space="preserve">m to</w:t>
      </w:r>
      <w:r>
        <w:t xml:space="preserve"> </w:t>
      </w:r>
      <m:oMath>
        <m:sSub>
          <m:e>
            <m:r>
              <m:t>r</m:t>
            </m:r>
          </m:e>
          <m:sub>
            <m:r>
              <m:t>b</m:t>
            </m:r>
            <m:r>
              <m:t>o</m:t>
            </m:r>
            <m:r>
              <m:t>t</m:t>
            </m:r>
          </m:sub>
        </m:sSub>
        <m:r>
          <m:rPr>
            <m:sty m:val="p"/>
          </m:rPr>
          <m:t>=</m:t>
        </m:r>
        <m:r>
          <m:t>0.336</m:t>
        </m:r>
      </m:oMath>
      <w:r>
        <w:t xml:space="preserve"> </w:t>
      </w:r>
      <w:r>
        <w:t xml:space="preserve">m</w:t>
      </w:r>
    </w:p>
    <w:bookmarkStart w:id="38" w:name="note-on-dynamic-visualisation"/>
    <w:p>
      <w:pPr>
        <w:pStyle w:val="Heading3"/>
      </w:pPr>
      <w:r>
        <w:t xml:space="preserve">Note on Dynamic Visualisation</w:t>
      </w:r>
    </w:p>
    <w:p>
      <w:pPr>
        <w:pStyle w:val="FirstParagraph"/>
      </w:pPr>
      <w:r>
        <w:t xml:space="preserve">The transient dynamics and failure modes of these configurations—specifically the hub excursion under turbulence and the torsional collapse of pre-v3 designs—have been comprehensively modeled in the</w:t>
      </w:r>
      <w:r>
        <w:t xml:space="preserve"> </w:t>
      </w:r>
      <w:r>
        <w:rPr>
          <w:rStyle w:val="VerbatimChar"/>
        </w:rPr>
        <w:t xml:space="preserve">interactive_dashboard.jl</w:t>
      </w:r>
      <w:r>
        <w:t xml:space="preserve"> </w:t>
      </w:r>
      <w:r>
        <w:t xml:space="preserve">multibody ODE simulator. Video assets (</w:t>
      </w:r>
      <w:r>
        <w:rPr>
          <w:rStyle w:val="VerbatimChar"/>
        </w:rPr>
        <w:t xml:space="preserve">.mp4</w:t>
      </w:r>
      <w:r>
        <w:t xml:space="preserve">) generated by the canonical simulator exist to visually validate these static optimization results.</w:t>
      </w:r>
    </w:p>
    <w:bookmarkEnd w:id="38"/>
    <w:bookmarkStart w:id="39" w:name="roadmap-for-v6"/>
    <w:p>
      <w:pPr>
        <w:pStyle w:val="Heading3"/>
      </w:pPr>
      <w:r>
        <w:t xml:space="preserve">Roadmap for v6</w:t>
      </w:r>
    </w:p>
    <w:p>
      <w:pPr>
        <w:pStyle w:val="FirstParagraph"/>
      </w:pPr>
      <w:r>
        <w:t xml:space="preserve">Future campaigns will build directly on this robust foundation:</w:t>
      </w:r>
      <w:r>
        <w:t xml:space="preserve"> </w:t>
      </w:r>
      <w:r>
        <w:t xml:space="preserve">1.</w:t>
      </w:r>
      <w:r>
        <w:t xml:space="preserve"> </w:t>
      </w:r>
      <w:r>
        <w:rPr>
          <w:bCs/>
          <w:b/>
        </w:rPr>
        <w:t xml:space="preserve">FEA Validation:</w:t>
      </w:r>
      <w:r>
        <w:t xml:space="preserve"> </w:t>
      </w:r>
      <w:r>
        <w:t xml:space="preserve">The 50 kW winner geometry (58.6 mm tubes at 3.58 m radius) requires detailed localized buckling checks.</w:t>
      </w:r>
      <w:r>
        <w:t xml:space="preserve"> </w:t>
      </w:r>
      <w:r>
        <w:t xml:space="preserve">2.</w:t>
      </w:r>
      <w:r>
        <w:t xml:space="preserve"> </w:t>
      </w:r>
      <w:r>
        <w:rPr>
          <w:bCs/>
          <w:b/>
        </w:rPr>
        <w:t xml:space="preserve">Turbulent DLF:</w:t>
      </w:r>
      <w:r>
        <w:t xml:space="preserve"> </w:t>
      </w:r>
      <w:r>
        <w:t xml:space="preserve">Transitioning from calm-air Dynamic Load Factors to fully coupled turbulent gust models.</w:t>
      </w:r>
      <w:r>
        <w:t xml:space="preserve"> </w:t>
      </w:r>
      <w:r>
        <w:t xml:space="preserve">3.</w:t>
      </w:r>
      <w:r>
        <w:t xml:space="preserve"> </w:t>
      </w:r>
      <w:r>
        <w:rPr>
          <w:bCs/>
          <w:b/>
        </w:rPr>
        <w:t xml:space="preserve">LCOE Integration:</w:t>
      </w:r>
      <w:r>
        <w:t xml:space="preserve"> </w:t>
      </w:r>
      <w:r>
        <w:t xml:space="preserve">Mapping these structural masses against supplier cost data to generate an economic optimization topology.</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2026-04-30T14:09:28Z</dcterms:created>
  <dcterms:modified xsi:type="dcterms:W3CDTF">2026-04-30T14:09:28Z</dcterms:modified>
</cp:coreProperties>
</file>

<file path=docProps/custom.xml><?xml version="1.0" encoding="utf-8"?>
<Properties xmlns="http://schemas.openxmlformats.org/officeDocument/2006/custom-properties" xmlns:vt="http://schemas.openxmlformats.org/officeDocument/2006/docPropsVTypes"/>
</file>