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Override PartName="/word/media/rId20.png" ContentType="image/png"/>
  <Override PartName="/word/media/rId30.png" ContentType="image/png"/>
  <Override PartName="/word/media/rId3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Xe99cf9c663f9cc7b39d7b8dbc08138fa00d4f56"/>
    <w:p>
      <w:pPr>
        <w:pStyle w:val="Heading1"/>
      </w:pPr>
      <w:r>
        <w:t xml:space="preserve">TRPT Structural Optimisation: Resolving Torsional Collapse in Airborne Rotary Shafts</w:t>
      </w:r>
    </w:p>
    <w:p>
      <w:pPr>
        <w:pStyle w:val="FirstParagraph"/>
      </w:pPr>
      <w:r>
        <w:rPr>
          <w:bCs/>
          <w:b/>
        </w:rPr>
        <w:t xml:space="preserve">AWE Forum Technical Report · v4</w:t>
      </w:r>
      <w:r>
        <w:t xml:space="preserve"> </w:t>
      </w:r>
      <w:r>
        <w:rPr>
          <w:bCs/>
          <w:b/>
        </w:rPr>
        <w:t xml:space="preserve">Date:</w:t>
      </w:r>
      <w:r>
        <w:t xml:space="preserve"> </w:t>
      </w:r>
      <w:r>
        <w:t xml:space="preserve">April 2026</w:t>
      </w:r>
    </w:p>
    <w:p>
      <w:r>
        <w:pict>
          <v:rect style="width:0;height:1.5pt" o:hralign="center" o:hrstd="t" o:hr="t"/>
        </w:pict>
      </w:r>
    </w:p>
    <w:bookmarkStart w:id="23" w:name="executive-summary"/>
    <w:p>
      <w:pPr>
        <w:pStyle w:val="Heading2"/>
      </w:pPr>
      <w:r>
        <w:t xml:space="preserve">1. Executive Summary</w:t>
      </w:r>
    </w:p>
    <w:p>
      <w:pPr>
        <w:pStyle w:val="FirstParagraph"/>
      </w:pPr>
      <w:r>
        <w:t xml:space="preserve">This report documents the iterative structural optimisation of the Tensile Rotary Power Transmission (TRPT) shaft for a 10 kW and 50 kW airborne kite turbine. Through four progressive campaigns (v2 through v5), the physics models were refined to transition from mathematically optimal but physically impossible structures to robust, physically validated designs.</w:t>
      </w:r>
    </w:p>
    <w:p>
      <w:pPr>
        <w:pStyle w:val="BodyText"/>
      </w:pPr>
      <w:r>
        <w:rPr>
          <w:bCs/>
          <w:b/>
        </w:rPr>
        <w:t xml:space="preserve">The Problem:</w:t>
      </w:r>
      <w:r>
        <w:t xml:space="preserve"> </w:t>
      </w:r>
      <w:r>
        <w:t xml:space="preserve">Early iterations (v2) optimized shaft mass considering only Euler column buckling. This produced ultra-light (2.8 kg) designs that were fundamentally flawed; they possessed negligible torque capacity at the ground station and would fail catastrophically via torsional collapse.</w:t>
      </w:r>
    </w:p>
    <w:p>
      <w:pPr>
        <w:pStyle w:val="BodyText"/>
      </w:pPr>
      <w:r>
        <w:rPr>
          <w:bCs/>
          <w:b/>
        </w:rPr>
        <w:t xml:space="preserve">The Solution:</w:t>
      </w:r>
      <w:r>
        <w:t xml:space="preserve"> </w:t>
      </w:r>
      <w:r>
        <w:t xml:space="preserve">The implementation of the</w:t>
      </w:r>
      <w:r>
        <w:t xml:space="preserve"> </w:t>
      </w:r>
      <w:r>
        <w:rPr>
          <w:bCs/>
          <w:b/>
        </w:rPr>
        <w:t xml:space="preserve">Tulloch/Wacker torsional stability criterion</w:t>
      </w:r>
      <w:r>
        <w:t xml:space="preserve"> </w:t>
      </w:r>
      <w:r>
        <w:t xml:space="preserve">as a hard constraint, combined with a novel constant</w:t>
      </w:r>
      <w:r>
        <w:t xml:space="preserve"> </w:t>
      </w:r>
      <m:oMath>
        <m:r>
          <m:t>L</m:t>
        </m:r>
        <m:r>
          <m:rPr>
            <m:sty m:val="p"/>
          </m:rPr>
          <m:t>/</m:t>
        </m:r>
        <m:r>
          <m:t>r</m:t>
        </m:r>
      </m:oMath>
      <w:r>
        <w:t xml:space="preserve"> </w:t>
      </w:r>
      <w:r>
        <w:t xml:space="preserve">(geometric taper) ring spacing law, corrected the optimization landscape.</w:t>
      </w:r>
    </w:p>
    <w:p>
      <w:pPr>
        <w:pStyle w:val="BodyText"/>
      </w:pPr>
      <w:r>
        <w:rPr>
          <w:bCs/>
          <w:b/>
        </w:rPr>
        <w:t xml:space="preserve">Verified Results:</w:t>
      </w:r>
      <w:r>
        <w:t xml:space="preserve"> </w:t>
      </w:r>
      <w:r>
        <w:t xml:space="preserve">*</w:t>
      </w:r>
      <w:r>
        <w:t xml:space="preserve"> </w:t>
      </w:r>
      <w:r>
        <w:rPr>
          <w:bCs/>
          <w:b/>
        </w:rPr>
        <w:t xml:space="preserve">10 kW Shaft:</w:t>
      </w:r>
      <w:r>
        <w:t xml:space="preserve"> </w:t>
      </w:r>
      <w:r>
        <w:t xml:space="preserve">Minimum feasible mass is</w:t>
      </w:r>
      <w:r>
        <w:t xml:space="preserve"> </w:t>
      </w:r>
      <w:r>
        <w:rPr>
          <w:bCs/>
          <w:b/>
        </w:rPr>
        <w:t xml:space="preserve">11.47 kg</w:t>
      </w:r>
      <w:r>
        <w:t xml:space="preserve"> </w:t>
      </w:r>
      <w:r>
        <w:t xml:space="preserve">(v5, BEM-coupled).</w:t>
      </w:r>
      <w:r>
        <w:t xml:space="preserve"> </w:t>
      </w:r>
      <w:r>
        <w:t xml:space="preserve">*</w:t>
      </w:r>
      <w:r>
        <w:t xml:space="preserve"> </w:t>
      </w:r>
      <w:r>
        <w:rPr>
          <w:bCs/>
          <w:b/>
        </w:rPr>
        <w:t xml:space="preserve">50 kW Shaft:</w:t>
      </w:r>
      <w:r>
        <w:t xml:space="preserve"> </w:t>
      </w:r>
      <w:r>
        <w:t xml:space="preserve">Minimum feasible mass is</w:t>
      </w:r>
      <w:r>
        <w:t xml:space="preserve"> </w:t>
      </w:r>
      <w:r>
        <w:rPr>
          <w:bCs/>
          <w:b/>
        </w:rPr>
        <w:t xml:space="preserve">39.30 kg</w:t>
      </w:r>
      <w:r>
        <w:t xml:space="preserve"> </w:t>
      </w:r>
      <w:r>
        <w:t xml:space="preserve">(v5, BEM-coupled), a 51% reduction from previous fixed-thrust models.</w:t>
      </w:r>
      <w:r>
        <w:t xml:space="preserve"> </w:t>
      </w:r>
      <w:r>
        <w:t xml:space="preserve">*</w:t>
      </w:r>
      <w:r>
        <w:t xml:space="preserve"> </w:t>
      </w:r>
      <w:r>
        <w:rPr>
          <w:bCs/>
          <w:b/>
        </w:rPr>
        <w:t xml:space="preserve">Optimal Geometry:</w:t>
      </w:r>
      <w:r>
        <w:t xml:space="preserve"> </w:t>
      </w:r>
      <w:r>
        <w:t xml:space="preserve">Both scales unanimously converged on an</w:t>
      </w:r>
      <w:r>
        <w:t xml:space="preserve"> </w:t>
      </w:r>
      <w:r>
        <w:rPr>
          <w:bCs/>
          <w:b/>
        </w:rPr>
        <w:t xml:space="preserve">8-line polygon frame</w:t>
      </w:r>
      <w:r>
        <w:t xml:space="preserve"> </w:t>
      </w:r>
      <w:r>
        <w:t xml:space="preserve">(</w:t>
      </w:r>
      <w:r>
        <w:rPr>
          <w:rStyle w:val="VerbatimChar"/>
        </w:rPr>
        <w:t xml:space="preserve">n_lines = 8</w:t>
      </w:r>
      <w:r>
        <w:t xml:space="preserve">) with a circular beam profile, utilizing a moderate taper (</w:t>
      </w:r>
      <m:oMath>
        <m:sSub>
          <m:e>
            <m:r>
              <m:t>r</m:t>
            </m:r>
          </m:e>
          <m:sub>
            <m:r>
              <m:t>b</m:t>
            </m:r>
            <m:r>
              <m:t>o</m:t>
            </m:r>
            <m:r>
              <m:t>t</m:t>
            </m:r>
            <m:r>
              <m:t>t</m:t>
            </m:r>
            <m:r>
              <m:t>o</m:t>
            </m:r>
            <m:r>
              <m:t>m</m:t>
            </m:r>
          </m:sub>
        </m:sSub>
        <m:r>
          <m:rPr>
            <m:sty m:val="p"/>
          </m:rPr>
          <m:t>/</m:t>
        </m:r>
        <m:sSub>
          <m:e>
            <m:r>
              <m:t>r</m:t>
            </m:r>
          </m:e>
          <m:sub>
            <m:r>
              <m:t>h</m:t>
            </m:r>
            <m:r>
              <m:t>u</m:t>
            </m:r>
            <m:r>
              <m:t>b</m:t>
            </m:r>
          </m:sub>
        </m:sSub>
        <m:r>
          <m:rPr>
            <m:sty m:val="p"/>
          </m:rPr>
          <m:t>≈</m:t>
        </m:r>
        <m:r>
          <m:t>0.21</m:t>
        </m:r>
      </m:oMath>
      <w:r>
        <w:t xml:space="preserve">) across</w:t>
      </w:r>
      <w:r>
        <w:t xml:space="preserve"> </w:t>
      </w:r>
      <m:oMath>
        <m:r>
          <m:rPr>
            <m:sty m:val="p"/>
          </m:rPr>
          <m:t>≈</m:t>
        </m:r>
        <m:r>
          <m:t>19</m:t>
        </m:r>
      </m:oMath>
      <w:r>
        <w:t xml:space="preserve"> </w:t>
      </w:r>
      <w:r>
        <w:t xml:space="preserve">rings.</w:t>
      </w:r>
    </w:p>
    <w:p>
      <w:pPr>
        <w:pStyle w:val="BodyText"/>
      </w:pPr>
      <w:r>
        <w:drawing>
          <wp:inline>
            <wp:extent cx="4587290" cy="7339665"/>
            <wp:effectExtent b="0" l="0" r="0" t="0"/>
            <wp:docPr descr="v4 Geometry" title="" id="21" name="Picture"/>
            <a:graphic>
              <a:graphicData uri="http://schemas.openxmlformats.org/drawingml/2006/picture">
                <pic:pic>
                  <pic:nvPicPr>
                    <pic:cNvPr descr="../figures/fig_v4_geometry.png" id="22" name="Picture"/>
                    <pic:cNvPicPr>
                      <a:picLocks noChangeArrowheads="1" noChangeAspect="1"/>
                    </pic:cNvPicPr>
                  </pic:nvPicPr>
                  <pic:blipFill>
                    <a:blip r:embed="rId20"/>
                    <a:stretch>
                      <a:fillRect/>
                    </a:stretch>
                  </pic:blipFill>
                  <pic:spPr bwMode="auto">
                    <a:xfrm>
                      <a:off x="0" y="0"/>
                      <a:ext cx="4587290" cy="7339665"/>
                    </a:xfrm>
                    <a:prstGeom prst="rect">
                      <a:avLst/>
                    </a:prstGeom>
                    <a:noFill/>
                    <a:ln w="9525">
                      <a:noFill/>
                      <a:headEnd/>
                      <a:tailEnd/>
                    </a:ln>
                  </pic:spPr>
                </pic:pic>
              </a:graphicData>
            </a:graphic>
          </wp:inline>
        </w:drawing>
      </w:r>
      <w:r>
        <w:t xml:space="preserve"> </w:t>
      </w:r>
      <w:r>
        <w:rPr>
          <w:iCs/>
          <w:i/>
        </w:rPr>
        <w:t xml:space="preserve">Figure 1: Side elevation schematic of the validated 10.58 kg (v4) TRPT shaft, demonstrating the constant L/r ring spacing.</w:t>
      </w:r>
    </w:p>
    <w:p>
      <w:r>
        <w:pict>
          <v:rect style="width:0;height:1.5pt" o:hralign="center" o:hrstd="t" o:hr="t"/>
        </w:pict>
      </w:r>
    </w:p>
    <w:bookmarkEnd w:id="23"/>
    <w:bookmarkStart w:id="29" w:name="Xdd2283e15218980215189daed67ea53ad40d573"/>
    <w:p>
      <w:pPr>
        <w:pStyle w:val="Heading2"/>
      </w:pPr>
      <w:r>
        <w:t xml:space="preserve">2. Methodology: Coupling Structural and Aerodynamic Constraints</w:t>
      </w:r>
    </w:p>
    <w:p>
      <w:pPr>
        <w:pStyle w:val="FirstParagraph"/>
      </w:pPr>
      <w:r>
        <w:t xml:space="preserve">The optimization process evaluates a 9-degree-of-freedom search space using Differential Evolution. Feasibility is gated by two primary physical constraints:</w:t>
      </w:r>
    </w:p>
    <w:bookmarkStart w:id="27" w:name="Xb9b7cd5182e05597970226b9d3517a28abe960f"/>
    <w:p>
      <w:pPr>
        <w:pStyle w:val="Heading3"/>
      </w:pPr>
      <w:r>
        <w:t xml:space="preserve">2.1 Torsional Collapse (The Tulloch/Wacker Criterion)</w:t>
      </w:r>
    </w:p>
    <w:p>
      <w:pPr>
        <w:pStyle w:val="FirstParagraph"/>
      </w:pPr>
      <w:r>
        <w:t xml:space="preserve">Rotary AWES shafts must resist</w:t>
      </w:r>
      <w:r>
        <w:t xml:space="preserve"> </w:t>
      </w:r>
      <w:r>
        <w:t xml:space="preserve">“</w:t>
      </w:r>
      <w:r>
        <w:t xml:space="preserve">twisting up</w:t>
      </w:r>
      <w:r>
        <w:t xml:space="preserve">”</w:t>
      </w:r>
      <w:r>
        <w:t xml:space="preserve"> </w:t>
      </w:r>
      <w:r>
        <w:t xml:space="preserve">under high torque. Drawing from the theoretical framework established by</w:t>
      </w:r>
      <w:r>
        <w:t xml:space="preserve"> </w:t>
      </w:r>
      <w:r>
        <w:rPr>
          <w:iCs/>
          <w:i/>
        </w:rPr>
        <w:t xml:space="preserve">Tulloch et al. (2020)</w:t>
      </w:r>
      <w:r>
        <w:t xml:space="preserve"> </w:t>
      </w:r>
      <w:r>
        <w:t xml:space="preserve">and</w:t>
      </w:r>
      <w:r>
        <w:t xml:space="preserve"> </w:t>
      </w:r>
      <w:r>
        <w:rPr>
          <w:iCs/>
          <w:i/>
        </w:rPr>
        <w:t xml:space="preserve">Wacker et al. (2023)</w:t>
      </w:r>
      <w:r>
        <w:t xml:space="preserve">, the torque capacity</w:t>
      </w:r>
      <w:r>
        <w:t xml:space="preserve"> </w:t>
      </w:r>
      <m:oMath>
        <m:sSub>
          <m:e>
            <m:r>
              <m:t>τ</m:t>
            </m:r>
          </m:e>
          <m:sub>
            <m:r>
              <m:t>c</m:t>
            </m:r>
            <m:r>
              <m:t>a</m:t>
            </m:r>
            <m:r>
              <m:t>p</m:t>
            </m:r>
          </m:sub>
        </m:sSub>
      </m:oMath>
      <w:r>
        <w:t xml:space="preserve"> </w:t>
      </w:r>
      <w:r>
        <w:t xml:space="preserve">of a TRPT segment of length</w:t>
      </w:r>
      <w:r>
        <w:t xml:space="preserve"> </w:t>
      </w:r>
      <m:oMath>
        <m:r>
          <m:t>L</m:t>
        </m:r>
      </m:oMath>
      <w:r>
        <w:t xml:space="preserve"> </w:t>
      </w:r>
      <w:r>
        <w:t xml:space="preserve">between rings of minimum radius</w:t>
      </w:r>
      <w:r>
        <w:t xml:space="preserve"> </w:t>
      </w:r>
      <m:oMath>
        <m:sSub>
          <m:e>
            <m:r>
              <m:t>r</m:t>
            </m:r>
          </m:e>
          <m:sub>
            <m:r>
              <m:t>m</m:t>
            </m:r>
            <m:r>
              <m:t>i</m:t>
            </m:r>
            <m:r>
              <m:t>n</m:t>
            </m:r>
          </m:sub>
        </m:sSub>
      </m:oMath>
      <w:r>
        <w:t xml:space="preserve"> </w:t>
      </w:r>
      <w:r>
        <w:t xml:space="preserve">under total tension</w:t>
      </w:r>
      <w:r>
        <w:t xml:space="preserve"> </w:t>
      </w:r>
      <m:oMath>
        <m:sSub>
          <m:e>
            <m:r>
              <m:t>T</m:t>
            </m:r>
          </m:e>
          <m:sub>
            <m:r>
              <m:t>t</m:t>
            </m:r>
            <m:r>
              <m:t>o</m:t>
            </m:r>
            <m:r>
              <m:t>t</m:t>
            </m:r>
            <m:r>
              <m:t>a</m:t>
            </m:r>
            <m:r>
              <m:t>l</m:t>
            </m:r>
          </m:sub>
        </m:sSub>
      </m:oMath>
      <w:r>
        <w:t xml:space="preserve"> </w:t>
      </w:r>
      <w:r>
        <w:t xml:space="preserve">is given by:</w:t>
      </w:r>
    </w:p>
    <w:p>
      <w:pPr>
        <w:pStyle w:val="BodyText"/>
      </w:pPr>
      <m:oMathPara>
        <m:oMathParaPr>
          <m:jc m:val="center"/>
        </m:oMathParaPr>
        <m:oMath>
          <m:sSub>
            <m:e>
              <m:r>
                <m:t>τ</m:t>
              </m:r>
            </m:e>
            <m:sub>
              <m:r>
                <m:t>c</m:t>
              </m:r>
              <m:r>
                <m:t>a</m:t>
              </m:r>
              <m:r>
                <m:t>p</m:t>
              </m:r>
            </m:sub>
          </m:sSub>
          <m:r>
            <m:rPr>
              <m:sty m:val="p"/>
            </m:rPr>
            <m:t>=</m:t>
          </m:r>
          <m:f>
            <m:fPr>
              <m:type m:val="bar"/>
            </m:fPr>
            <m:num>
              <m:sSub>
                <m:e>
                  <m:r>
                    <m:t>T</m:t>
                  </m:r>
                </m:e>
                <m:sub>
                  <m:r>
                    <m:t>t</m:t>
                  </m:r>
                  <m:r>
                    <m:t>o</m:t>
                  </m:r>
                  <m:r>
                    <m:t>t</m:t>
                  </m:r>
                  <m:r>
                    <m:t>a</m:t>
                  </m:r>
                  <m:r>
                    <m:t>l</m:t>
                  </m:r>
                </m:sub>
              </m:sSub>
              <m:r>
                <m:rPr>
                  <m:sty m:val="p"/>
                </m:rPr>
                <m:t>⋅</m:t>
              </m:r>
              <m:sSubSup>
                <m:e>
                  <m:r>
                    <m:t>r</m:t>
                  </m:r>
                </m:e>
                <m:sub>
                  <m:r>
                    <m:t>m</m:t>
                  </m:r>
                  <m:r>
                    <m:t>i</m:t>
                  </m:r>
                  <m:r>
                    <m:t>n</m:t>
                  </m:r>
                </m:sub>
                <m:sup>
                  <m:r>
                    <m:t>2</m:t>
                  </m:r>
                </m:sup>
              </m:sSubSup>
            </m:num>
            <m:den>
              <m:rad>
                <m:radPr>
                  <m:degHide m:val="on"/>
                </m:radPr>
                <m:deg/>
                <m:e>
                  <m:sSup>
                    <m:e>
                      <m:r>
                        <m:t>L</m:t>
                      </m:r>
                    </m:e>
                    <m:sup>
                      <m:r>
                        <m:t>2</m:t>
                      </m:r>
                    </m:sup>
                  </m:sSup>
                  <m:r>
                    <m:rPr>
                      <m:sty m:val="p"/>
                    </m:rPr>
                    <m:t>+</m:t>
                  </m:r>
                  <m:r>
                    <m:t>2</m:t>
                  </m:r>
                  <m:r>
                    <m:rPr>
                      <m:sty m:val="p"/>
                    </m:rPr>
                    <m:t>⋅</m:t>
                  </m:r>
                  <m:sSubSup>
                    <m:e>
                      <m:r>
                        <m:t>r</m:t>
                      </m:r>
                    </m:e>
                    <m:sub>
                      <m:r>
                        <m:t>m</m:t>
                      </m:r>
                      <m:r>
                        <m:t>i</m:t>
                      </m:r>
                      <m:r>
                        <m:t>n</m:t>
                      </m:r>
                    </m:sub>
                    <m:sup>
                      <m:r>
                        <m:t>2</m:t>
                      </m:r>
                    </m:sup>
                  </m:sSubSup>
                </m:e>
              </m:rad>
            </m:den>
          </m:f>
        </m:oMath>
      </m:oMathPara>
    </w:p>
    <w:p>
      <w:pPr>
        <w:pStyle w:val="FirstParagraph"/>
      </w:pPr>
      <w:r>
        <w:t xml:space="preserve">In the v4/v5 codebase, this is strictly enforced by requiring a Factor of Safety (FOS)</w:t>
      </w:r>
      <w:r>
        <w:t xml:space="preserve"> </w:t>
      </w:r>
      <m:oMath>
        <m:r>
          <m:rPr>
            <m:sty m:val="p"/>
          </m:rPr>
          <m:t>≥</m:t>
        </m:r>
        <m:r>
          <m:t>1.5</m:t>
        </m:r>
      </m:oMath>
      <w:r>
        <w:t xml:space="preserve"> </w:t>
      </w:r>
      <w:r>
        <w:t xml:space="preserve">against the operational torque</w:t>
      </w:r>
      <w:r>
        <w:t xml:space="preserve"> </w:t>
      </w:r>
      <m:oMath>
        <m:sSub>
          <m:e>
            <m:r>
              <m:t>τ</m:t>
            </m:r>
          </m:e>
          <m:sub>
            <m:r>
              <m:t>o</m:t>
            </m:r>
            <m:r>
              <m:t>p</m:t>
            </m:r>
          </m:sub>
        </m:sSub>
      </m:oMath>
      <w:r>
        <w:t xml:space="preserve">. This correctly forces the optimizer to abandon ultra-steep tapers that resulted in minuscule ground rings, adding structural mass to guarantee torque transmission.</w:t>
      </w:r>
    </w:p>
    <w:p>
      <w:pPr>
        <w:pStyle w:val="BodyText"/>
      </w:pPr>
      <w:r>
        <w:drawing>
          <wp:inline>
            <wp:extent cx="5334000" cy="3080165"/>
            <wp:effectExtent b="0" l="0" r="0" t="0"/>
            <wp:docPr descr="v2 to v4 Comparison" title="" id="25" name="Picture"/>
            <a:graphic>
              <a:graphicData uri="http://schemas.openxmlformats.org/drawingml/2006/picture">
                <pic:pic>
                  <pic:nvPicPr>
                    <pic:cNvPr descr="../figures/fig_v2_v3_v4_comparison.png" id="26" name="Picture"/>
                    <pic:cNvPicPr>
                      <a:picLocks noChangeArrowheads="1" noChangeAspect="1"/>
                    </pic:cNvPicPr>
                  </pic:nvPicPr>
                  <pic:blipFill>
                    <a:blip r:embed="rId24"/>
                    <a:stretch>
                      <a:fillRect/>
                    </a:stretch>
                  </pic:blipFill>
                  <pic:spPr bwMode="auto">
                    <a:xfrm>
                      <a:off x="0" y="0"/>
                      <a:ext cx="5334000" cy="3080165"/>
                    </a:xfrm>
                    <a:prstGeom prst="rect">
                      <a:avLst/>
                    </a:prstGeom>
                    <a:noFill/>
                    <a:ln w="9525">
                      <a:noFill/>
                      <a:headEnd/>
                      <a:tailEnd/>
                    </a:ln>
                  </pic:spPr>
                </pic:pic>
              </a:graphicData>
            </a:graphic>
          </wp:inline>
        </w:drawing>
      </w:r>
      <w:r>
        <w:t xml:space="preserve"> </w:t>
      </w:r>
      <w:r>
        <w:rPr>
          <w:iCs/>
          <w:i/>
        </w:rPr>
        <w:t xml:space="preserve">Figure 2: Mass and FOS comparison showing how adding the torsional constraint (v3) initially drove mass up, but restoring geometric taper (v4) recovered efficiency.</w:t>
      </w:r>
    </w:p>
    <w:bookmarkEnd w:id="27"/>
    <w:bookmarkStart w:id="28" w:name="Xba4c97c4c3e8fc17719e0ce75ff481788c01244"/>
    <w:p>
      <w:pPr>
        <w:pStyle w:val="Heading3"/>
      </w:pPr>
      <w:r>
        <w:t xml:space="preserve">2.2 Blade Element Momentum (BEM) Aerodynamic Coupling</w:t>
      </w:r>
    </w:p>
    <w:p>
      <w:pPr>
        <w:pStyle w:val="FirstParagraph"/>
      </w:pPr>
      <w:r>
        <w:t xml:space="preserve">While v4 assumed a fixed rotor thrust coefficient (</w:t>
      </w:r>
      <m:oMath>
        <m:sSub>
          <m:e>
            <m:r>
              <m:t>C</m:t>
            </m:r>
          </m:e>
          <m:sub>
            <m:r>
              <m:t>T</m:t>
            </m:r>
          </m:sub>
        </m:sSub>
        <m:r>
          <m:rPr>
            <m:sty m:val="p"/>
          </m:rPr>
          <m:t>=</m:t>
        </m:r>
        <m:r>
          <m:t>0.55</m:t>
        </m:r>
      </m:oMath>
      <w:r>
        <w:t xml:space="preserve">), the v5 campaign coupled the structural optimizer to a Blade Element Momentum (BEM) lookup table.</w:t>
      </w:r>
      <w:r>
        <w:t xml:space="preserve"> </w:t>
      </w:r>
      <w:r>
        <w:t xml:space="preserve">* Power coefficients (</w:t>
      </w:r>
      <m:oMath>
        <m:sSub>
          <m:e>
            <m:r>
              <m:t>C</m:t>
            </m:r>
          </m:e>
          <m:sub>
            <m:r>
              <m:t>p</m:t>
            </m:r>
          </m:sub>
        </m:sSub>
      </m:oMath>
      <w:r>
        <w:t xml:space="preserve">) were bounded by the Betz limit (</w:t>
      </w:r>
      <m:oMath>
        <m:r>
          <m:t>16</m:t>
        </m:r>
        <m:r>
          <m:rPr>
            <m:sty m:val="p"/>
          </m:rPr>
          <m:t>/</m:t>
        </m:r>
        <m:r>
          <m:t>27</m:t>
        </m:r>
      </m:oMath>
      <w:r>
        <w:t xml:space="preserve">) and scaled via the Prandtl tip-loss approximation:</w:t>
      </w:r>
      <w:r>
        <w:t xml:space="preserve"> </w:t>
      </w:r>
      <m:oMath>
        <m:sSub>
          <m:e>
            <m:r>
              <m:t>C</m:t>
            </m:r>
          </m:e>
          <m:sub>
            <m:r>
              <m:t>p</m:t>
            </m:r>
          </m:sub>
        </m:sSub>
        <m:d>
          <m:dPr>
            <m:begChr m:val="("/>
            <m:endChr m:val=")"/>
            <m:sepChr m:val=""/>
            <m:grow/>
          </m:dPr>
          <m:e>
            <m:r>
              <m:t>n</m:t>
            </m:r>
          </m:e>
        </m:d>
        <m:r>
          <m:rPr>
            <m:sty m:val="p"/>
          </m:rPr>
          <m:t>=</m:t>
        </m:r>
        <m:f>
          <m:fPr>
            <m:type m:val="bar"/>
          </m:fPr>
          <m:num>
            <m:r>
              <m:t>16</m:t>
            </m:r>
          </m:num>
          <m:den>
            <m:r>
              <m:t>27</m:t>
            </m:r>
          </m:den>
        </m:f>
        <m:r>
          <m:rPr>
            <m:sty m:val="p"/>
          </m:rPr>
          <m:t>⋅</m:t>
        </m:r>
        <m:d>
          <m:dPr>
            <m:begChr m:val="["/>
            <m:endChr m:val="]"/>
            <m:sepChr m:val=""/>
            <m:grow/>
          </m:dPr>
          <m:e>
            <m:r>
              <m:t>1</m:t>
            </m:r>
            <m:r>
              <m:rPr>
                <m:sty m:val="p"/>
              </m:rPr>
              <m:t>−</m:t>
            </m:r>
            <m:r>
              <m:rPr>
                <m:sty m:val="p"/>
              </m:rPr>
              <m:t>exp</m:t>
            </m:r>
            <m:d>
              <m:dPr>
                <m:begChr m:val="("/>
                <m:endChr m:val=")"/>
                <m:sepChr m:val=""/>
                <m:grow/>
              </m:dPr>
              <m:e>
                <m:r>
                  <m:rPr>
                    <m:sty m:val="p"/>
                  </m:rPr>
                  <m:t>−</m:t>
                </m:r>
                <m:r>
                  <m:t>n</m:t>
                </m:r>
                <m:r>
                  <m:rPr>
                    <m:sty m:val="p"/>
                  </m:rPr>
                  <m:t>/</m:t>
                </m:r>
                <m:r>
                  <m:t>2</m:t>
                </m:r>
              </m:e>
            </m:d>
          </m:e>
        </m:d>
        <m:r>
          <m:rPr>
            <m:sty m:val="p"/>
          </m:rPr>
          <m:t>⋅</m:t>
        </m:r>
        <m:r>
          <m:t>0.85</m:t>
        </m:r>
      </m:oMath>
      <w:r>
        <w:t xml:space="preserve">.</w:t>
      </w:r>
      <w:r>
        <w:t xml:space="preserve"> </w:t>
      </w:r>
      <w:r>
        <w:t xml:space="preserve">* This imposes a realistic aerodynamic penalty on high-solidity (many-line) rotors due to induction losses and vortex shedding.</w:t>
      </w:r>
    </w:p>
    <w:p>
      <w:r>
        <w:pict>
          <v:rect style="width:0;height:1.5pt" o:hralign="center" o:hrstd="t" o:hr="t"/>
        </w:pict>
      </w:r>
    </w:p>
    <w:bookmarkEnd w:id="28"/>
    <w:bookmarkEnd w:id="29"/>
    <w:bookmarkStart w:id="39" w:name="results-the-v4-and-v5-campaigns"/>
    <w:p>
      <w:pPr>
        <w:pStyle w:val="Heading2"/>
      </w:pPr>
      <w:r>
        <w:t xml:space="preserve">3. Results: The v4 and v5 Campaigns</w:t>
      </w:r>
    </w:p>
    <w:bookmarkStart w:id="33" w:name="convergence-robustness"/>
    <w:p>
      <w:pPr>
        <w:pStyle w:val="Heading3"/>
      </w:pPr>
      <w:r>
        <w:t xml:space="preserve">3.1 Convergence Robustness</w:t>
      </w:r>
    </w:p>
    <w:p>
      <w:pPr>
        <w:pStyle w:val="FirstParagraph"/>
      </w:pPr>
      <w:r>
        <w:t xml:space="preserve">The v4/v5 campaigns utilized 60 independent computational</w:t>
      </w:r>
      <w:r>
        <w:t xml:space="preserve"> </w:t>
      </w:r>
      <w:r>
        <w:t xml:space="preserve">“</w:t>
      </w:r>
      <w:r>
        <w:t xml:space="preserve">islands</w:t>
      </w:r>
      <w:r>
        <w:t xml:space="preserve">”</w:t>
      </w:r>
      <w:r>
        <w:t xml:space="preserve"> </w:t>
      </w:r>
      <w:r>
        <w:t xml:space="preserve">(varied by initial seed, beam profile, and power class) running</w:t>
      </w:r>
      <w:r>
        <w:t xml:space="preserve"> </w:t>
      </w:r>
      <m:oMath>
        <m:r>
          <m:rPr>
            <m:sty m:val="p"/>
          </m:rPr>
          <m:t>≈</m:t>
        </m:r>
        <m:r>
          <m:t>128</m:t>
        </m:r>
        <m:r>
          <m:rPr>
            <m:sty m:val="p"/>
          </m:rPr>
          <m:t>×</m:t>
        </m:r>
        <m:sSup>
          <m:e>
            <m:r>
              <m:t>10</m:t>
            </m:r>
          </m:e>
          <m:sup>
            <m:r>
              <m:t>6</m:t>
            </m:r>
          </m:sup>
        </m:sSup>
      </m:oMath>
      <w:r>
        <w:t xml:space="preserve"> </w:t>
      </w:r>
      <w:r>
        <w:t xml:space="preserve">evaluations each.</w:t>
      </w:r>
    </w:p>
    <w:p>
      <w:pPr>
        <w:pStyle w:val="BodyText"/>
      </w:pPr>
      <w:r>
        <w:drawing>
          <wp:inline>
            <wp:extent cx="5334000" cy="2667000"/>
            <wp:effectExtent b="0" l="0" r="0" t="0"/>
            <wp:docPr descr="Island Heatmap" title="" id="31" name="Picture"/>
            <a:graphic>
              <a:graphicData uri="http://schemas.openxmlformats.org/drawingml/2006/picture">
                <pic:pic>
                  <pic:nvPicPr>
                    <pic:cNvPr descr="../figures/fig_v4_island_heatmap.png" id="32" name="Picture"/>
                    <pic:cNvPicPr>
                      <a:picLocks noChangeArrowheads="1" noChangeAspect="1"/>
                    </pic:cNvPicPr>
                  </pic:nvPicPr>
                  <pic:blipFill>
                    <a:blip r:embed="rId30"/>
                    <a:stretch>
                      <a:fillRect/>
                    </a:stretch>
                  </pic:blipFill>
                  <pic:spPr bwMode="auto">
                    <a:xfrm>
                      <a:off x="0" y="0"/>
                      <a:ext cx="5334000" cy="2667000"/>
                    </a:xfrm>
                    <a:prstGeom prst="rect">
                      <a:avLst/>
                    </a:prstGeom>
                    <a:noFill/>
                    <a:ln w="9525">
                      <a:noFill/>
                      <a:headEnd/>
                      <a:tailEnd/>
                    </a:ln>
                  </pic:spPr>
                </pic:pic>
              </a:graphicData>
            </a:graphic>
          </wp:inline>
        </w:drawing>
      </w:r>
      <w:r>
        <w:t xml:space="preserve"> </w:t>
      </w:r>
      <w:r>
        <w:rPr>
          <w:iCs/>
          <w:i/>
        </w:rPr>
        <w:t xml:space="preserve">Figure 3: Logarithmic mass heatmap of all 60 islands. 100% of islands across all seeds successfully converged to valid solutions.</w:t>
      </w:r>
    </w:p>
    <w:bookmarkEnd w:id="33"/>
    <w:bookmarkStart w:id="34" w:name="the-10-kw-optimal-geometry"/>
    <w:p>
      <w:pPr>
        <w:pStyle w:val="Heading3"/>
      </w:pPr>
      <w:r>
        <w:t xml:space="preserve">3.2 The 10 kW Optimal Geometry</w:t>
      </w:r>
    </w:p>
    <w:p>
      <w:pPr>
        <w:pStyle w:val="FirstParagraph"/>
      </w:pPr>
      <w:r>
        <w:t xml:space="preserve">The global optimal design (Island 11) for the 10 kW system resulted in a mass of</w:t>
      </w:r>
      <w:r>
        <w:t xml:space="preserve"> </w:t>
      </w:r>
      <w:r>
        <w:rPr>
          <w:bCs/>
          <w:b/>
        </w:rPr>
        <w:t xml:space="preserve">11.47 kg</w:t>
      </w:r>
      <w:r>
        <w:t xml:space="preserve">. The optimizer selected a circular beam profile over airfoil/elliptical shapes. Circular tubes maximize the second moment of area per unit mass, perfectly balancing the symmetric Euler buckling forces inward from the tether lines.</w:t>
      </w:r>
    </w:p>
    <w:bookmarkEnd w:id="34"/>
    <w:bookmarkStart w:id="38" w:name="the-50-kw-scaling-advantage"/>
    <w:p>
      <w:pPr>
        <w:pStyle w:val="Heading3"/>
      </w:pPr>
      <w:r>
        <w:t xml:space="preserve">3.3 The 50 kW Scaling Advantage</w:t>
      </w:r>
    </w:p>
    <w:p>
      <w:pPr>
        <w:pStyle w:val="FirstParagraph"/>
      </w:pPr>
      <w:r>
        <w:t xml:space="preserve">The v5 BEM-coupling proved critical for scaling. Fixed-</w:t>
      </w:r>
      <m:oMath>
        <m:sSub>
          <m:e>
            <m:r>
              <m:t>C</m:t>
            </m:r>
          </m:e>
          <m:sub>
            <m:r>
              <m:t>T</m:t>
            </m:r>
          </m:sub>
        </m:sSub>
      </m:oMath>
      <w:r>
        <w:t xml:space="preserve"> </w:t>
      </w:r>
      <w:r>
        <w:t xml:space="preserve">models drastically overestimated the aerodynamic loads at the 50 kW scale. By incorporating the true BEM operational envelope, the required shaft mass for 50 kW dropped from 79.5 kg (v4) to</w:t>
      </w:r>
      <w:r>
        <w:t xml:space="preserve"> </w:t>
      </w:r>
      <w:r>
        <w:rPr>
          <w:bCs/>
          <w:b/>
        </w:rPr>
        <w:t xml:space="preserve">39.30 kg</w:t>
      </w:r>
      <w:r>
        <w:t xml:space="preserve"> </w:t>
      </w:r>
      <w:r>
        <w:t xml:space="preserve">(v5).</w:t>
      </w:r>
    </w:p>
    <w:p>
      <w:pPr>
        <w:pStyle w:val="BodyText"/>
      </w:pPr>
      <w:r>
        <w:drawing>
          <wp:inline>
            <wp:extent cx="5334000" cy="3333749"/>
            <wp:effectExtent b="0" l="0" r="0" t="0"/>
            <wp:docPr descr="Pareto Scatter" title="" id="36" name="Picture"/>
            <a:graphic>
              <a:graphicData uri="http://schemas.openxmlformats.org/drawingml/2006/picture">
                <pic:pic>
                  <pic:nvPicPr>
                    <pic:cNvPr descr="../figures/fig_v4_pareto.png" id="37" name="Picture"/>
                    <pic:cNvPicPr>
                      <a:picLocks noChangeArrowheads="1" noChangeAspect="1"/>
                    </pic:cNvPicPr>
                  </pic:nvPicPr>
                  <pic:blipFill>
                    <a:blip r:embed="rId35"/>
                    <a:stretch>
                      <a:fillRect/>
                    </a:stretch>
                  </pic:blipFill>
                  <pic:spPr bwMode="auto">
                    <a:xfrm>
                      <a:off x="0" y="0"/>
                      <a:ext cx="5334000" cy="3333749"/>
                    </a:xfrm>
                    <a:prstGeom prst="rect">
                      <a:avLst/>
                    </a:prstGeom>
                    <a:noFill/>
                    <a:ln w="9525">
                      <a:noFill/>
                      <a:headEnd/>
                      <a:tailEnd/>
                    </a:ln>
                  </pic:spPr>
                </pic:pic>
              </a:graphicData>
            </a:graphic>
          </wp:inline>
        </w:drawing>
      </w:r>
      <w:r>
        <w:t xml:space="preserve"> </w:t>
      </w:r>
      <w:r>
        <w:rPr>
          <w:iCs/>
          <w:i/>
        </w:rPr>
        <w:t xml:space="preserve">Figure 4: Final shaft mass grouped by profile and power scale. The 50 kW mass (orange) is highly optimized relative to the 10 kW baseline.</w:t>
      </w:r>
    </w:p>
    <w:p>
      <w:r>
        <w:pict>
          <v:rect style="width:0;height:1.5pt" o:hralign="center" o:hrstd="t" o:hr="t"/>
        </w:pict>
      </w:r>
    </w:p>
    <w:bookmarkEnd w:id="38"/>
    <w:bookmarkEnd w:id="39"/>
    <w:bookmarkStart w:id="40" w:name="discussion-the-n_lines-8-paradox"/>
    <w:p>
      <w:pPr>
        <w:pStyle w:val="Heading2"/>
      </w:pPr>
      <w:r>
        <w:t xml:space="preserve">4. Discussion: The</w:t>
      </w:r>
      <w:r>
        <w:t xml:space="preserve"> </w:t>
      </w:r>
      <m:oMath>
        <m:sSub>
          <m:e>
            <m:r>
              <m:t>n</m:t>
            </m:r>
          </m:e>
          <m:sub>
            <m:r>
              <m:t>l</m:t>
            </m:r>
            <m:r>
              <m:t>i</m:t>
            </m:r>
            <m:r>
              <m:t>n</m:t>
            </m:r>
            <m:r>
              <m:t>e</m:t>
            </m:r>
            <m:r>
              <m:t>s</m:t>
            </m:r>
          </m:sub>
        </m:sSub>
        <m:r>
          <m:rPr>
            <m:sty m:val="p"/>
          </m:rPr>
          <m:t>=</m:t>
        </m:r>
        <m:r>
          <m:t>8</m:t>
        </m:r>
      </m:oMath>
      <w:r>
        <w:t xml:space="preserve"> </w:t>
      </w:r>
      <w:r>
        <w:t xml:space="preserve">Paradox</w:t>
      </w:r>
    </w:p>
    <w:p>
      <w:pPr>
        <w:pStyle w:val="FirstParagraph"/>
      </w:pPr>
      <w:r>
        <w:t xml:space="preserve">A primary finding of the v5 campaign is the universal convergence on</w:t>
      </w:r>
      <w:r>
        <w:t xml:space="preserve"> </w:t>
      </w:r>
      <m:oMath>
        <m:sSub>
          <m:e>
            <m:r>
              <m:t>n</m:t>
            </m:r>
          </m:e>
          <m:sub>
            <m:r>
              <m:t>l</m:t>
            </m:r>
            <m:r>
              <m:t>i</m:t>
            </m:r>
            <m:r>
              <m:t>n</m:t>
            </m:r>
            <m:r>
              <m:t>e</m:t>
            </m:r>
            <m:r>
              <m:t>s</m:t>
            </m:r>
          </m:sub>
        </m:sSub>
        <m:r>
          <m:rPr>
            <m:sty m:val="p"/>
          </m:rPr>
          <m:t>=</m:t>
        </m:r>
        <m:r>
          <m:t>8</m:t>
        </m:r>
      </m:oMath>
      <w:r>
        <w:t xml:space="preserve"> </w:t>
      </w:r>
      <w:r>
        <w:t xml:space="preserve">tether lines, regardless of the BEM aerodynamic penalty applied to high-solidity rotors.</w:t>
      </w:r>
    </w:p>
    <w:p>
      <w:pPr>
        <w:pStyle w:val="BodyText"/>
      </w:pPr>
      <w:r>
        <w:rPr>
          <w:bCs/>
          <w:b/>
        </w:rPr>
        <w:t xml:space="preserve">The Rationale:</w:t>
      </w:r>
      <w:r>
        <w:t xml:space="preserve"> </w:t>
      </w:r>
      <w:r>
        <w:t xml:space="preserve">Distributing the peak wind load (25 m/s) across 8 lines reduces the localized inward radial force (</w:t>
      </w:r>
      <m:oMath>
        <m:sSub>
          <m:e>
            <m:r>
              <m:t>N</m:t>
            </m:r>
          </m:e>
          <m:sub>
            <m:r>
              <m:t>c</m:t>
            </m:r>
            <m:r>
              <m:t>o</m:t>
            </m:r>
            <m:r>
              <m:t>m</m:t>
            </m:r>
            <m:r>
              <m:t>p</m:t>
            </m:r>
          </m:sub>
        </m:sSub>
      </m:oMath>
      <w:r>
        <w:t xml:space="preserve">) at each ring vertex. This significantly delays the onset of Euler buckling in the ring segments. The structural mass saved by delaying this buckling threshold far outweighs the aerodynamic efficiency lost to higher rotor solidity.</w:t>
      </w:r>
    </w:p>
    <w:p>
      <w:pPr>
        <w:pStyle w:val="BodyText"/>
      </w:pPr>
      <w:r>
        <w:t xml:space="preserve">This proves that for TRPT systems, structural survival under extreme gust loads is the dominant driver of system geometry, overriding idealized aerodynamic optimization.</w:t>
      </w:r>
    </w:p>
    <w:p>
      <w:r>
        <w:pict>
          <v:rect style="width:0;height:1.5pt" o:hralign="center" o:hrstd="t" o:hr="t"/>
        </w:pict>
      </w:r>
    </w:p>
    <w:bookmarkEnd w:id="40"/>
    <w:bookmarkStart w:id="41" w:name="reproducibility-traceability"/>
    <w:p>
      <w:pPr>
        <w:pStyle w:val="Heading2"/>
      </w:pPr>
      <w:r>
        <w:t xml:space="preserve">5. Reproducibility &amp; Traceability</w:t>
      </w:r>
    </w:p>
    <w:p>
      <w:pPr>
        <w:pStyle w:val="FirstParagraph"/>
      </w:pPr>
      <w:r>
        <w:t xml:space="preserve">This report relies entirely on programmable, reproducible simulation data.</w:t>
      </w:r>
    </w:p>
    <w:p>
      <w:pPr>
        <w:pStyle w:val="BodyText"/>
      </w:pPr>
      <w:r>
        <w:rPr>
          <w:bCs/>
          <w:b/>
        </w:rPr>
        <w:t xml:space="preserve">Traceability Matrix:</w:t>
      </w:r>
      <w:r>
        <w:t xml:space="preserve"> </w:t>
      </w:r>
      <w:r>
        <w:t xml:space="preserve">*</w:t>
      </w:r>
      <w:r>
        <w:t xml:space="preserve"> </w:t>
      </w:r>
      <w:r>
        <w:rPr>
          <w:bCs/>
          <w:b/>
        </w:rPr>
        <w:t xml:space="preserve">Euler FOS</w:t>
      </w:r>
      <w:r>
        <w:rPr>
          <w:bCs/>
          <w:b/>
        </w:rPr>
        <w:t xml:space="preserve"> </w:t>
      </w:r>
      <m:oMath>
        <m:r>
          <m:rPr>
            <m:sty m:val="p"/>
          </m:rPr>
          <m:t>≥</m:t>
        </m:r>
        <m:r>
          <m:t>1.8</m:t>
        </m:r>
      </m:oMath>
      <w:r>
        <w:t xml:space="preserve">: Verified in</w:t>
      </w:r>
      <w:r>
        <w:t xml:space="preserve"> </w:t>
      </w:r>
      <w:r>
        <w:rPr>
          <w:rStyle w:val="VerbatimChar"/>
        </w:rPr>
        <w:t xml:space="preserve">src/trpt_optimization.jl</w:t>
      </w:r>
      <w:r>
        <w:t xml:space="preserve"> </w:t>
      </w:r>
      <w:r>
        <w:t xml:space="preserve">via</w:t>
      </w:r>
      <w:r>
        <w:t xml:space="preserve"> </w:t>
      </w:r>
      <m:oMath>
        <m:sSub>
          <m:e>
            <m:r>
              <m:t>P</m:t>
            </m:r>
          </m:e>
          <m:sub>
            <m:r>
              <m:t>c</m:t>
            </m:r>
            <m:r>
              <m:t>r</m:t>
            </m:r>
            <m:r>
              <m:t>i</m:t>
            </m:r>
            <m:r>
              <m:t>t</m:t>
            </m:r>
          </m:sub>
        </m:sSub>
        <m:r>
          <m:rPr>
            <m:sty m:val="p"/>
          </m:rPr>
          <m:t>=</m:t>
        </m:r>
        <m:sSup>
          <m:e>
            <m:r>
              <m:t>π</m:t>
            </m:r>
          </m:e>
          <m:sup>
            <m:r>
              <m:t>2</m:t>
            </m:r>
          </m:sup>
        </m:sSup>
        <m:r>
          <m:t>E</m:t>
        </m:r>
        <m:r>
          <m:t>I</m:t>
        </m:r>
        <m:r>
          <m:rPr>
            <m:sty m:val="p"/>
          </m:rPr>
          <m:t>/</m:t>
        </m:r>
        <m:sSup>
          <m:e>
            <m:r>
              <m:t>L</m:t>
            </m:r>
          </m:e>
          <m:sup>
            <m:r>
              <m:t>2</m:t>
            </m:r>
          </m:sup>
        </m:sSup>
      </m:oMath>
      <w:r>
        <w:t xml:space="preserve">.</w:t>
      </w:r>
      <w:r>
        <w:t xml:space="preserve"> </w:t>
      </w:r>
      <w:r>
        <w:t xml:space="preserve">*</w:t>
      </w:r>
      <w:r>
        <w:t xml:space="preserve"> </w:t>
      </w:r>
      <w:r>
        <w:rPr>
          <w:bCs/>
          <w:b/>
        </w:rPr>
        <w:t xml:space="preserve">Torsional FOS</w:t>
      </w:r>
      <w:r>
        <w:rPr>
          <w:bCs/>
          <w:b/>
        </w:rPr>
        <w:t xml:space="preserve"> </w:t>
      </w:r>
      <m:oMath>
        <m:r>
          <m:rPr>
            <m:sty m:val="p"/>
          </m:rPr>
          <m:t>≥</m:t>
        </m:r>
        <m:r>
          <m:t>1.5</m:t>
        </m:r>
      </m:oMath>
      <w:r>
        <w:t xml:space="preserve">: Verified in</w:t>
      </w:r>
      <w:r>
        <w:t xml:space="preserve"> </w:t>
      </w:r>
      <w:r>
        <w:rPr>
          <w:rStyle w:val="VerbatimChar"/>
        </w:rPr>
        <w:t xml:space="preserve">src/trpt_optimization.jl</w:t>
      </w:r>
      <w:r>
        <w:t xml:space="preserve"> </w:t>
      </w:r>
      <w:r>
        <w:t xml:space="preserve">and</w:t>
      </w:r>
      <w:r>
        <w:t xml:space="preserve"> </w:t>
      </w:r>
      <w:r>
        <w:rPr>
          <w:rStyle w:val="VerbatimChar"/>
        </w:rPr>
        <w:t xml:space="preserve">src/ring_spacing.jl</w:t>
      </w:r>
      <w:r>
        <w:t xml:space="preserve"> </w:t>
      </w:r>
      <w:r>
        <w:t xml:space="preserve">via the Tulloch/Wacker</w:t>
      </w:r>
      <w:r>
        <w:t xml:space="preserve"> </w:t>
      </w:r>
      <m:oMath>
        <m:sSub>
          <m:e>
            <m:r>
              <m:t>τ</m:t>
            </m:r>
          </m:e>
          <m:sub>
            <m:r>
              <m:t>c</m:t>
            </m:r>
            <m:r>
              <m:t>a</m:t>
            </m:r>
            <m:r>
              <m:t>p</m:t>
            </m:r>
          </m:sub>
        </m:sSub>
      </m:oMath>
      <w:r>
        <w:t xml:space="preserve"> </w:t>
      </w:r>
      <w:r>
        <w:t xml:space="preserve">integration.</w:t>
      </w:r>
      <w:r>
        <w:t xml:space="preserve"> </w:t>
      </w:r>
      <w:r>
        <w:t xml:space="preserve">*</w:t>
      </w:r>
      <w:r>
        <w:t xml:space="preserve"> </w:t>
      </w:r>
      <w:r>
        <w:rPr>
          <w:bCs/>
          <w:b/>
        </w:rPr>
        <w:t xml:space="preserve">Geometric Spacing</w:t>
      </w:r>
      <w:r>
        <w:t xml:space="preserve">: Verified in</w:t>
      </w:r>
      <w:r>
        <w:t xml:space="preserve"> </w:t>
      </w:r>
      <w:r>
        <w:rPr>
          <w:rStyle w:val="VerbatimChar"/>
        </w:rPr>
        <w:t xml:space="preserve">src/ring_spacing.jl</w:t>
      </w:r>
      <w:r>
        <w:t xml:space="preserve"> </w:t>
      </w:r>
      <w:r>
        <w:t xml:space="preserve">(</w:t>
      </w:r>
      <w:r>
        <w:rPr>
          <w:rStyle w:val="VerbatimChar"/>
        </w:rPr>
        <w:t xml:space="preserve">ring_spacing_v4()</w:t>
      </w:r>
      <w:r>
        <w:t xml:space="preserve">).</w:t>
      </w:r>
      <w:r>
        <w:t xml:space="preserve"> </w:t>
      </w:r>
      <w:r>
        <w:t xml:space="preserve">*</w:t>
      </w:r>
      <w:r>
        <w:t xml:space="preserve"> </w:t>
      </w:r>
      <w:r>
        <w:rPr>
          <w:bCs/>
          <w:b/>
        </w:rPr>
        <w:t xml:space="preserve">BEM Coupling</w:t>
      </w:r>
      <w:r>
        <w:t xml:space="preserve">: Verified in</w:t>
      </w:r>
      <w:r>
        <w:t xml:space="preserve"> </w:t>
      </w:r>
      <w:r>
        <w:rPr>
          <w:rStyle w:val="VerbatimChar"/>
        </w:rPr>
        <w:t xml:space="preserve">src/bem.jl</w:t>
      </w:r>
      <w:r>
        <w:t xml:space="preserve"> </w:t>
      </w:r>
      <w:r>
        <w:t xml:space="preserve">(</w:t>
      </w:r>
      <w:r>
        <w:rPr>
          <w:rStyle w:val="VerbatimChar"/>
        </w:rPr>
        <w:t xml:space="preserve">cp_bem()</w:t>
      </w:r>
      <w:r>
        <w:t xml:space="preserve">).</w:t>
      </w:r>
    </w:p>
    <w:p>
      <w:pPr>
        <w:pStyle w:val="BodyText"/>
      </w:pPr>
      <w:r>
        <w:t xml:space="preserve">To recreate the 11.47 kg optimal 10 kW design, initialize the Julia environment and run the v5 campaign headless:</w:t>
      </w:r>
    </w:p>
    <w:p>
      <w:pPr>
        <w:pStyle w:val="SourceCode"/>
      </w:pPr>
      <w:r>
        <w:rPr>
          <w:rStyle w:val="ExtensionTok"/>
        </w:rPr>
        <w:t xml:space="preserve">julia</w:t>
      </w:r>
      <w:r>
        <w:rPr>
          <w:rStyle w:val="NormalTok"/>
        </w:rPr>
        <w:t xml:space="preserve"> </w:t>
      </w:r>
      <w:r>
        <w:rPr>
          <w:rStyle w:val="AttributeTok"/>
        </w:rPr>
        <w:t xml:space="preserve">--project</w:t>
      </w:r>
      <w:r>
        <w:rPr>
          <w:rStyle w:val="OperatorTok"/>
        </w:rPr>
        <w:t xml:space="preserve">=</w:t>
      </w:r>
      <w:r>
        <w:rPr>
          <w:rStyle w:val="NormalTok"/>
        </w:rPr>
        <w:t xml:space="preserve">. </w:t>
      </w:r>
      <w:r>
        <w:rPr>
          <w:rStyle w:val="AttributeTok"/>
        </w:rPr>
        <w:t xml:space="preserve">-e</w:t>
      </w:r>
      <w:r>
        <w:rPr>
          <w:rStyle w:val="NormalTok"/>
        </w:rPr>
        <w:t xml:space="preserve"> </w:t>
      </w:r>
      <w:r>
        <w:rPr>
          <w:rStyle w:val="StringTok"/>
        </w:rPr>
        <w:t xml:space="preserve">'using Pkg; Pkg.instantiate()'</w:t>
      </w:r>
      <w:r>
        <w:br/>
      </w:r>
      <w:r>
        <w:rPr>
          <w:rStyle w:val="ExtensionTok"/>
        </w:rPr>
        <w:t xml:space="preserve">julia</w:t>
      </w:r>
      <w:r>
        <w:rPr>
          <w:rStyle w:val="NormalTok"/>
        </w:rPr>
        <w:t xml:space="preserve"> </w:t>
      </w:r>
      <w:r>
        <w:rPr>
          <w:rStyle w:val="AttributeTok"/>
        </w:rPr>
        <w:t xml:space="preserve">--project</w:t>
      </w:r>
      <w:r>
        <w:rPr>
          <w:rStyle w:val="OperatorTok"/>
        </w:rPr>
        <w:t xml:space="preserve">=</w:t>
      </w:r>
      <w:r>
        <w:rPr>
          <w:rStyle w:val="NormalTok"/>
        </w:rPr>
        <w:t xml:space="preserve">. scripts/run_v5_campaign.jl</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4" Target="media/rId24.png" /><Relationship Type="http://schemas.openxmlformats.org/officeDocument/2006/relationships/image" Id="rId20" Target="media/rId20.png" /><Relationship Type="http://schemas.openxmlformats.org/officeDocument/2006/relationships/image" Id="rId30" Target="media/rId30.png" /><Relationship Type="http://schemas.openxmlformats.org/officeDocument/2006/relationships/image" Id="rId35" Target="media/rId3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2026-04-30T13:04:57Z</dcterms:created>
  <dcterms:modified xsi:type="dcterms:W3CDTF">2026-04-30T13:04:57Z</dcterms:modified>
</cp:coreProperties>
</file>

<file path=docProps/custom.xml><?xml version="1.0" encoding="utf-8"?>
<Properties xmlns="http://schemas.openxmlformats.org/officeDocument/2006/custom-properties" xmlns:vt="http://schemas.openxmlformats.org/officeDocument/2006/docPropsVTypes"/>
</file>