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r>
        <w:t xml:space="preserve"/>
      </w:r>
    </w:p>
    <w:p>
      <w:pPr>
        <w:spacing w:after="200" w:before="0"/>
        <w:jc w:val="center"/>
      </w:pPr>
      <w:r>
        <w:rPr>
          <w:rFonts w:ascii="Arial" w:cs="Arial" w:eastAsia="Arial" w:hAnsi="Arial"/>
          <w:b/>
          <w:bCs/>
          <w:color w:val="1F3864"/>
          <w:sz w:val="56"/>
          <w:szCs w:val="56"/>
        </w:rPr>
        <w:t xml:space="preserve">MEMORIA PROYECTO B</w:t>
      </w:r>
    </w:p>
    <w:p>
      <w:pPr>
        <w:spacing w:after="600" w:before="100"/>
        <w:jc w:val="center"/>
      </w:pPr>
      <w:r>
        <w:rPr>
          <w:rFonts w:ascii="Arial" w:cs="Arial" w:eastAsia="Arial" w:hAnsi="Arial"/>
          <w:i/>
          <w:iCs/>
          <w:color w:val="2E75B6"/>
          <w:sz w:val="26"/>
          <w:szCs w:val="26"/>
        </w:rPr>
        <w:t xml:space="preserve">Almacenes de Datos  —  Curso 2025/2026</w:t>
      </w:r>
    </w:p>
    <w:p>
      <w:pPr>
        <w:pBdr>
          <w:bottom w:val="single" w:color="2E75B6" w:sz="6" w:space="1"/>
        </w:pBdr>
        <w:spacing w:after="160" w:before="160"/>
      </w:pPr>
      <w:r>
        <w:t xml:space="preserve"/>
      </w:r>
    </w:p>
    <w:p>
      <w:pPr>
        <w:spacing w:after="0" w:before="240"/>
      </w:pPr>
      <w:r>
        <w:t xml:space="preserve"/>
      </w:r>
    </w:p>
    <w:p>
      <w:pPr>
        <w:spacing w:after="120" w:before="0"/>
        <w:jc w:val="center"/>
      </w:pPr>
      <w:r>
        <w:rPr>
          <w:rFonts w:ascii="Arial" w:cs="Arial" w:eastAsia="Arial" w:hAnsi="Arial"/>
          <w:b/>
          <w:bCs/>
          <w:color w:val="2E75B6"/>
          <w:sz w:val="36"/>
          <w:szCs w:val="36"/>
        </w:rPr>
        <w:t xml:space="preserve">GRUPO 1</w:t>
      </w:r>
    </w:p>
    <w:p>
      <w:pPr>
        <w:spacing w:after="0" w:before="160"/>
      </w:pPr>
      <w:r>
        <w:t xml:space="preserve"/>
      </w:r>
    </w:p>
    <w:p>
      <w:pPr>
        <w:spacing w:after="100" w:before="0"/>
        <w:jc w:val="center"/>
      </w:pPr>
      <w:r>
        <w:rPr>
          <w:rFonts w:ascii="Arial" w:cs="Arial" w:eastAsia="Arial" w:hAnsi="Arial"/>
          <w:b/>
          <w:bCs/>
          <w:color w:val="1A1A1A"/>
          <w:sz w:val="24"/>
          <w:szCs w:val="24"/>
        </w:rPr>
        <w:t xml:space="preserve">Integrantes del grupo</w:t>
      </w:r>
    </w:p>
    <w:p>
      <w:pPr>
        <w:spacing w:after="60" w:before="60"/>
        <w:jc w:val="center"/>
      </w:pPr>
      <w:r>
        <w:rPr>
          <w:rFonts w:ascii="Arial" w:cs="Arial" w:eastAsia="Arial" w:hAnsi="Arial"/>
          <w:color w:val="1A1A1A"/>
          <w:sz w:val="22"/>
          <w:szCs w:val="22"/>
        </w:rPr>
        <w:t xml:space="preserve">Rubén Subires Hidalgo</w:t>
      </w:r>
    </w:p>
    <w:p>
      <w:pPr>
        <w:spacing w:after="60" w:before="60"/>
        <w:jc w:val="center"/>
      </w:pPr>
      <w:r>
        <w:rPr>
          <w:rFonts w:ascii="Arial" w:cs="Arial" w:eastAsia="Arial" w:hAnsi="Arial"/>
          <w:color w:val="1A1A1A"/>
          <w:sz w:val="22"/>
          <w:szCs w:val="22"/>
        </w:rPr>
        <w:t xml:space="preserve">Iván Galiano Navarro</w:t>
      </w:r>
    </w:p>
    <w:p>
      <w:pPr>
        <w:spacing w:after="60" w:before="60"/>
        <w:jc w:val="center"/>
      </w:pPr>
      <w:r>
        <w:rPr>
          <w:rFonts w:ascii="Arial" w:cs="Arial" w:eastAsia="Arial" w:hAnsi="Arial"/>
          <w:color w:val="1A1A1A"/>
          <w:sz w:val="22"/>
          <w:szCs w:val="22"/>
        </w:rPr>
        <w:t xml:space="preserve">Juan de Dios Cobos Hernández</w:t>
      </w:r>
    </w:p>
    <w:p>
      <w:pPr>
        <w:spacing w:after="60" w:before="60"/>
        <w:jc w:val="center"/>
      </w:pPr>
      <w:r>
        <w:rPr>
          <w:rFonts w:ascii="Arial" w:cs="Arial" w:eastAsia="Arial" w:hAnsi="Arial"/>
          <w:color w:val="1A1A1A"/>
          <w:sz w:val="22"/>
          <w:szCs w:val="22"/>
        </w:rPr>
        <w:t xml:space="preserve">Roberto Delgado Alcázar</w:t>
      </w:r>
    </w:p>
    <w:p>
      <w:pPr>
        <w:sectPr>
          <w:pgSz w:w="11906" w:h="16838"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F3864"/>
          <w:sz w:val="32"/>
          <w:szCs w:val="32"/>
        </w:rPr>
        <w:t xml:space="preserve">TAREA 1. Diseño Conceptual y Lógico</w:t>
      </w:r>
    </w:p>
    <w:p>
      <w:pPr>
        <w:pBdr>
          <w:bottom w:val="single" w:color="2E75B6" w:sz="6" w:space="1"/>
        </w:pBdr>
        <w:spacing w:after="160" w:before="160"/>
      </w:pPr>
      <w:r>
        <w:t xml:space="preserve"/>
      </w:r>
    </w:p>
    <w:p>
      <w:pPr>
        <w:pStyle w:val="Heading2"/>
        <w:spacing w:after="160" w:before="300"/>
      </w:pPr>
      <w:r>
        <w:rPr>
          <w:rFonts w:ascii="Arial" w:cs="Arial" w:eastAsia="Arial" w:hAnsi="Arial"/>
          <w:b/>
          <w:bCs/>
          <w:color w:val="2E75B6"/>
          <w:sz w:val="26"/>
          <w:szCs w:val="26"/>
        </w:rPr>
        <w:t xml:space="preserve">1.1. Análisis del Modelo Relacional Origen</w:t>
      </w:r>
    </w:p>
    <w:p>
      <w:pPr>
        <w:spacing w:after="80" w:before="80" w:line="300"/>
        <w:jc w:val="both"/>
      </w:pPr>
      <w:r>
        <w:rPr>
          <w:rFonts w:ascii="Arial" w:cs="Arial" w:eastAsia="Arial" w:hAnsi="Arial"/>
          <w:color w:val="1A1A1A"/>
          <w:sz w:val="22"/>
          <w:szCs w:val="22"/>
        </w:rPr>
        <w:t xml:space="preserve">El primer paso consistía en </w:t>
      </w:r>
      <w:r>
        <w:rPr>
          <w:rFonts w:ascii="Arial" w:cs="Arial" w:eastAsia="Arial" w:hAnsi="Arial"/>
          <w:b/>
          <w:bCs/>
          <w:color w:val="1A1A1A"/>
          <w:sz w:val="22"/>
          <w:szCs w:val="22"/>
        </w:rPr>
        <w:t xml:space="preserve">crear la base de datos operacional</w:t>
      </w:r>
      <w:r>
        <w:rPr>
          <w:rFonts w:ascii="Arial" w:cs="Arial" w:eastAsia="Arial" w:hAnsi="Arial"/>
          <w:color w:val="1A1A1A"/>
          <w:sz w:val="22"/>
          <w:szCs w:val="22"/>
        </w:rPr>
        <w:t xml:space="preserve"> en </w:t>
      </w:r>
      <w:r>
        <w:rPr>
          <w:rFonts w:ascii="Arial" w:cs="Arial" w:eastAsia="Arial" w:hAnsi="Arial"/>
          <w:i/>
          <w:iCs/>
          <w:color w:val="1A1A1A"/>
          <w:sz w:val="22"/>
          <w:szCs w:val="22"/>
        </w:rPr>
        <w:t xml:space="preserve">SQL Server Management Studio</w:t>
      </w:r>
      <w:r>
        <w:rPr>
          <w:rFonts w:ascii="Arial" w:cs="Arial" w:eastAsia="Arial" w:hAnsi="Arial"/>
          <w:color w:val="1A1A1A"/>
          <w:sz w:val="22"/>
          <w:szCs w:val="22"/>
        </w:rPr>
        <w:t xml:space="preserve"> (SSMS). Para ello se ejecutaron los dos archivos SQL proporcionados en el orden correcto: primero el archivo DDL para crear las estructura de tablas y a continuación el archivo DML con los datos para poblarlas. A partir de ese punto fue posible analizar la organización de la base de datos original y comenzar con los diseños del almacén.</w:t>
      </w:r>
    </w:p>
    <w:p>
      <w:pPr>
        <w:spacing w:after="0" w:before="80"/>
      </w:pPr>
      <w:r>
        <w:t xml:space="preserve"/>
      </w:r>
    </w:p>
    <w:p>
      <w:pPr>
        <w:spacing w:after="80" w:before="80" w:line="300"/>
        <w:jc w:val="both"/>
      </w:pPr>
      <w:r>
        <w:rPr>
          <w:rFonts w:ascii="Arial" w:cs="Arial" w:eastAsia="Arial" w:hAnsi="Arial"/>
          <w:color w:val="1A1A1A"/>
          <w:sz w:val="22"/>
          <w:szCs w:val="22"/>
        </w:rPr>
        <w:t xml:space="preserve">La base de datos operacional contiene las siguientes tablas principales que sirven como fuente para el proceso ETL: </w:t>
      </w:r>
      <w:r>
        <w:rPr>
          <w:rFonts w:ascii="Arial" w:cs="Arial" w:eastAsia="Arial" w:hAnsi="Arial"/>
          <w:b/>
          <w:bCs/>
          <w:color w:val="1A1A1A"/>
          <w:sz w:val="22"/>
          <w:szCs w:val="22"/>
        </w:rPr>
        <w:t xml:space="preserve">games</w:t>
      </w:r>
      <w:r>
        <w:rPr>
          <w:rFonts w:ascii="Arial" w:cs="Arial" w:eastAsia="Arial" w:hAnsi="Arial"/>
          <w:color w:val="1A1A1A"/>
          <w:sz w:val="22"/>
          <w:szCs w:val="22"/>
        </w:rPr>
        <w:t xml:space="preserve"> (partidos), </w:t>
      </w:r>
      <w:r>
        <w:rPr>
          <w:rFonts w:ascii="Arial" w:cs="Arial" w:eastAsia="Arial" w:hAnsi="Arial"/>
          <w:b/>
          <w:bCs/>
          <w:color w:val="1A1A1A"/>
          <w:sz w:val="22"/>
          <w:szCs w:val="22"/>
        </w:rPr>
        <w:t xml:space="preserve">teams</w:t>
      </w:r>
      <w:r>
        <w:rPr>
          <w:rFonts w:ascii="Arial" w:cs="Arial" w:eastAsia="Arial" w:hAnsi="Arial"/>
          <w:color w:val="1A1A1A"/>
          <w:sz w:val="22"/>
          <w:szCs w:val="22"/>
        </w:rPr>
        <w:t xml:space="preserve"> (equipos), </w:t>
      </w:r>
      <w:r>
        <w:rPr>
          <w:rFonts w:ascii="Arial" w:cs="Arial" w:eastAsia="Arial" w:hAnsi="Arial"/>
          <w:b/>
          <w:bCs/>
          <w:color w:val="1A1A1A"/>
          <w:sz w:val="22"/>
          <w:szCs w:val="22"/>
        </w:rPr>
        <w:t xml:space="preserve">leagues</w:t>
      </w:r>
      <w:r>
        <w:rPr>
          <w:rFonts w:ascii="Arial" w:cs="Arial" w:eastAsia="Arial" w:hAnsi="Arial"/>
          <w:color w:val="1A1A1A"/>
          <w:sz w:val="22"/>
          <w:szCs w:val="22"/>
        </w:rPr>
        <w:t xml:space="preserve"> (ligas), </w:t>
      </w:r>
      <w:r>
        <w:rPr>
          <w:rFonts w:ascii="Arial" w:cs="Arial" w:eastAsia="Arial" w:hAnsi="Arial"/>
          <w:b/>
          <w:bCs/>
          <w:color w:val="1A1A1A"/>
          <w:sz w:val="22"/>
          <w:szCs w:val="22"/>
        </w:rPr>
        <w:t xml:space="preserve">seasons</w:t>
      </w:r>
      <w:r>
        <w:rPr>
          <w:rFonts w:ascii="Arial" w:cs="Arial" w:eastAsia="Arial" w:hAnsi="Arial"/>
          <w:color w:val="1A1A1A"/>
          <w:sz w:val="22"/>
          <w:szCs w:val="22"/>
        </w:rPr>
        <w:t xml:space="preserve"> (temporadas), </w:t>
      </w:r>
      <w:r>
        <w:rPr>
          <w:rFonts w:ascii="Arial" w:cs="Arial" w:eastAsia="Arial" w:hAnsi="Arial"/>
          <w:b/>
          <w:bCs/>
          <w:color w:val="1A1A1A"/>
          <w:sz w:val="22"/>
          <w:szCs w:val="22"/>
        </w:rPr>
        <w:t xml:space="preserve">rounds</w:t>
      </w:r>
      <w:r>
        <w:rPr>
          <w:rFonts w:ascii="Arial" w:cs="Arial" w:eastAsia="Arial" w:hAnsi="Arial"/>
          <w:color w:val="1A1A1A"/>
          <w:sz w:val="22"/>
          <w:szCs w:val="22"/>
        </w:rPr>
        <w:t xml:space="preserve"> (jornadas), </w:t>
      </w:r>
      <w:r>
        <w:rPr>
          <w:rFonts w:ascii="Arial" w:cs="Arial" w:eastAsia="Arial" w:hAnsi="Arial"/>
          <w:b/>
          <w:bCs/>
          <w:color w:val="1A1A1A"/>
          <w:sz w:val="22"/>
          <w:szCs w:val="22"/>
        </w:rPr>
        <w:t xml:space="preserve">events</w:t>
      </w:r>
      <w:r>
        <w:rPr>
          <w:rFonts w:ascii="Arial" w:cs="Arial" w:eastAsia="Arial" w:hAnsi="Arial"/>
          <w:color w:val="1A1A1A"/>
          <w:sz w:val="22"/>
          <w:szCs w:val="22"/>
        </w:rPr>
        <w:t xml:space="preserve"> (eventos de competición), </w:t>
      </w:r>
      <w:r>
        <w:rPr>
          <w:rFonts w:ascii="Arial" w:cs="Arial" w:eastAsia="Arial" w:hAnsi="Arial"/>
          <w:b/>
          <w:bCs/>
          <w:color w:val="1A1A1A"/>
          <w:sz w:val="22"/>
          <w:szCs w:val="22"/>
        </w:rPr>
        <w:t xml:space="preserve">grounds</w:t>
      </w:r>
      <w:r>
        <w:rPr>
          <w:rFonts w:ascii="Arial" w:cs="Arial" w:eastAsia="Arial" w:hAnsi="Arial"/>
          <w:color w:val="1A1A1A"/>
          <w:sz w:val="22"/>
          <w:szCs w:val="22"/>
        </w:rPr>
        <w:t xml:space="preserve"> (estadios), </w:t>
      </w:r>
      <w:r>
        <w:rPr>
          <w:rFonts w:ascii="Arial" w:cs="Arial" w:eastAsia="Arial" w:hAnsi="Arial"/>
          <w:b/>
          <w:bCs/>
          <w:color w:val="1A1A1A"/>
          <w:sz w:val="22"/>
          <w:szCs w:val="22"/>
        </w:rPr>
        <w:t xml:space="preserve">countries</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cities</w:t>
      </w:r>
      <w:r>
        <w:rPr>
          <w:rFonts w:ascii="Arial" w:cs="Arial" w:eastAsia="Arial" w:hAnsi="Arial"/>
          <w:color w:val="1A1A1A"/>
          <w:sz w:val="22"/>
          <w:szCs w:val="22"/>
        </w:rPr>
        <w:t xml:space="preserve"> y </w:t>
      </w:r>
      <w:r>
        <w:rPr>
          <w:rFonts w:ascii="Arial" w:cs="Arial" w:eastAsia="Arial" w:hAnsi="Arial"/>
          <w:b/>
          <w:bCs/>
          <w:color w:val="1A1A1A"/>
          <w:sz w:val="22"/>
          <w:szCs w:val="22"/>
        </w:rPr>
        <w:t xml:space="preserve">continents</w:t>
      </w:r>
      <w:r>
        <w:rPr>
          <w:rFonts w:ascii="Arial" w:cs="Arial" w:eastAsia="Arial" w:hAnsi="Arial"/>
          <w:color w:val="1A1A1A"/>
          <w:sz w:val="22"/>
          <w:szCs w:val="22"/>
        </w:rPr>
        <w:t xml:space="preserve">. El volumen de datos cubre seis temporadas de la Primera División española (2012/13 a 2017/18).</w:t>
      </w:r>
    </w:p>
    <w:p>
      <w:pPr>
        <w:spacing w:after="0" w:before="160"/>
      </w:pPr>
      <w:r>
        <w:t xml:space="preserve"/>
      </w:r>
    </w:p>
    <w:p>
      <w:pPr>
        <w:pStyle w:val="Heading2"/>
        <w:spacing w:after="160" w:before="300"/>
      </w:pPr>
      <w:r>
        <w:rPr>
          <w:rFonts w:ascii="Arial" w:cs="Arial" w:eastAsia="Arial" w:hAnsi="Arial"/>
          <w:b/>
          <w:bCs/>
          <w:color w:val="2E75B6"/>
          <w:sz w:val="26"/>
          <w:szCs w:val="26"/>
        </w:rPr>
        <w:t xml:space="preserve">1.2. Diseño Conceptual</w:t>
      </w:r>
    </w:p>
    <w:p>
      <w:pPr>
        <w:spacing w:after="80" w:before="80" w:line="300"/>
        <w:jc w:val="both"/>
      </w:pPr>
      <w:r>
        <w:rPr>
          <w:rFonts w:ascii="Arial" w:cs="Arial" w:eastAsia="Arial" w:hAnsi="Arial"/>
          <w:color w:val="1A1A1A"/>
          <w:sz w:val="22"/>
          <w:szCs w:val="22"/>
        </w:rPr>
        <w:t xml:space="preserve">Para el modelo conceptual se adoptó un </w:t>
      </w:r>
      <w:r>
        <w:rPr>
          <w:rFonts w:ascii="Arial" w:cs="Arial" w:eastAsia="Arial" w:hAnsi="Arial"/>
          <w:b/>
          <w:bCs/>
          <w:color w:val="1A1A1A"/>
          <w:sz w:val="22"/>
          <w:szCs w:val="22"/>
        </w:rPr>
        <w:t xml:space="preserve">diagrama estrella</w:t>
      </w:r>
      <w:r>
        <w:rPr>
          <w:rFonts w:ascii="Arial" w:cs="Arial" w:eastAsia="Arial" w:hAnsi="Arial"/>
          <w:color w:val="1A1A1A"/>
          <w:sz w:val="22"/>
          <w:szCs w:val="22"/>
        </w:rPr>
        <w:t xml:space="preserve"> cuyo eje central es el hecho </w:t>
      </w:r>
      <w:r>
        <w:rPr>
          <w:rFonts w:ascii="Arial" w:cs="Arial" w:eastAsia="Arial" w:hAnsi="Arial"/>
          <w:b/>
          <w:bCs/>
          <w:color w:val="1A1A1A"/>
          <w:sz w:val="22"/>
          <w:szCs w:val="22"/>
        </w:rPr>
        <w:t xml:space="preserve">Partido</w:t>
      </w:r>
      <w:r>
        <w:rPr>
          <w:rFonts w:ascii="Arial" w:cs="Arial" w:eastAsia="Arial" w:hAnsi="Arial"/>
          <w:color w:val="1A1A1A"/>
          <w:sz w:val="22"/>
          <w:szCs w:val="22"/>
        </w:rPr>
        <w:t xml:space="preserve"> (identificado por su </w:t>
      </w:r>
      <w:r>
        <w:rPr>
          <w:rFonts w:ascii="Arial" w:cs="Arial" w:eastAsia="Arial" w:hAnsi="Arial"/>
          <w:i/>
          <w:iCs/>
          <w:color w:val="1A1A1A"/>
          <w:sz w:val="22"/>
          <w:szCs w:val="22"/>
        </w:rPr>
        <w:t xml:space="preserve">game_id</w:t>
      </w:r>
      <w:r>
        <w:rPr>
          <w:rFonts w:ascii="Arial" w:cs="Arial" w:eastAsia="Arial" w:hAnsi="Arial"/>
          <w:color w:val="1A1A1A"/>
          <w:sz w:val="22"/>
          <w:szCs w:val="22"/>
        </w:rPr>
        <w:t xml:space="preserve">). A partir de este hecho se organizan </w:t>
      </w:r>
      <w:r>
        <w:rPr>
          <w:rFonts w:ascii="Arial" w:cs="Arial" w:eastAsia="Arial" w:hAnsi="Arial"/>
          <w:b/>
          <w:bCs/>
          <w:color w:val="1A1A1A"/>
          <w:sz w:val="22"/>
          <w:szCs w:val="22"/>
        </w:rPr>
        <w:t xml:space="preserve">cinco dimensiones</w:t>
      </w:r>
      <w:r>
        <w:rPr>
          <w:rFonts w:ascii="Arial" w:cs="Arial" w:eastAsia="Arial" w:hAnsi="Arial"/>
          <w:color w:val="1A1A1A"/>
          <w:sz w:val="22"/>
          <w:szCs w:val="22"/>
        </w:rPr>
        <w:t xml:space="preserve"> principales:</w:t>
      </w:r>
    </w:p>
    <w:p>
      <w:pPr>
        <w:spacing w:after="0" w:before="80"/>
      </w:pPr>
      <w:r>
        <w:t xml:space="preserve"/>
      </w:r>
    </w:p>
    <w:p>
      <w:pPr>
        <w:pStyle w:val="ListParagraph"/>
        <w:numPr>
          <w:ilvl w:val="0"/>
          <w:numId w:val="2"/>
        </w:numPr>
        <w:spacing w:after="60" w:before="60" w:line="280"/>
      </w:pPr>
      <w:r>
        <w:rPr>
          <w:rFonts w:ascii="Arial" w:cs="Arial" w:eastAsia="Arial" w:hAnsi="Arial"/>
          <w:b/>
          <w:bCs/>
          <w:color w:val="1A1A1A"/>
          <w:sz w:val="22"/>
          <w:szCs w:val="22"/>
        </w:rPr>
        <w:t xml:space="preserve">Eventos: </w:t>
      </w:r>
      <w:r>
        <w:rPr>
          <w:rFonts w:ascii="Arial" w:cs="Arial" w:eastAsia="Arial" w:hAnsi="Arial"/>
          <w:color w:val="1A1A1A"/>
          <w:sz w:val="22"/>
          <w:szCs w:val="22"/>
        </w:rPr>
        <w:t xml:space="preserve"/>
      </w:r>
    </w:p>
    <w:p>
      <w:pPr>
        <w:pStyle w:val="ListParagraph"/>
        <w:numPr>
          <w:ilvl w:val="1"/>
          <w:numId w:val="2"/>
        </w:numPr>
        <w:spacing w:after="40" w:before="40" w:line="260"/>
      </w:pPr>
      <w:r>
        <w:rPr>
          <w:rFonts w:ascii="Arial" w:cs="Arial" w:eastAsia="Arial" w:hAnsi="Arial"/>
          <w:color w:val="1A1A1A"/>
          <w:sz w:val="22"/>
          <w:szCs w:val="22"/>
        </w:rPr>
        <w:t xml:space="preserve">Comprende el título de la liga (League_title), la temporada (Season_title) y las fechas de inicio y fin de la competición.</w:t>
      </w:r>
    </w:p>
    <w:p>
      <w:pPr>
        <w:pStyle w:val="ListParagraph"/>
        <w:numPr>
          <w:ilvl w:val="0"/>
          <w:numId w:val="2"/>
        </w:numPr>
        <w:spacing w:after="60" w:before="60" w:line="280"/>
      </w:pPr>
      <w:r>
        <w:rPr>
          <w:rFonts w:ascii="Arial" w:cs="Arial" w:eastAsia="Arial" w:hAnsi="Arial"/>
          <w:b/>
          <w:bCs/>
          <w:color w:val="1A1A1A"/>
          <w:sz w:val="22"/>
          <w:szCs w:val="22"/>
        </w:rPr>
        <w:t xml:space="preserve">Equipos: </w:t>
      </w:r>
      <w:r>
        <w:rPr>
          <w:rFonts w:ascii="Arial" w:cs="Arial" w:eastAsia="Arial" w:hAnsi="Arial"/>
          <w:color w:val="1A1A1A"/>
          <w:sz w:val="22"/>
          <w:szCs w:val="22"/>
        </w:rPr>
        <w:t xml:space="preserve"/>
      </w:r>
    </w:p>
    <w:p>
      <w:pPr>
        <w:pStyle w:val="ListParagraph"/>
        <w:numPr>
          <w:ilvl w:val="1"/>
          <w:numId w:val="2"/>
        </w:numPr>
        <w:spacing w:after="40" w:before="40" w:line="260"/>
      </w:pPr>
      <w:r>
        <w:rPr>
          <w:rFonts w:ascii="Arial" w:cs="Arial" w:eastAsia="Arial" w:hAnsi="Arial"/>
          <w:color w:val="1A1A1A"/>
          <w:sz w:val="22"/>
          <w:szCs w:val="22"/>
        </w:rPr>
        <w:t xml:space="preserve">Contiene el nombre del equipo, la ciudad, el país y el continente al que pertenece.</w:t>
      </w:r>
    </w:p>
    <w:p>
      <w:pPr>
        <w:pStyle w:val="ListParagraph"/>
        <w:numPr>
          <w:ilvl w:val="0"/>
          <w:numId w:val="2"/>
        </w:numPr>
        <w:spacing w:after="60" w:before="60" w:line="280"/>
      </w:pPr>
      <w:r>
        <w:rPr>
          <w:rFonts w:ascii="Arial" w:cs="Arial" w:eastAsia="Arial" w:hAnsi="Arial"/>
          <w:b/>
          <w:bCs/>
          <w:color w:val="1A1A1A"/>
          <w:sz w:val="22"/>
          <w:szCs w:val="22"/>
        </w:rPr>
        <w:t xml:space="preserve">Fecha: </w:t>
      </w:r>
      <w:r>
        <w:rPr>
          <w:rFonts w:ascii="Arial" w:cs="Arial" w:eastAsia="Arial" w:hAnsi="Arial"/>
          <w:color w:val="1A1A1A"/>
          <w:sz w:val="22"/>
          <w:szCs w:val="22"/>
        </w:rPr>
        <w:t xml:space="preserve"/>
      </w:r>
    </w:p>
    <w:p>
      <w:pPr>
        <w:pStyle w:val="ListParagraph"/>
        <w:numPr>
          <w:ilvl w:val="1"/>
          <w:numId w:val="2"/>
        </w:numPr>
        <w:spacing w:after="40" w:before="40" w:line="260"/>
      </w:pPr>
      <w:r>
        <w:rPr>
          <w:rFonts w:ascii="Arial" w:cs="Arial" w:eastAsia="Arial" w:hAnsi="Arial"/>
          <w:color w:val="1A1A1A"/>
          <w:sz w:val="22"/>
          <w:szCs w:val="22"/>
        </w:rPr>
        <w:t xml:space="preserve">Se desglosa en día de la semana, día, mes, trimestre y año del partido.</w:t>
      </w:r>
    </w:p>
    <w:p>
      <w:pPr>
        <w:pStyle w:val="ListParagraph"/>
        <w:numPr>
          <w:ilvl w:val="0"/>
          <w:numId w:val="2"/>
        </w:numPr>
        <w:spacing w:after="60" w:before="60" w:line="280"/>
      </w:pPr>
      <w:r>
        <w:rPr>
          <w:rFonts w:ascii="Arial" w:cs="Arial" w:eastAsia="Arial" w:hAnsi="Arial"/>
          <w:b/>
          <w:bCs/>
          <w:color w:val="1A1A1A"/>
          <w:sz w:val="22"/>
          <w:szCs w:val="22"/>
        </w:rPr>
        <w:t xml:space="preserve">Estadio: </w:t>
      </w:r>
      <w:r>
        <w:rPr>
          <w:rFonts w:ascii="Arial" w:cs="Arial" w:eastAsia="Arial" w:hAnsi="Arial"/>
          <w:color w:val="1A1A1A"/>
          <w:sz w:val="22"/>
          <w:szCs w:val="22"/>
        </w:rPr>
        <w:t xml:space="preserve"/>
      </w:r>
    </w:p>
    <w:p>
      <w:pPr>
        <w:pStyle w:val="ListParagraph"/>
        <w:numPr>
          <w:ilvl w:val="1"/>
          <w:numId w:val="2"/>
        </w:numPr>
        <w:spacing w:after="40" w:before="40" w:line="260"/>
      </w:pPr>
      <w:r>
        <w:rPr>
          <w:rFonts w:ascii="Arial" w:cs="Arial" w:eastAsia="Arial" w:hAnsi="Arial"/>
          <w:color w:val="1A1A1A"/>
          <w:sz w:val="22"/>
          <w:szCs w:val="22"/>
        </w:rPr>
        <w:t xml:space="preserve">Almacena el nombre del estadio, su capacidad de aforo, la ciudad y el país donde se ubica, así como el equipo propietario.</w:t>
      </w:r>
    </w:p>
    <w:p>
      <w:pPr>
        <w:pStyle w:val="ListParagraph"/>
        <w:numPr>
          <w:ilvl w:val="0"/>
          <w:numId w:val="2"/>
        </w:numPr>
        <w:spacing w:after="60" w:before="60" w:line="280"/>
      </w:pPr>
      <w:r>
        <w:rPr>
          <w:rFonts w:ascii="Arial" w:cs="Arial" w:eastAsia="Arial" w:hAnsi="Arial"/>
          <w:b/>
          <w:bCs/>
          <w:color w:val="1A1A1A"/>
          <w:sz w:val="22"/>
          <w:szCs w:val="22"/>
        </w:rPr>
        <w:t xml:space="preserve">Jornada: </w:t>
      </w:r>
      <w:r>
        <w:rPr>
          <w:rFonts w:ascii="Arial" w:cs="Arial" w:eastAsia="Arial" w:hAnsi="Arial"/>
          <w:color w:val="1A1A1A"/>
          <w:sz w:val="22"/>
          <w:szCs w:val="22"/>
        </w:rPr>
        <w:t xml:space="preserve"/>
      </w:r>
    </w:p>
    <w:p>
      <w:pPr>
        <w:pStyle w:val="ListParagraph"/>
        <w:numPr>
          <w:ilvl w:val="1"/>
          <w:numId w:val="2"/>
        </w:numPr>
        <w:spacing w:after="40" w:before="40" w:line="260"/>
      </w:pPr>
      <w:r>
        <w:rPr>
          <w:rFonts w:ascii="Arial" w:cs="Arial" w:eastAsia="Arial" w:hAnsi="Arial"/>
          <w:color w:val="1A1A1A"/>
          <w:sz w:val="22"/>
          <w:szCs w:val="22"/>
        </w:rPr>
        <w:t xml:space="preserve">Permite clasificar el partido según la ronda de competición, incluyendo título, posición (pos) y fechas de inicio y fin.</w:t>
      </w:r>
    </w:p>
    <w:p>
      <w:pPr>
        <w:spacing w:after="0" w:before="160"/>
      </w:pPr>
      <w:r>
        <w:t xml:space="preserve"/>
      </w:r>
    </w:p>
    <w:p>
      <w:pPr>
        <w:pStyle w:val="Heading2"/>
        <w:spacing w:after="160" w:before="300"/>
      </w:pPr>
      <w:r>
        <w:rPr>
          <w:rFonts w:ascii="Arial" w:cs="Arial" w:eastAsia="Arial" w:hAnsi="Arial"/>
          <w:b/>
          <w:bCs/>
          <w:color w:val="2E75B6"/>
          <w:sz w:val="26"/>
          <w:szCs w:val="26"/>
        </w:rPr>
        <w:t xml:space="preserve">1.3. Diseño Lógico</w:t>
      </w:r>
    </w:p>
    <w:p>
      <w:pPr>
        <w:spacing w:after="80" w:before="80" w:line="300"/>
        <w:jc w:val="both"/>
      </w:pPr>
      <w:r>
        <w:rPr>
          <w:rFonts w:ascii="Arial" w:cs="Arial" w:eastAsia="Arial" w:hAnsi="Arial"/>
          <w:color w:val="1A1A1A"/>
          <w:sz w:val="22"/>
          <w:szCs w:val="22"/>
        </w:rPr>
        <w:t xml:space="preserve">Para el diseño lógico se siguió un </w:t>
      </w:r>
      <w:r>
        <w:rPr>
          <w:rFonts w:ascii="Arial" w:cs="Arial" w:eastAsia="Arial" w:hAnsi="Arial"/>
          <w:b/>
          <w:bCs/>
          <w:color w:val="1A1A1A"/>
          <w:sz w:val="22"/>
          <w:szCs w:val="22"/>
        </w:rPr>
        <w:t xml:space="preserve">Esquema en Estrella</w:t>
      </w:r>
      <w:r>
        <w:rPr>
          <w:rFonts w:ascii="Arial" w:cs="Arial" w:eastAsia="Arial" w:hAnsi="Arial"/>
          <w:color w:val="1A1A1A"/>
          <w:sz w:val="22"/>
          <w:szCs w:val="22"/>
        </w:rPr>
        <w:t xml:space="preserve">: la tabla de hechos ocupa el centro del modelo y las tablas de dimensiones se distribuyen a su alrededor, cada una conectada mediante una clave foránea autogenerada.</w:t>
      </w:r>
    </w:p>
    <w:p>
      <w:pPr>
        <w:spacing w:after="0" w:before="80"/>
      </w:pPr>
      <w:r>
        <w:t xml:space="preserve"/>
      </w:r>
    </w:p>
    <w:p>
      <w:pPr>
        <w:spacing w:after="100" w:before="200"/>
      </w:pPr>
      <w:r>
        <w:rPr>
          <w:rFonts w:ascii="Arial" w:cs="Arial" w:eastAsia="Arial" w:hAnsi="Arial"/>
          <w:b/>
          <w:bCs/>
          <w:color w:val="1A1A1A"/>
          <w:sz w:val="24"/>
          <w:szCs w:val="24"/>
        </w:rPr>
        <w:t xml:space="preserve">Tabla de Hechos: Partido</w:t>
      </w:r>
    </w:p>
    <w:p>
      <w:pPr>
        <w:spacing w:after="80" w:before="80" w:line="300"/>
        <w:jc w:val="both"/>
      </w:pPr>
      <w:r>
        <w:rPr>
          <w:rFonts w:ascii="Arial" w:cs="Arial" w:eastAsia="Arial" w:hAnsi="Arial"/>
          <w:color w:val="1A1A1A"/>
          <w:sz w:val="22"/>
          <w:szCs w:val="22"/>
        </w:rPr>
        <w:t xml:space="preserve">Es la tabla central que conecta todo el modelo. Sus campos son: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4526"/>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game_id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 IDENTITY</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Clave primaria autogenerada del partido</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date_key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 (FK)</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Referencia a Dim_Time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team1_id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 (FK)</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Equipo local — referencia a Dim_Teams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team2_id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 (FK)</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Equipo visitante — referencia a Dim_Teams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ground_id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 (FK)</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Estadio — referencia a Dim_Estadios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event_id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 (FK)</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Competición — referencia a Dim_Events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round_id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 (FK)</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Jornada — referencia a Dim_Jornada</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goles_local</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Goles marcados por el equipo local en tiempo reglamentario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goles_visitante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Goles marcados por el equipo visitante en tiempo reglamentario</w:t>
            </w:r>
          </w:p>
        </w:tc>
      </w:tr>
    </w:tbl>
    <w:p>
      <w:pPr>
        <w:spacing w:after="0" w:before="160"/>
      </w:pPr>
      <w:r>
        <w:t xml:space="preserve"/>
      </w:r>
    </w:p>
    <w:p>
      <w:pPr>
        <w:spacing w:after="100" w:before="200"/>
      </w:pPr>
      <w:r>
        <w:rPr>
          <w:rFonts w:ascii="Arial" w:cs="Arial" w:eastAsia="Arial" w:hAnsi="Arial"/>
          <w:b/>
          <w:bCs/>
          <w:color w:val="1A1A1A"/>
          <w:sz w:val="24"/>
          <w:szCs w:val="24"/>
        </w:rPr>
        <w:t xml:space="preserve">Tablas de Dimensiones</w:t>
      </w:r>
    </w:p>
    <w:p>
      <w:pPr>
        <w:spacing w:after="80" w:before="80" w:line="300"/>
        <w:jc w:val="both"/>
      </w:pPr>
      <w:r>
        <w:rPr>
          <w:rFonts w:ascii="Arial" w:cs="Arial" w:eastAsia="Arial" w:hAnsi="Arial"/>
          <w:b/>
          <w:bCs/>
          <w:color w:val="1A1A1A"/>
          <w:sz w:val="22"/>
          <w:szCs w:val="22"/>
        </w:rPr>
        <w:t xml:space="preserve">Nota: </w:t>
      </w:r>
      <w:r>
        <w:rPr>
          <w:rFonts w:ascii="Arial" w:cs="Arial" w:eastAsia="Arial" w:hAnsi="Arial"/>
          <w:color w:val="1A1A1A"/>
          <w:sz w:val="22"/>
          <w:szCs w:val="22"/>
        </w:rPr>
        <w:t xml:space="preserve">todos los identificadores de las tablas de dimensiones son claves autogeneradas mediante IDENTITY(1,1) y no utilizan los IDs de la base de datos operacional de origen.</w:t>
      </w:r>
    </w:p>
    <w:p>
      <w:pPr>
        <w:spacing w:after="0" w:before="80"/>
      </w:pPr>
      <w:r>
        <w:t xml:space="preserve"/>
      </w:r>
    </w:p>
    <w:p>
      <w:pPr>
        <w:spacing w:after="80" w:before="80" w:line="300"/>
        <w:jc w:val="both"/>
      </w:pPr>
      <w:r>
        <w:rPr>
          <w:rFonts w:ascii="Arial" w:cs="Arial" w:eastAsia="Arial" w:hAnsi="Arial"/>
          <w:b/>
          <w:bCs/>
          <w:color w:val="1A1A1A"/>
          <w:sz w:val="22"/>
          <w:szCs w:val="22"/>
        </w:rPr>
        <w:t xml:space="preserve">Dim_Events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4526"/>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 IDENTITY</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Clave primaria autogenerada</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league_title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NVARCHAR(100)</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Nombre de la liga (ej. Primera División)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season_title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NVARCHAR(100)</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Denominación de la temporada (ej. 2016/17)</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start_at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Fecha de inicio del evento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end_at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Fecha de fin del evento</w:t>
            </w:r>
          </w:p>
        </w:tc>
      </w:tr>
    </w:tbl>
    <w:p>
      <w:pPr>
        <w:spacing w:after="0" w:before="80"/>
      </w:pPr>
      <w:r>
        <w:t xml:space="preserve"/>
      </w:r>
    </w:p>
    <w:p>
      <w:pPr>
        <w:spacing w:after="80" w:before="80" w:line="300"/>
        <w:jc w:val="both"/>
      </w:pPr>
      <w:r>
        <w:rPr>
          <w:rFonts w:ascii="Arial" w:cs="Arial" w:eastAsia="Arial" w:hAnsi="Arial"/>
          <w:b/>
          <w:bCs/>
          <w:color w:val="1A1A1A"/>
          <w:sz w:val="22"/>
          <w:szCs w:val="22"/>
        </w:rPr>
        <w:t xml:space="preserve">Dim_Jornada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4526"/>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jornada_id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 IDENTITY</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Clave primaria autogenerada</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round_id_src</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ID de la jornada en la base de datos origen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titulo</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NVARCHAR(50)</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Descripción de la jornada (ej. Jornada 1)</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Número de orden de la jornada</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 (FK)</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Referencia a Dim_Events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start_at</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Fecha de inicio de la jornada</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end_at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Fecha de fin de la jornada</w:t>
            </w:r>
          </w:p>
        </w:tc>
      </w:tr>
    </w:tbl>
    <w:p>
      <w:pPr>
        <w:spacing w:after="0" w:before="80"/>
      </w:pPr>
      <w:r>
        <w:t xml:space="preserve"/>
      </w:r>
    </w:p>
    <w:p>
      <w:pPr>
        <w:spacing w:after="80" w:before="80" w:line="300"/>
        <w:jc w:val="both"/>
      </w:pPr>
      <w:r>
        <w:rPr>
          <w:rFonts w:ascii="Arial" w:cs="Arial" w:eastAsia="Arial" w:hAnsi="Arial"/>
          <w:b/>
          <w:bCs/>
          <w:color w:val="1A1A1A"/>
          <w:sz w:val="22"/>
          <w:szCs w:val="22"/>
        </w:rPr>
        <w:t xml:space="preserve">Dim_Time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4526"/>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date_key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 IDENTITY</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Clave primaria autogenerada</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day</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Día del mes (1-31)</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Mes del año (1-12)</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year</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Año (ej. 2016)</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quarter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Trimestre (1-4)</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day_of_week</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Día de la semana (1=Domingo ... 7=Sábado)</w:t>
            </w:r>
          </w:p>
        </w:tc>
      </w:tr>
    </w:tbl>
    <w:p>
      <w:pPr>
        <w:spacing w:after="0" w:before="80"/>
      </w:pPr>
      <w:r>
        <w:t xml:space="preserve"/>
      </w:r>
    </w:p>
    <w:p>
      <w:pPr>
        <w:spacing w:after="80" w:before="80" w:line="300"/>
        <w:jc w:val="both"/>
      </w:pPr>
      <w:r>
        <w:rPr>
          <w:rFonts w:ascii="Arial" w:cs="Arial" w:eastAsia="Arial" w:hAnsi="Arial"/>
          <w:b/>
          <w:bCs/>
          <w:color w:val="1A1A1A"/>
          <w:sz w:val="22"/>
          <w:szCs w:val="22"/>
        </w:rPr>
        <w:t xml:space="preserve">Dim_Estadios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4526"/>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ground_id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 IDENTITY</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Clave primaria autogenerada</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stadium_name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NVARCHAR(150)</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Nombre oficial del estadio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capacity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Aforo máximo del estadio</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city_name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NVARCHAR(100)</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Ciudad donde se ubica</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country_name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NVARCHAR(100)</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País donde se ubica</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team_id</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 (FK)</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Equipo propietario — referencia a Dim_Teams</w:t>
            </w:r>
          </w:p>
        </w:tc>
      </w:tr>
    </w:tbl>
    <w:p>
      <w:pPr>
        <w:spacing w:after="0" w:before="80"/>
      </w:pPr>
      <w:r>
        <w:t xml:space="preserve"/>
      </w:r>
    </w:p>
    <w:p>
      <w:pPr>
        <w:spacing w:after="80" w:before="80" w:line="300"/>
        <w:jc w:val="both"/>
      </w:pPr>
      <w:r>
        <w:rPr>
          <w:rFonts w:ascii="Arial" w:cs="Arial" w:eastAsia="Arial" w:hAnsi="Arial"/>
          <w:b/>
          <w:bCs/>
          <w:color w:val="1A1A1A"/>
          <w:sz w:val="22"/>
          <w:szCs w:val="22"/>
        </w:rPr>
        <w:t xml:space="preserve">Dim_Teams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w:t>
            </w:r>
          </w:p>
        </w:tc>
        <w:tc>
          <w:tcPr>
            <w:tcW w:type="dxa" w:w="2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Tipo</w:t>
            </w:r>
          </w:p>
        </w:tc>
        <w:tc>
          <w:tcPr>
            <w:tcW w:type="dxa" w:w="4526"/>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 IDENTITY</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Clave primaria autogenerada</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team_name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NVARCHAR(100)</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Nombre del equipo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city_name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NVARCHAR(100)</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Ciudad del equipo</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country_name</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NVARCHAR(100)</w:t>
            </w:r>
          </w:p>
        </w:tc>
        <w:tc>
          <w:tcPr>
            <w:tcW w:type="dxa" w:w="4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País del equipo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continent_name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NVARCHAR(100)</w:t>
            </w:r>
          </w:p>
        </w:tc>
        <w:tc>
          <w:tcPr>
            <w:tcW w:type="dxa" w:w="4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Continente del equipo</w:t>
            </w:r>
          </w:p>
        </w:tc>
      </w:tr>
    </w:tbl>
    <w:p>
      <w:pPr>
        <w:spacing w:after="0" w:before="80"/>
      </w:pPr>
      <w:r>
        <w:t xml:space="preserve"/>
      </w:r>
    </w:p>
    <w:p>
      <w:pPr>
        <w:spacing w:after="80" w:before="80" w:line="300"/>
        <w:jc w:val="both"/>
      </w:pPr>
      <w:r>
        <w:rPr>
          <w:rFonts w:ascii="Arial" w:cs="Arial" w:eastAsia="Arial" w:hAnsi="Arial"/>
          <w:color w:val="1A1A1A"/>
          <w:sz w:val="22"/>
          <w:szCs w:val="22"/>
        </w:rPr>
        <w:t xml:space="preserve">Como en un partido intervienen dos equipos, </w:t>
      </w:r>
      <w:r>
        <w:rPr>
          <w:rFonts w:ascii="Arial" w:cs="Arial" w:eastAsia="Arial" w:hAnsi="Arial"/>
          <w:b/>
          <w:bCs/>
          <w:color w:val="1A1A1A"/>
          <w:sz w:val="22"/>
          <w:szCs w:val="22"/>
        </w:rPr>
        <w:t xml:space="preserve">Dim_Teams</w:t>
      </w:r>
      <w:r>
        <w:rPr>
          <w:rFonts w:ascii="Arial" w:cs="Arial" w:eastAsia="Arial" w:hAnsi="Arial"/>
          <w:color w:val="1A1A1A"/>
          <w:sz w:val="22"/>
          <w:szCs w:val="22"/>
        </w:rPr>
        <w:t xml:space="preserve"> se conecta dos veces a la tabla de hechos: una vez como equipo local (</w:t>
      </w:r>
      <w:r>
        <w:rPr>
          <w:rFonts w:ascii="Arial" w:cs="Arial" w:eastAsia="Arial" w:hAnsi="Arial"/>
          <w:i/>
          <w:iCs/>
          <w:color w:val="1A1A1A"/>
          <w:sz w:val="22"/>
          <w:szCs w:val="22"/>
        </w:rPr>
        <w:t xml:space="preserve">team1_id</w:t>
      </w:r>
      <w:r>
        <w:rPr>
          <w:rFonts w:ascii="Arial" w:cs="Arial" w:eastAsia="Arial" w:hAnsi="Arial"/>
          <w:color w:val="1A1A1A"/>
          <w:sz w:val="22"/>
          <w:szCs w:val="22"/>
        </w:rPr>
        <w:t xml:space="preserve">) y otra como equipo visitante (</w:t>
      </w:r>
      <w:r>
        <w:rPr>
          <w:rFonts w:ascii="Arial" w:cs="Arial" w:eastAsia="Arial" w:hAnsi="Arial"/>
          <w:i/>
          <w:iCs/>
          <w:color w:val="1A1A1A"/>
          <w:sz w:val="22"/>
          <w:szCs w:val="22"/>
        </w:rPr>
        <w:t xml:space="preserve">team2_id</w:t>
      </w:r>
      <w:r>
        <w:rPr>
          <w:rFonts w:ascii="Arial" w:cs="Arial" w:eastAsia="Arial" w:hAnsi="Arial"/>
          <w:color w:val="1A1A1A"/>
          <w:sz w:val="22"/>
          <w:szCs w:val="22"/>
        </w:rPr>
        <w:t xml:space="preserve">).</w:t>
      </w:r>
    </w:p>
    <w:p>
      <w:r>
        <w:br w:type="page"/>
      </w:r>
    </w:p>
    <w:p>
      <w:pPr>
        <w:pStyle w:val="Heading1"/>
        <w:spacing w:after="200" w:before="400"/>
      </w:pPr>
      <w:r>
        <w:rPr>
          <w:rFonts w:ascii="Arial" w:cs="Arial" w:eastAsia="Arial" w:hAnsi="Arial"/>
          <w:b/>
          <w:bCs/>
          <w:color w:val="1F3864"/>
          <w:sz w:val="32"/>
          <w:szCs w:val="32"/>
        </w:rPr>
        <w:t xml:space="preserve">TAREA 2. Integración de Datos (ETL)</w:t>
      </w:r>
    </w:p>
    <w:p>
      <w:pPr>
        <w:pBdr>
          <w:bottom w:val="single" w:color="2E75B6" w:sz="6" w:space="1"/>
        </w:pBdr>
        <w:spacing w:after="160" w:before="160"/>
      </w:pPr>
      <w:r>
        <w:t xml:space="preserve"/>
      </w:r>
    </w:p>
    <w:p>
      <w:pPr>
        <w:spacing w:after="80" w:before="80" w:line="300"/>
        <w:jc w:val="both"/>
      </w:pPr>
      <w:r>
        <w:rPr>
          <w:rFonts w:ascii="Arial" w:cs="Arial" w:eastAsia="Arial" w:hAnsi="Arial"/>
          <w:color w:val="1A1A1A"/>
          <w:sz w:val="22"/>
          <w:szCs w:val="22"/>
        </w:rPr>
        <w:t xml:space="preserve">En este apartado se describe el proceso de </w:t>
      </w:r>
      <w:r>
        <w:rPr>
          <w:rFonts w:ascii="Arial" w:cs="Arial" w:eastAsia="Arial" w:hAnsi="Arial"/>
          <w:b/>
          <w:bCs/>
          <w:color w:val="1A1A1A"/>
          <w:sz w:val="22"/>
          <w:szCs w:val="22"/>
        </w:rPr>
        <w:t xml:space="preserve">Extracción, Transformación y Carga</w:t>
      </w:r>
      <w:r>
        <w:rPr>
          <w:rFonts w:ascii="Arial" w:cs="Arial" w:eastAsia="Arial" w:hAnsi="Arial"/>
          <w:color w:val="1A1A1A"/>
          <w:sz w:val="22"/>
          <w:szCs w:val="22"/>
        </w:rPr>
        <w:t xml:space="preserve"> (ETL) desarrollado en </w:t>
      </w:r>
      <w:r>
        <w:rPr>
          <w:rFonts w:ascii="Arial" w:cs="Arial" w:eastAsia="Arial" w:hAnsi="Arial"/>
          <w:b/>
          <w:bCs/>
          <w:color w:val="1A1A1A"/>
          <w:sz w:val="22"/>
          <w:szCs w:val="22"/>
        </w:rPr>
        <w:t xml:space="preserve">SQL Server Integration Services</w:t>
      </w:r>
      <w:r>
        <w:rPr>
          <w:rFonts w:ascii="Arial" w:cs="Arial" w:eastAsia="Arial" w:hAnsi="Arial"/>
          <w:color w:val="1A1A1A"/>
          <w:sz w:val="22"/>
          <w:szCs w:val="22"/>
        </w:rPr>
        <w:t xml:space="preserve"> (SSIS) dentro de Visual Studio 2022 para alimentar el almacén de datos.</w:t>
      </w:r>
    </w:p>
    <w:p>
      <w:pPr>
        <w:spacing w:after="0" w:before="160"/>
      </w:pPr>
      <w:r>
        <w:t xml:space="preserve"/>
      </w:r>
    </w:p>
    <w:p>
      <w:pPr>
        <w:pStyle w:val="Heading2"/>
        <w:spacing w:after="160" w:before="300"/>
      </w:pPr>
      <w:r>
        <w:rPr>
          <w:rFonts w:ascii="Arial" w:cs="Arial" w:eastAsia="Arial" w:hAnsi="Arial"/>
          <w:b/>
          <w:bCs/>
          <w:color w:val="2E75B6"/>
          <w:sz w:val="26"/>
          <w:szCs w:val="26"/>
        </w:rPr>
        <w:t xml:space="preserve">2.1. Fuentes de Datos Adicionales</w:t>
      </w:r>
    </w:p>
    <w:p>
      <w:pPr>
        <w:spacing w:after="80" w:before="80" w:line="300"/>
        <w:jc w:val="both"/>
      </w:pPr>
      <w:r>
        <w:rPr>
          <w:rFonts w:ascii="Arial" w:cs="Arial" w:eastAsia="Arial" w:hAnsi="Arial"/>
          <w:color w:val="1A1A1A"/>
          <w:sz w:val="22"/>
          <w:szCs w:val="22"/>
        </w:rPr>
        <w:t xml:space="preserve">Para complementar la información relacional inicial y cubrir atributos ausentes en la base de datos de origen (ciudades sin asignar, estadios sin datos, calendario temporal), se generaron mediante herramientas de inteligencia artificial tres ficheros CSV adicionales que actúan como fuentes externas en el proceso ETL:</w:t>
      </w:r>
    </w:p>
    <w:p>
      <w:pPr>
        <w:spacing w:after="0" w:before="80"/>
      </w:pPr>
      <w:r>
        <w:t xml:space="preserve"/>
      </w:r>
    </w:p>
    <w:p>
      <w:pPr>
        <w:pStyle w:val="ListParagraph"/>
        <w:numPr>
          <w:ilvl w:val="0"/>
          <w:numId w:val="2"/>
        </w:numPr>
        <w:spacing w:after="60" w:before="60" w:line="280"/>
      </w:pPr>
      <w:r>
        <w:rPr>
          <w:rFonts w:ascii="Arial" w:cs="Arial" w:eastAsia="Arial" w:hAnsi="Arial"/>
          <w:color w:val="1A1A1A"/>
          <w:sz w:val="22"/>
          <w:szCs w:val="22"/>
        </w:rPr>
        <w:t xml:space="preserve">datos_dim_teams.csv: </w:t>
      </w:r>
    </w:p>
    <w:p>
      <w:pPr>
        <w:pStyle w:val="ListParagraph"/>
        <w:numPr>
          <w:ilvl w:val="1"/>
          <w:numId w:val="2"/>
        </w:numPr>
        <w:spacing w:after="40" w:before="40" w:line="260"/>
      </w:pPr>
      <w:r>
        <w:rPr>
          <w:rFonts w:ascii="Arial" w:cs="Arial" w:eastAsia="Arial" w:hAnsi="Arial"/>
          <w:color w:val="1A1A1A"/>
          <w:sz w:val="22"/>
          <w:szCs w:val="22"/>
        </w:rPr>
        <w:t xml:space="preserve">Incorpora el continente de procedencia de cada club y las ciudades que faltaban en la base de datos operacional, permitiendo agrupaciones geográficas completas.</w:t>
      </w:r>
    </w:p>
    <w:p>
      <w:pPr>
        <w:pStyle w:val="ListParagraph"/>
        <w:numPr>
          <w:ilvl w:val="0"/>
          <w:numId w:val="2"/>
        </w:numPr>
        <w:spacing w:after="60" w:before="60" w:line="280"/>
      </w:pPr>
      <w:r>
        <w:rPr>
          <w:rFonts w:ascii="Arial" w:cs="Arial" w:eastAsia="Arial" w:hAnsi="Arial"/>
          <w:color w:val="1A1A1A"/>
          <w:sz w:val="22"/>
          <w:szCs w:val="22"/>
        </w:rPr>
        <w:t xml:space="preserve">datos_dim_estadios.csv: </w:t>
      </w:r>
    </w:p>
    <w:p>
      <w:pPr>
        <w:pStyle w:val="ListParagraph"/>
        <w:numPr>
          <w:ilvl w:val="1"/>
          <w:numId w:val="2"/>
        </w:numPr>
        <w:spacing w:after="40" w:before="40" w:line="260"/>
      </w:pPr>
      <w:r>
        <w:rPr>
          <w:rFonts w:ascii="Arial" w:cs="Arial" w:eastAsia="Arial" w:hAnsi="Arial"/>
          <w:color w:val="1A1A1A"/>
          <w:sz w:val="22"/>
          <w:szCs w:val="22"/>
        </w:rPr>
        <w:t xml:space="preserve">Introduce el nombre, capacidad de aforo y ciudad de los 42 estadios de los equipos participantes en las temporadas analizadas, dato ausente en la tabla grounds de la base de datos origen.</w:t>
      </w:r>
    </w:p>
    <w:p>
      <w:pPr>
        <w:pStyle w:val="ListParagraph"/>
        <w:numPr>
          <w:ilvl w:val="0"/>
          <w:numId w:val="2"/>
        </w:numPr>
        <w:spacing w:after="60" w:before="60" w:line="280"/>
      </w:pPr>
      <w:r>
        <w:rPr>
          <w:rFonts w:ascii="Arial" w:cs="Arial" w:eastAsia="Arial" w:hAnsi="Arial"/>
          <w:color w:val="1A1A1A"/>
          <w:sz w:val="22"/>
          <w:szCs w:val="22"/>
        </w:rPr>
        <w:t xml:space="preserve">datos_dim_time.csv: </w:t>
      </w:r>
    </w:p>
    <w:p>
      <w:pPr>
        <w:pStyle w:val="ListParagraph"/>
        <w:numPr>
          <w:ilvl w:val="1"/>
          <w:numId w:val="2"/>
        </w:numPr>
        <w:spacing w:after="40" w:before="40" w:line="260"/>
      </w:pPr>
      <w:r>
        <w:rPr>
          <w:rFonts w:ascii="Arial" w:cs="Arial" w:eastAsia="Arial" w:hAnsi="Arial"/>
          <w:color w:val="1A1A1A"/>
          <w:sz w:val="22"/>
          <w:szCs w:val="22"/>
        </w:rPr>
        <w:t xml:space="preserve">Proporciona un calendario precalculado con todos los fines de semana de jornada de las seis temporadas (2012/13 a 2017/18), desglosado en año, trimestre, mes, día y día de la semana.</w:t>
      </w:r>
    </w:p>
    <w:p>
      <w:pPr>
        <w:spacing w:after="0" w:before="160"/>
      </w:pPr>
      <w:r>
        <w:t xml:space="preserve"/>
      </w:r>
    </w:p>
    <w:p>
      <w:pPr>
        <w:pStyle w:val="Heading2"/>
        <w:spacing w:after="160" w:before="300"/>
      </w:pPr>
      <w:r>
        <w:rPr>
          <w:rFonts w:ascii="Arial" w:cs="Arial" w:eastAsia="Arial" w:hAnsi="Arial"/>
          <w:b/>
          <w:bCs/>
          <w:color w:val="2E75B6"/>
          <w:sz w:val="26"/>
          <w:szCs w:val="26"/>
        </w:rPr>
        <w:t xml:space="preserve">2.2. Autogeneración de IDs y Estrategia de Carga</w:t>
      </w:r>
    </w:p>
    <w:p>
      <w:pPr>
        <w:spacing w:after="80" w:before="80" w:line="300"/>
        <w:jc w:val="both"/>
      </w:pPr>
      <w:r>
        <w:rPr>
          <w:rFonts w:ascii="Arial" w:cs="Arial" w:eastAsia="Arial" w:hAnsi="Arial"/>
          <w:color w:val="1A1A1A"/>
          <w:sz w:val="22"/>
          <w:szCs w:val="22"/>
        </w:rPr>
        <w:t xml:space="preserve">Para asegurar la </w:t>
      </w:r>
      <w:r>
        <w:rPr>
          <w:rFonts w:ascii="Arial" w:cs="Arial" w:eastAsia="Arial" w:hAnsi="Arial"/>
          <w:b/>
          <w:bCs/>
          <w:color w:val="1A1A1A"/>
          <w:sz w:val="22"/>
          <w:szCs w:val="22"/>
        </w:rPr>
        <w:t xml:space="preserve">independencia del almacén</w:t>
      </w:r>
      <w:r>
        <w:rPr>
          <w:rFonts w:ascii="Arial" w:cs="Arial" w:eastAsia="Arial" w:hAnsi="Arial"/>
          <w:color w:val="1A1A1A"/>
          <w:sz w:val="22"/>
          <w:szCs w:val="22"/>
        </w:rPr>
        <w:t xml:space="preserve"> respecto al sistema operacional de origen, los IDs de todas las tablas de dimensiones son autogenerados. Esta decisión se implementó definiendo las claves primarias con la propiedad </w:t>
      </w:r>
      <w:r>
        <w:rPr>
          <w:rFonts w:ascii="Arial" w:cs="Arial" w:eastAsia="Arial" w:hAnsi="Arial"/>
          <w:b/>
          <w:bCs/>
          <w:color w:val="1A1A1A"/>
          <w:sz w:val="22"/>
          <w:szCs w:val="22"/>
        </w:rPr>
        <w:t xml:space="preserve">IDENTITY(1,1)</w:t>
      </w:r>
      <w:r>
        <w:rPr>
          <w:rFonts w:ascii="Arial" w:cs="Arial" w:eastAsia="Arial" w:hAnsi="Arial"/>
          <w:color w:val="1A1A1A"/>
          <w:sz w:val="22"/>
          <w:szCs w:val="22"/>
        </w:rPr>
        <w:t xml:space="preserve"> en las tablas de destino. De esta forma, al realizar la importación mediante Integration Services, el propio motor de SQL Server asigna automáticamente un identificador secuencial único a cada registro.</w:t>
      </w:r>
    </w:p>
    <w:p>
      <w:pPr>
        <w:spacing w:after="0" w:before="80"/>
      </w:pPr>
      <w:r>
        <w:t xml:space="preserve"/>
      </w:r>
    </w:p>
    <w:p>
      <w:pPr>
        <w:spacing w:after="80" w:before="80" w:line="300"/>
        <w:jc w:val="both"/>
      </w:pPr>
      <w:r>
        <w:rPr>
          <w:rFonts w:ascii="Arial" w:cs="Arial" w:eastAsia="Arial" w:hAnsi="Arial"/>
          <w:color w:val="1A1A1A"/>
          <w:sz w:val="22"/>
          <w:szCs w:val="22"/>
        </w:rPr>
        <w:t xml:space="preserve">Para garantizar la integridad referencial, el orden de ejecución del proceso ETL sigue una secuencia estricta:</w:t>
      </w:r>
    </w:p>
    <w:p>
      <w:pPr>
        <w:spacing w:after="0" w:before="80"/>
      </w:pPr>
      <w:r>
        <w:t xml:space="preserve"/>
      </w:r>
    </w:p>
    <w:p>
      <w:pPr>
        <w:pStyle w:val="ListParagraph"/>
        <w:numPr>
          <w:ilvl w:val="0"/>
          <w:numId w:val="2"/>
        </w:numPr>
        <w:spacing w:after="60" w:before="60" w:line="280"/>
      </w:pPr>
      <w:r>
        <w:rPr>
          <w:rFonts w:ascii="Arial" w:cs="Arial" w:eastAsia="Arial" w:hAnsi="Arial"/>
          <w:color w:val="1A1A1A"/>
          <w:sz w:val="22"/>
          <w:szCs w:val="22"/>
        </w:rPr>
        <w:t xml:space="preserve">Fase 1 — Carga de Dimensiones: </w:t>
      </w:r>
    </w:p>
    <w:p>
      <w:pPr>
        <w:pStyle w:val="ListParagraph"/>
        <w:numPr>
          <w:ilvl w:val="1"/>
          <w:numId w:val="2"/>
        </w:numPr>
        <w:spacing w:after="40" w:before="40" w:line="260"/>
      </w:pPr>
      <w:r>
        <w:rPr>
          <w:rFonts w:ascii="Arial" w:cs="Arial" w:eastAsia="Arial" w:hAnsi="Arial"/>
          <w:color w:val="1A1A1A"/>
          <w:sz w:val="22"/>
          <w:szCs w:val="22"/>
        </w:rPr>
        <w:t xml:space="preserve">Se cargan secuencialmente Dim_Events, Dim_Teams, Dim_Estadios, Dim_Time y Dim_Jornada, en ese orden, usando los CSV enriquecidos y las tablas de origen.</w:t>
      </w:r>
    </w:p>
    <w:p>
      <w:pPr>
        <w:pStyle w:val="ListParagraph"/>
        <w:numPr>
          <w:ilvl w:val="0"/>
          <w:numId w:val="2"/>
        </w:numPr>
        <w:spacing w:after="60" w:before="60" w:line="280"/>
      </w:pPr>
      <w:r>
        <w:rPr>
          <w:rFonts w:ascii="Arial" w:cs="Arial" w:eastAsia="Arial" w:hAnsi="Arial"/>
          <w:color w:val="1A1A1A"/>
          <w:sz w:val="22"/>
          <w:szCs w:val="22"/>
        </w:rPr>
        <w:t xml:space="preserve">Fase 2 — Carga de la Tabla de Hechos: </w:t>
      </w:r>
    </w:p>
    <w:p>
      <w:pPr>
        <w:pStyle w:val="ListParagraph"/>
        <w:numPr>
          <w:ilvl w:val="1"/>
          <w:numId w:val="2"/>
        </w:numPr>
        <w:spacing w:after="40" w:before="40" w:line="260"/>
      </w:pPr>
      <w:r>
        <w:rPr>
          <w:rFonts w:ascii="Arial" w:cs="Arial" w:eastAsia="Arial" w:hAnsi="Arial"/>
          <w:color w:val="1A1A1A"/>
          <w:sz w:val="22"/>
          <w:szCs w:val="22"/>
        </w:rPr>
        <w:t xml:space="preserve">Una vez que todas las dimensiones tienen sus claves autogeneradas listas, se ejecuta la carga de Partido realizando los Lookups necesarios para resolver cada clave foránea.</w:t>
      </w:r>
    </w:p>
    <w:p>
      <w:pPr>
        <w:spacing w:after="0" w:before="160"/>
      </w:pPr>
      <w:r>
        <w:t xml:space="preserve"/>
      </w:r>
    </w:p>
    <w:p>
      <w:pPr>
        <w:pStyle w:val="Heading2"/>
        <w:spacing w:after="160" w:before="300"/>
      </w:pPr>
      <w:r>
        <w:rPr>
          <w:rFonts w:ascii="Arial" w:cs="Arial" w:eastAsia="Arial" w:hAnsi="Arial"/>
          <w:b/>
          <w:bCs/>
          <w:color w:val="2E75B6"/>
          <w:sz w:val="26"/>
          <w:szCs w:val="26"/>
        </w:rPr>
        <w:t xml:space="preserve">2.3. Diseño del ETL en Integration Services (SSIS)</w:t>
      </w:r>
    </w:p>
    <w:p>
      <w:pPr>
        <w:spacing w:after="80" w:before="80" w:line="300"/>
        <w:jc w:val="both"/>
      </w:pPr>
      <w:r>
        <w:rPr>
          <w:rFonts w:ascii="Arial" w:cs="Arial" w:eastAsia="Arial" w:hAnsi="Arial"/>
          <w:color w:val="1A1A1A"/>
          <w:sz w:val="22"/>
          <w:szCs w:val="22"/>
        </w:rPr>
        <w:t xml:space="preserve">El proyecto SSIS se estructuró en </w:t>
      </w:r>
      <w:r>
        <w:rPr>
          <w:rFonts w:ascii="Arial" w:cs="Arial" w:eastAsia="Arial" w:hAnsi="Arial"/>
          <w:b/>
          <w:bCs/>
          <w:color w:val="1A1A1A"/>
          <w:sz w:val="22"/>
          <w:szCs w:val="22"/>
        </w:rPr>
        <w:t xml:space="preserve">seis paquetes independientes</w:t>
      </w:r>
      <w:r>
        <w:rPr>
          <w:rFonts w:ascii="Arial" w:cs="Arial" w:eastAsia="Arial" w:hAnsi="Arial"/>
          <w:color w:val="1A1A1A"/>
          <w:sz w:val="22"/>
          <w:szCs w:val="22"/>
        </w:rPr>
        <w:t xml:space="preserve">, uno por cada tabla del almacén, coordinados mediante restricciones de precedencia en el Control Flow:</w:t>
      </w:r>
    </w:p>
    <w:p>
      <w:pPr>
        <w:spacing w:after="0" w:before="80"/>
      </w:pPr>
      <w:r>
        <w:t xml:space="preserve"/>
      </w:r>
    </w:p>
    <w:p>
      <w:pPr>
        <w:pStyle w:val="ListParagraph"/>
        <w:numPr>
          <w:ilvl w:val="0"/>
          <w:numId w:val="2"/>
        </w:numPr>
        <w:spacing w:after="60" w:before="60" w:line="280"/>
      </w:pPr>
      <w:r>
        <w:rPr>
          <w:rFonts w:ascii="Arial" w:cs="Arial" w:eastAsia="Arial" w:hAnsi="Arial"/>
          <w:color w:val="1A1A1A"/>
          <w:sz w:val="22"/>
          <w:szCs w:val="22"/>
        </w:rPr>
        <w:t xml:space="preserve">Dim_Events.dtsx: </w:t>
      </w:r>
    </w:p>
    <w:p>
      <w:pPr>
        <w:pStyle w:val="ListParagraph"/>
        <w:numPr>
          <w:ilvl w:val="1"/>
          <w:numId w:val="2"/>
        </w:numPr>
        <w:spacing w:after="40" w:before="40" w:line="260"/>
      </w:pPr>
      <w:r>
        <w:rPr>
          <w:rFonts w:ascii="Arial" w:cs="Arial" w:eastAsia="Arial" w:hAnsi="Arial"/>
          <w:color w:val="1A1A1A"/>
          <w:sz w:val="22"/>
          <w:szCs w:val="22"/>
        </w:rPr>
        <w:t xml:space="preserve">OLE DB Source sobre la tabla events de la BD origen, con Merge Join contra leagues y seasons para obtener los títulos de liga y temporada.</w:t>
      </w:r>
    </w:p>
    <w:p>
      <w:pPr>
        <w:pStyle w:val="ListParagraph"/>
        <w:numPr>
          <w:ilvl w:val="0"/>
          <w:numId w:val="2"/>
        </w:numPr>
        <w:spacing w:after="60" w:before="60" w:line="280"/>
      </w:pPr>
      <w:r>
        <w:rPr>
          <w:rFonts w:ascii="Arial" w:cs="Arial" w:eastAsia="Arial" w:hAnsi="Arial"/>
          <w:color w:val="1A1A1A"/>
          <w:sz w:val="22"/>
          <w:szCs w:val="22"/>
        </w:rPr>
        <w:t xml:space="preserve">Dim_Teams.dtsx: </w:t>
      </w:r>
    </w:p>
    <w:p>
      <w:pPr>
        <w:pStyle w:val="ListParagraph"/>
        <w:numPr>
          <w:ilvl w:val="1"/>
          <w:numId w:val="2"/>
        </w:numPr>
        <w:spacing w:after="40" w:before="40" w:line="260"/>
      </w:pPr>
      <w:r>
        <w:rPr>
          <w:rFonts w:ascii="Arial" w:cs="Arial" w:eastAsia="Arial" w:hAnsi="Arial"/>
          <w:color w:val="1A1A1A"/>
          <w:sz w:val="22"/>
          <w:szCs w:val="22"/>
        </w:rPr>
        <w:t xml:space="preserve">Flat File Source desde datos_dim_teams.csv. Carga directa sin Lookups, ya que el CSV contiene todos los atributos necesarios.</w:t>
      </w:r>
    </w:p>
    <w:p>
      <w:pPr>
        <w:pStyle w:val="ListParagraph"/>
        <w:numPr>
          <w:ilvl w:val="0"/>
          <w:numId w:val="2"/>
        </w:numPr>
        <w:spacing w:after="60" w:before="60" w:line="280"/>
      </w:pPr>
      <w:r>
        <w:rPr>
          <w:rFonts w:ascii="Arial" w:cs="Arial" w:eastAsia="Arial" w:hAnsi="Arial"/>
          <w:color w:val="1A1A1A"/>
          <w:sz w:val="22"/>
          <w:szCs w:val="22"/>
        </w:rPr>
        <w:t xml:space="preserve">Dim_Estadios.dtsx: </w:t>
      </w:r>
    </w:p>
    <w:p>
      <w:pPr>
        <w:pStyle w:val="ListParagraph"/>
        <w:numPr>
          <w:ilvl w:val="1"/>
          <w:numId w:val="2"/>
        </w:numPr>
        <w:spacing w:after="40" w:before="40" w:line="260"/>
      </w:pPr>
      <w:r>
        <w:rPr>
          <w:rFonts w:ascii="Arial" w:cs="Arial" w:eastAsia="Arial" w:hAnsi="Arial"/>
          <w:color w:val="1A1A1A"/>
          <w:sz w:val="22"/>
          <w:szCs w:val="22"/>
        </w:rPr>
        <w:t xml:space="preserve">Flat File Source desde datos_dim_estadios.csv, con un Lookup contra Dim_Teams para resolver el team_id de cada estadio.</w:t>
      </w:r>
    </w:p>
    <w:p>
      <w:pPr>
        <w:pStyle w:val="ListParagraph"/>
        <w:numPr>
          <w:ilvl w:val="0"/>
          <w:numId w:val="2"/>
        </w:numPr>
        <w:spacing w:after="60" w:before="60" w:line="280"/>
      </w:pPr>
      <w:r>
        <w:rPr>
          <w:rFonts w:ascii="Arial" w:cs="Arial" w:eastAsia="Arial" w:hAnsi="Arial"/>
          <w:color w:val="1A1A1A"/>
          <w:sz w:val="22"/>
          <w:szCs w:val="22"/>
        </w:rPr>
        <w:t xml:space="preserve">Dim_Time.dtsx: </w:t>
      </w:r>
    </w:p>
    <w:p>
      <w:pPr>
        <w:pStyle w:val="ListParagraph"/>
        <w:numPr>
          <w:ilvl w:val="1"/>
          <w:numId w:val="2"/>
        </w:numPr>
        <w:spacing w:after="40" w:before="40" w:line="260"/>
      </w:pPr>
      <w:r>
        <w:rPr>
          <w:rFonts w:ascii="Arial" w:cs="Arial" w:eastAsia="Arial" w:hAnsi="Arial"/>
          <w:color w:val="1A1A1A"/>
          <w:sz w:val="22"/>
          <w:szCs w:val="22"/>
        </w:rPr>
        <w:t xml:space="preserve">Flat File Source desde datos_dim_time.csv. Carga directa con conversión de tipos a entero.</w:t>
      </w:r>
    </w:p>
    <w:p>
      <w:pPr>
        <w:pStyle w:val="ListParagraph"/>
        <w:numPr>
          <w:ilvl w:val="0"/>
          <w:numId w:val="2"/>
        </w:numPr>
        <w:spacing w:after="60" w:before="60" w:line="280"/>
      </w:pPr>
      <w:r>
        <w:rPr>
          <w:rFonts w:ascii="Arial" w:cs="Arial" w:eastAsia="Arial" w:hAnsi="Arial"/>
          <w:color w:val="1A1A1A"/>
          <w:sz w:val="22"/>
          <w:szCs w:val="22"/>
        </w:rPr>
        <w:t xml:space="preserve">Dim_Jornada.dtsx: </w:t>
      </w:r>
    </w:p>
    <w:p>
      <w:pPr>
        <w:pStyle w:val="ListParagraph"/>
        <w:numPr>
          <w:ilvl w:val="1"/>
          <w:numId w:val="2"/>
        </w:numPr>
        <w:spacing w:after="40" w:before="40" w:line="260"/>
      </w:pPr>
      <w:r>
        <w:rPr>
          <w:rFonts w:ascii="Arial" w:cs="Arial" w:eastAsia="Arial" w:hAnsi="Arial"/>
          <w:color w:val="1A1A1A"/>
          <w:sz w:val="22"/>
          <w:szCs w:val="22"/>
        </w:rPr>
        <w:t xml:space="preserve">OLE DB Source sobre rounds, con cadena de cuatro Lookups: rounds → events → leagues → seasons → Dim_Events (DW) para resolver el event_id del almacén.</w:t>
      </w:r>
    </w:p>
    <w:p>
      <w:pPr>
        <w:pStyle w:val="ListParagraph"/>
        <w:numPr>
          <w:ilvl w:val="0"/>
          <w:numId w:val="2"/>
        </w:numPr>
        <w:spacing w:after="60" w:before="60" w:line="280"/>
      </w:pPr>
      <w:r>
        <w:rPr>
          <w:rFonts w:ascii="Arial" w:cs="Arial" w:eastAsia="Arial" w:hAnsi="Arial"/>
          <w:color w:val="1A1A1A"/>
          <w:sz w:val="22"/>
          <w:szCs w:val="22"/>
        </w:rPr>
        <w:t xml:space="preserve">Partido.dtsx: </w:t>
      </w:r>
    </w:p>
    <w:p>
      <w:pPr>
        <w:pStyle w:val="ListParagraph"/>
        <w:numPr>
          <w:ilvl w:val="1"/>
          <w:numId w:val="2"/>
        </w:numPr>
        <w:spacing w:after="40" w:before="40" w:line="260"/>
      </w:pPr>
      <w:r>
        <w:rPr>
          <w:rFonts w:ascii="Arial" w:cs="Arial" w:eastAsia="Arial" w:hAnsi="Arial"/>
          <w:color w:val="1A1A1A"/>
          <w:sz w:val="22"/>
          <w:szCs w:val="22"/>
        </w:rPr>
        <w:t xml:space="preserve">Paquete principal con cadena de ocho Lookups para resolver todas las claves foráneas. Ver tabla detallada a continuación.</w:t>
      </w:r>
    </w:p>
    <w:p>
      <w:pPr>
        <w:spacing w:after="0" w:before="160"/>
      </w:pPr>
      <w:r>
        <w:t xml:space="preserve"/>
      </w:r>
    </w:p>
    <w:p>
      <w:pPr>
        <w:spacing w:after="80" w:before="80" w:line="300"/>
        <w:jc w:val="both"/>
      </w:pPr>
      <w:r>
        <w:rPr>
          <w:rFonts w:ascii="Arial" w:cs="Arial" w:eastAsia="Arial" w:hAnsi="Arial"/>
          <w:b/>
          <w:bCs/>
          <w:color w:val="1A1A1A"/>
          <w:sz w:val="22"/>
          <w:szCs w:val="22"/>
        </w:rPr>
        <w:t xml:space="preserve">Cadena de componentes del paquete Partido.dtsx:</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Componente</w:t>
            </w:r>
          </w:p>
        </w:tc>
        <w:tc>
          <w:tcPr>
            <w:tcW w:type="dxa" w:w="5826"/>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Acción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cargar GAMES</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OLE DB Source — tabla games de Futbol_DB</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Lookup 1</w:t>
            </w:r>
          </w:p>
        </w:tc>
        <w:tc>
          <w:tcPr>
            <w:tcW w:type="dxa" w:w="5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rounds: resuelve round_id → event_id_src</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Lookup 2</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events: resuelve event_id_src → league_id + season_id</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Lookup 3a</w:t>
            </w:r>
          </w:p>
        </w:tc>
        <w:tc>
          <w:tcPr>
            <w:tcW w:type="dxa" w:w="5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leagues: resuelve league_id → league_title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Conversión de datos</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Convierte league_title a tipo compatible con Dim_Events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Lookup 3b</w:t>
            </w:r>
          </w:p>
        </w:tc>
        <w:tc>
          <w:tcPr>
            <w:tcW w:type="dxa" w:w="5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seasons: resuelve season_id → season_title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Conversión de datos 1</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Convierte season_title a tipo compatible con Dim_Events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Lookup 3c</w:t>
            </w:r>
          </w:p>
        </w:tc>
        <w:tc>
          <w:tcPr>
            <w:tcW w:type="dxa" w:w="5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Dim_Events (DW): resuelve league_title+season_title → event_id_DW</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Lookup 4</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teams: resuelve team1_id → team1_name</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Conversión de datos 2</w:t>
            </w:r>
          </w:p>
        </w:tc>
        <w:tc>
          <w:tcPr>
            <w:tcW w:type="dxa" w:w="5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Convierte team1_name a tipo compatible con Dim_Teams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Lookup 4b</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Dim_Teams (DW): resuelve team1_name → team1_id_DW</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Lookup 5</w:t>
            </w:r>
          </w:p>
        </w:tc>
        <w:tc>
          <w:tcPr>
            <w:tcW w:type="dxa" w:w="5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teams: resuelve team2_id → team2_name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Conversión de datos 3</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Convierte team2_name a tipo compatible con Dim_Teams</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Lookup 5b</w:t>
            </w:r>
          </w:p>
        </w:tc>
        <w:tc>
          <w:tcPr>
            <w:tcW w:type="dxa" w:w="5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Dim_Teams (DW): resuelve team2_name → team2_id_DW</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Columna derivada</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Extrae day_num, month_num, year_num desde play_at</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Lookup 6</w:t>
            </w:r>
          </w:p>
        </w:tc>
        <w:tc>
          <w:tcPr>
            <w:tcW w:type="dxa" w:w="5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Dim_Time (DW): resuelve day+month+year → date_key_DW</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Lookup 7</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Dim_Estadios (DW): resuelve ground_id → ground_id_DW</w:t>
            </w:r>
          </w:p>
        </w:tc>
      </w:tr>
      <w:tr>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Lookup 8</w:t>
            </w:r>
          </w:p>
        </w:tc>
        <w:tc>
          <w:tcPr>
            <w:tcW w:type="dxa" w:w="5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Dim_Jornada (DW): resuelve round_id → jornada_id_DW</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Destino de OLE DB</w:t>
            </w:r>
          </w:p>
        </w:tc>
        <w:tc>
          <w:tcPr>
            <w:tcW w:type="dxa" w:w="5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Tabla Partido de Futbol_DW</w:t>
            </w:r>
          </w:p>
        </w:tc>
      </w:tr>
    </w:tbl>
    <w:p>
      <w:r>
        <w:br w:type="page"/>
      </w:r>
    </w:p>
    <w:p>
      <w:pPr>
        <w:pStyle w:val="Heading1"/>
        <w:spacing w:after="200" w:before="400"/>
      </w:pPr>
      <w:r>
        <w:rPr>
          <w:rFonts w:ascii="Arial" w:cs="Arial" w:eastAsia="Arial" w:hAnsi="Arial"/>
          <w:b/>
          <w:bCs/>
          <w:color w:val="1F3864"/>
          <w:sz w:val="32"/>
          <w:szCs w:val="32"/>
        </w:rPr>
        <w:t xml:space="preserve">TAREA 3. Análisis de Datos — Cubo OLAP</w:t>
      </w:r>
    </w:p>
    <w:p>
      <w:pPr>
        <w:pBdr>
          <w:bottom w:val="single" w:color="2E75B6" w:sz="6" w:space="1"/>
        </w:pBdr>
        <w:spacing w:after="160" w:before="160"/>
      </w:pPr>
      <w:r>
        <w:t xml:space="preserve"/>
      </w:r>
    </w:p>
    <w:p>
      <w:pPr>
        <w:spacing w:after="80" w:before="80" w:line="300"/>
        <w:jc w:val="both"/>
      </w:pPr>
      <w:r>
        <w:rPr>
          <w:rFonts w:ascii="Arial" w:cs="Arial" w:eastAsia="Arial" w:hAnsi="Arial"/>
          <w:color w:val="1A1A1A"/>
          <w:sz w:val="22"/>
          <w:szCs w:val="22"/>
        </w:rPr>
        <w:t xml:space="preserve">En este apartado se describe el proceso de creación del cubo analítico en </w:t>
      </w:r>
      <w:r>
        <w:rPr>
          <w:rFonts w:ascii="Arial" w:cs="Arial" w:eastAsia="Arial" w:hAnsi="Arial"/>
          <w:b/>
          <w:bCs/>
          <w:color w:val="1A1A1A"/>
          <w:sz w:val="22"/>
          <w:szCs w:val="22"/>
        </w:rPr>
        <w:t xml:space="preserve">SQL Server Analysis Services</w:t>
      </w:r>
      <w:r>
        <w:rPr>
          <w:rFonts w:ascii="Arial" w:cs="Arial" w:eastAsia="Arial" w:hAnsi="Arial"/>
          <w:color w:val="1A1A1A"/>
          <w:sz w:val="22"/>
          <w:szCs w:val="22"/>
        </w:rPr>
        <w:t xml:space="preserve"> (SSAS) y su explotación mediante el lenguaje de consultas </w:t>
      </w:r>
      <w:r>
        <w:rPr>
          <w:rFonts w:ascii="Arial" w:cs="Arial" w:eastAsia="Arial" w:hAnsi="Arial"/>
          <w:b/>
          <w:bCs/>
          <w:color w:val="1A1A1A"/>
          <w:sz w:val="22"/>
          <w:szCs w:val="22"/>
        </w:rPr>
        <w:t xml:space="preserve">MDX</w:t>
      </w:r>
      <w:r>
        <w:rPr>
          <w:rFonts w:ascii="Arial" w:cs="Arial" w:eastAsia="Arial" w:hAnsi="Arial"/>
          <w:color w:val="1A1A1A"/>
          <w:sz w:val="22"/>
          <w:szCs w:val="22"/>
        </w:rPr>
        <w:t xml:space="preserve">. El objetivo es estructurar la información del almacén para permitir un análisis multidimensional rápido y avanzado.</w:t>
      </w:r>
    </w:p>
    <w:p>
      <w:pPr>
        <w:spacing w:after="0" w:before="160"/>
      </w:pPr>
      <w:r>
        <w:t xml:space="preserve"/>
      </w:r>
    </w:p>
    <w:p>
      <w:pPr>
        <w:pStyle w:val="Heading2"/>
        <w:spacing w:after="160" w:before="300"/>
      </w:pPr>
      <w:r>
        <w:rPr>
          <w:rFonts w:ascii="Arial" w:cs="Arial" w:eastAsia="Arial" w:hAnsi="Arial"/>
          <w:b/>
          <w:bCs/>
          <w:color w:val="2E75B6"/>
          <w:sz w:val="26"/>
          <w:szCs w:val="26"/>
        </w:rPr>
        <w:t xml:space="preserve">3.1. Creación y Configuración del Cubo Analítico</w:t>
      </w:r>
    </w:p>
    <w:p>
      <w:pPr>
        <w:spacing w:after="80" w:before="80" w:line="300"/>
        <w:jc w:val="both"/>
      </w:pPr>
      <w:r>
        <w:rPr>
          <w:rFonts w:ascii="Arial" w:cs="Arial" w:eastAsia="Arial" w:hAnsi="Arial"/>
          <w:color w:val="1A1A1A"/>
          <w:sz w:val="22"/>
          <w:szCs w:val="22"/>
        </w:rPr>
        <w:t xml:space="preserve">A partir de las tablas del almacén se modelaron en SSAS el cubo denominado </w:t>
      </w:r>
      <w:r>
        <w:rPr>
          <w:rFonts w:ascii="Arial" w:cs="Arial" w:eastAsia="Arial" w:hAnsi="Arial"/>
          <w:b/>
          <w:bCs/>
          <w:color w:val="1A1A1A"/>
          <w:sz w:val="22"/>
          <w:szCs w:val="22"/>
        </w:rPr>
        <w:t xml:space="preserve">CuboFutbol</w:t>
      </w:r>
      <w:r>
        <w:rPr>
          <w:rFonts w:ascii="Arial" w:cs="Arial" w:eastAsia="Arial" w:hAnsi="Arial"/>
          <w:color w:val="1A1A1A"/>
          <w:sz w:val="22"/>
          <w:szCs w:val="22"/>
        </w:rPr>
        <w:t xml:space="preserve">. En este proceso se realizaron dos acciones principales:</w:t>
      </w:r>
    </w:p>
    <w:p>
      <w:pPr>
        <w:spacing w:after="0" w:before="80"/>
      </w:pPr>
      <w:r>
        <w:t xml:space="preserve"/>
      </w:r>
    </w:p>
    <w:p>
      <w:pPr>
        <w:spacing w:after="100" w:before="200"/>
      </w:pPr>
      <w:r>
        <w:rPr>
          <w:rFonts w:ascii="Arial" w:cs="Arial" w:eastAsia="Arial" w:hAnsi="Arial"/>
          <w:b/>
          <w:bCs/>
          <w:color w:val="1A1A1A"/>
          <w:sz w:val="24"/>
          <w:szCs w:val="24"/>
        </w:rPr>
        <w:t xml:space="preserve">Definición de Medidas</w:t>
      </w:r>
    </w:p>
    <w:p>
      <w:pPr>
        <w:spacing w:after="80" w:before="80" w:line="300"/>
        <w:jc w:val="both"/>
      </w:pPr>
      <w:r>
        <w:rPr>
          <w:rFonts w:ascii="Arial" w:cs="Arial" w:eastAsia="Arial" w:hAnsi="Arial"/>
          <w:color w:val="1A1A1A"/>
          <w:sz w:val="22"/>
          <w:szCs w:val="22"/>
        </w:rPr>
        <w:t xml:space="preserve">Se establecieron las siguientes métricas cuantitativas para los análisis: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Medida</w:t>
            </w:r>
          </w:p>
        </w:tc>
        <w:tc>
          <w:tcPr>
            <w:tcW w:type="dxa" w:w="32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Fórmula / Origen</w:t>
            </w:r>
          </w:p>
        </w:tc>
        <w:tc>
          <w:tcPr>
            <w:tcW w:type="dxa" w:w="3626"/>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Recuento Partido</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Volumen total de partidos disputados</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Total Goles</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goles_local + goles_visitante</w:t>
            </w:r>
          </w:p>
        </w:tc>
        <w:tc>
          <w:tcPr>
            <w:tcW w:type="dxa" w:w="3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Cómputo global de anotaciones en cada encuentro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Goles Local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SUM(goles_local)</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de goles marcados por el equipo de casa</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Goles Visitante</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SUM(goles_visitante)</w:t>
            </w:r>
          </w:p>
        </w:tc>
        <w:tc>
          <w:tcPr>
            <w:tcW w:type="dxa" w:w="3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Total de goles marcados por el equipo visitante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Victoria Local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CASE WHEN goles_local &gt; goles_visitante THEN 1 ELSE 0</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Contador booleano de victorias del equipo local</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Victoria Visitante</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CASE WHEN goles_visitante &gt; goles_local THEN 1 ELSE 0</w:t>
            </w:r>
          </w:p>
        </w:tc>
        <w:tc>
          <w:tcPr>
            <w:tcW w:type="dxa" w:w="36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Contador booleano de victorias del equipo visitante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Empates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CASE WHEN goles_local = goles_visitante THEN 1 ELSE 0</w:t>
            </w:r>
          </w:p>
        </w:tc>
        <w:tc>
          <w:tcPr>
            <w:tcW w:type="dxa" w:w="36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Contador booleano de partidos terminados en tablas</w:t>
            </w:r>
          </w:p>
        </w:tc>
      </w:tr>
    </w:tbl>
    <w:p>
      <w:pPr>
        <w:spacing w:after="0" w:before="160"/>
      </w:pPr>
      <w:r>
        <w:t xml:space="preserve"/>
      </w:r>
    </w:p>
    <w:p>
      <w:pPr>
        <w:spacing w:after="100" w:before="200"/>
      </w:pPr>
      <w:r>
        <w:rPr>
          <w:rFonts w:ascii="Arial" w:cs="Arial" w:eastAsia="Arial" w:hAnsi="Arial"/>
          <w:b/>
          <w:bCs/>
          <w:color w:val="1A1A1A"/>
          <w:sz w:val="24"/>
          <w:szCs w:val="24"/>
        </w:rPr>
        <w:t xml:space="preserve">Creación de Jerarquías de Usuario</w:t>
      </w:r>
    </w:p>
    <w:p>
      <w:pPr>
        <w:spacing w:after="80" w:before="80" w:line="300"/>
        <w:jc w:val="both"/>
      </w:pPr>
      <w:r>
        <w:rPr>
          <w:rFonts w:ascii="Arial" w:cs="Arial" w:eastAsia="Arial" w:hAnsi="Arial"/>
          <w:color w:val="1A1A1A"/>
          <w:sz w:val="22"/>
          <w:szCs w:val="22"/>
        </w:rPr>
        <w:t xml:space="preserve">Para facilitar la navegación por los datos y permitir análisis jerárquico descendente (drill-down), se definieron las siguientes jerarquías:</w:t>
      </w:r>
    </w:p>
    <w:p>
      <w:pPr>
        <w:spacing w:after="0" w:before="80"/>
      </w:pPr>
      <w:r>
        <w:t xml:space="preserve"/>
      </w:r>
    </w:p>
    <w:p>
      <w:pPr>
        <w:pStyle w:val="ListParagraph"/>
        <w:numPr>
          <w:ilvl w:val="0"/>
          <w:numId w:val="2"/>
        </w:numPr>
        <w:spacing w:after="60" w:before="60" w:line="280"/>
      </w:pPr>
      <w:r>
        <w:rPr>
          <w:rFonts w:ascii="Arial" w:cs="Arial" w:eastAsia="Arial" w:hAnsi="Arial"/>
          <w:color w:val="1A1A1A"/>
          <w:sz w:val="22"/>
          <w:szCs w:val="22"/>
        </w:rPr>
        <w:t xml:space="preserve">Calendario Temporal: </w:t>
      </w:r>
    </w:p>
    <w:p>
      <w:pPr>
        <w:pStyle w:val="ListParagraph"/>
        <w:numPr>
          <w:ilvl w:val="1"/>
          <w:numId w:val="2"/>
        </w:numPr>
        <w:spacing w:after="40" w:before="40" w:line="260"/>
      </w:pPr>
      <w:r>
        <w:rPr>
          <w:rFonts w:ascii="Arial" w:cs="Arial" w:eastAsia="Arial" w:hAnsi="Arial"/>
          <w:color w:val="1A1A1A"/>
          <w:sz w:val="22"/>
          <w:szCs w:val="22"/>
        </w:rPr>
        <w:t xml:space="preserve">Año → Trimestre → Mes → Día, complementado con el atributo Nombre_dia_semana.</w:t>
      </w:r>
    </w:p>
    <w:p>
      <w:pPr>
        <w:pStyle w:val="ListParagraph"/>
        <w:numPr>
          <w:ilvl w:val="0"/>
          <w:numId w:val="2"/>
        </w:numPr>
        <w:spacing w:after="60" w:before="60" w:line="280"/>
      </w:pPr>
      <w:r>
        <w:rPr>
          <w:rFonts w:ascii="Arial" w:cs="Arial" w:eastAsia="Arial" w:hAnsi="Arial"/>
          <w:color w:val="1A1A1A"/>
          <w:sz w:val="22"/>
          <w:szCs w:val="22"/>
        </w:rPr>
        <w:t xml:space="preserve">Jornadas: </w:t>
      </w:r>
    </w:p>
    <w:p>
      <w:pPr>
        <w:pStyle w:val="ListParagraph"/>
        <w:numPr>
          <w:ilvl w:val="1"/>
          <w:numId w:val="2"/>
        </w:numPr>
        <w:spacing w:after="40" w:before="40" w:line="260"/>
      </w:pPr>
      <w:r>
        <w:rPr>
          <w:rFonts w:ascii="Arial" w:cs="Arial" w:eastAsia="Arial" w:hAnsi="Arial"/>
          <w:color w:val="1A1A1A"/>
          <w:sz w:val="22"/>
          <w:szCs w:val="22"/>
        </w:rPr>
        <w:t xml:space="preserve">Evento → Orden_jornada → Jornada. Permite navegar desde la competición hasta cada jornada concreta.</w:t>
      </w:r>
    </w:p>
    <w:p>
      <w:pPr>
        <w:pStyle w:val="ListParagraph"/>
        <w:numPr>
          <w:ilvl w:val="0"/>
          <w:numId w:val="2"/>
        </w:numPr>
        <w:spacing w:after="60" w:before="60" w:line="280"/>
      </w:pPr>
      <w:r>
        <w:rPr>
          <w:rFonts w:ascii="Arial" w:cs="Arial" w:eastAsia="Arial" w:hAnsi="Arial"/>
          <w:color w:val="1A1A1A"/>
          <w:sz w:val="22"/>
          <w:szCs w:val="22"/>
        </w:rPr>
        <w:t xml:space="preserve">Geografía de Equipos: </w:t>
      </w:r>
    </w:p>
    <w:p>
      <w:pPr>
        <w:pStyle w:val="ListParagraph"/>
        <w:numPr>
          <w:ilvl w:val="1"/>
          <w:numId w:val="2"/>
        </w:numPr>
        <w:spacing w:after="40" w:before="40" w:line="260"/>
      </w:pPr>
      <w:r>
        <w:rPr>
          <w:rFonts w:ascii="Arial" w:cs="Arial" w:eastAsia="Arial" w:hAnsi="Arial"/>
          <w:color w:val="1A1A1A"/>
          <w:sz w:val="22"/>
          <w:szCs w:val="22"/>
        </w:rPr>
        <w:t xml:space="preserve">Continente → País → Ciudad → Nombre_equipo. Segmentación geográfica completa.</w:t>
      </w:r>
    </w:p>
    <w:p>
      <w:pPr>
        <w:pStyle w:val="ListParagraph"/>
        <w:numPr>
          <w:ilvl w:val="0"/>
          <w:numId w:val="2"/>
        </w:numPr>
        <w:spacing w:after="60" w:before="60" w:line="280"/>
      </w:pPr>
      <w:r>
        <w:rPr>
          <w:rFonts w:ascii="Arial" w:cs="Arial" w:eastAsia="Arial" w:hAnsi="Arial"/>
          <w:color w:val="1A1A1A"/>
          <w:sz w:val="22"/>
          <w:szCs w:val="22"/>
        </w:rPr>
        <w:t xml:space="preserve">Ubicación de Estadios: </w:t>
      </w:r>
    </w:p>
    <w:p>
      <w:pPr>
        <w:pStyle w:val="ListParagraph"/>
        <w:numPr>
          <w:ilvl w:val="1"/>
          <w:numId w:val="2"/>
        </w:numPr>
        <w:spacing w:after="40" w:before="40" w:line="260"/>
      </w:pPr>
      <w:r>
        <w:rPr>
          <w:rFonts w:ascii="Arial" w:cs="Arial" w:eastAsia="Arial" w:hAnsi="Arial"/>
          <w:color w:val="1A1A1A"/>
          <w:sz w:val="22"/>
          <w:szCs w:val="22"/>
        </w:rPr>
        <w:t xml:space="preserve">Permite filtrar y agrupar encuentros según el recinto deportivo en el que se disputaron.</w:t>
      </w:r>
    </w:p>
    <w:p>
      <w:pPr>
        <w:spacing w:after="0" w:before="160"/>
      </w:pPr>
      <w:r>
        <w:t xml:space="preserve"/>
      </w:r>
    </w:p>
    <w:p>
      <w:pPr>
        <w:pStyle w:val="Heading2"/>
        <w:spacing w:after="160" w:before="300"/>
      </w:pPr>
      <w:r>
        <w:rPr>
          <w:rFonts w:ascii="Arial" w:cs="Arial" w:eastAsia="Arial" w:hAnsi="Arial"/>
          <w:b/>
          <w:bCs/>
          <w:color w:val="2E75B6"/>
          <w:sz w:val="26"/>
          <w:szCs w:val="26"/>
        </w:rPr>
        <w:t xml:space="preserve">3.2. Explotación del Cubo mediante Consultas MDX</w:t>
      </w:r>
    </w:p>
    <w:p>
      <w:pPr>
        <w:spacing w:after="80" w:before="80" w:line="300"/>
        <w:jc w:val="both"/>
      </w:pPr>
      <w:r>
        <w:rPr>
          <w:rFonts w:ascii="Arial" w:cs="Arial" w:eastAsia="Arial" w:hAnsi="Arial"/>
          <w:color w:val="1A1A1A"/>
          <w:sz w:val="22"/>
          <w:szCs w:val="22"/>
        </w:rPr>
        <w:t xml:space="preserve">Una vez desplegado el cubo, se diseñaron y ejecutaron un total de </w:t>
      </w:r>
      <w:r>
        <w:rPr>
          <w:rFonts w:ascii="Arial" w:cs="Arial" w:eastAsia="Arial" w:hAnsi="Arial"/>
          <w:b/>
          <w:bCs/>
          <w:color w:val="1A1A1A"/>
          <w:sz w:val="22"/>
          <w:szCs w:val="22"/>
        </w:rPr>
        <w:t xml:space="preserve">15 consultas MDX</w:t>
      </w:r>
      <w:r>
        <w:rPr>
          <w:rFonts w:ascii="Arial" w:cs="Arial" w:eastAsia="Arial" w:hAnsi="Arial"/>
          <w:color w:val="1A1A1A"/>
          <w:sz w:val="22"/>
          <w:szCs w:val="22"/>
        </w:rPr>
        <w:t xml:space="preserve"> para extraer respuestas a preguntas de negocio complejas. Las consultas se agrupan en tres bloques analíticos:</w:t>
      </w:r>
    </w:p>
    <w:p>
      <w:pPr>
        <w:spacing w:after="0" w:before="80"/>
      </w:pPr>
      <w:r>
        <w:t xml:space="preserve"/>
      </w:r>
    </w:p>
    <w:p>
      <w:pPr>
        <w:pStyle w:val="ListParagraph"/>
        <w:numPr>
          <w:ilvl w:val="0"/>
          <w:numId w:val="2"/>
        </w:numPr>
        <w:spacing w:after="60" w:before="60" w:line="280"/>
      </w:pPr>
      <w:r>
        <w:rPr>
          <w:rFonts w:ascii="Arial" w:cs="Arial" w:eastAsia="Arial" w:hAnsi="Arial"/>
          <w:color w:val="1A1A1A"/>
          <w:sz w:val="22"/>
          <w:szCs w:val="22"/>
        </w:rPr>
        <w:t xml:space="preserve">Bloque 1 — Análisis General y Evolución Temporal (Consultas 1-5, 10, 11, 14 y 15): </w:t>
      </w:r>
    </w:p>
    <w:p>
      <w:pPr>
        <w:pStyle w:val="ListParagraph"/>
        <w:numPr>
          <w:ilvl w:val="1"/>
          <w:numId w:val="2"/>
        </w:numPr>
        <w:spacing w:after="40" w:before="40" w:line="260"/>
      </w:pPr>
      <w:r>
        <w:rPr>
          <w:rFonts w:ascii="Arial" w:cs="Arial" w:eastAsia="Arial" w:hAnsi="Arial"/>
          <w:color w:val="1A1A1A"/>
          <w:sz w:val="22"/>
          <w:szCs w:val="22"/>
        </w:rPr>
        <w:t xml:space="preserve">Consolidan totales de partidos y goles y estudian su comportamiento a lo largo del tiempo: qué temporadas fueron más goleadoras y en qué meses se concentra la actividad.</w:t>
      </w:r>
    </w:p>
    <w:p>
      <w:pPr>
        <w:pStyle w:val="ListParagraph"/>
        <w:numPr>
          <w:ilvl w:val="0"/>
          <w:numId w:val="2"/>
        </w:numPr>
        <w:spacing w:after="60" w:before="60" w:line="280"/>
      </w:pPr>
      <w:r>
        <w:rPr>
          <w:rFonts w:ascii="Arial" w:cs="Arial" w:eastAsia="Arial" w:hAnsi="Arial"/>
          <w:color w:val="1A1A1A"/>
          <w:sz w:val="22"/>
          <w:szCs w:val="22"/>
        </w:rPr>
        <w:t xml:space="preserve">Bloque 2 — Rendimiento y Comparativa de Equipos (Consultas 6-9): </w:t>
      </w:r>
    </w:p>
    <w:p>
      <w:pPr>
        <w:pStyle w:val="ListParagraph"/>
        <w:numPr>
          <w:ilvl w:val="1"/>
          <w:numId w:val="2"/>
        </w:numPr>
        <w:spacing w:after="40" w:before="40" w:line="260"/>
      </w:pPr>
      <w:r>
        <w:rPr>
          <w:rFonts w:ascii="Arial" w:cs="Arial" w:eastAsia="Arial" w:hAnsi="Arial"/>
          <w:color w:val="1A1A1A"/>
          <w:sz w:val="22"/>
          <w:szCs w:val="22"/>
        </w:rPr>
        <w:t xml:space="preserve">Analizan el comportamiento de los clubes distinguiendo su rol como local o visitante. Incluye rankings Top 15 de los equipos más efectivos en casa y fuera de ella, y porcentajes de victoria por club.</w:t>
      </w:r>
    </w:p>
    <w:p>
      <w:pPr>
        <w:pStyle w:val="ListParagraph"/>
        <w:numPr>
          <w:ilvl w:val="0"/>
          <w:numId w:val="2"/>
        </w:numPr>
        <w:spacing w:after="60" w:before="60" w:line="280"/>
      </w:pPr>
      <w:r>
        <w:rPr>
          <w:rFonts w:ascii="Arial" w:cs="Arial" w:eastAsia="Arial" w:hAnsi="Arial"/>
          <w:color w:val="1A1A1A"/>
          <w:sz w:val="22"/>
          <w:szCs w:val="22"/>
        </w:rPr>
        <w:t xml:space="preserve">Bloque 3 — Detalles de Estadios (Consultas 12 y 13): </w:t>
      </w:r>
    </w:p>
    <w:p>
      <w:pPr>
        <w:pStyle w:val="ListParagraph"/>
        <w:numPr>
          <w:ilvl w:val="1"/>
          <w:numId w:val="2"/>
        </w:numPr>
        <w:spacing w:after="40" w:before="40" w:line="260"/>
      </w:pPr>
      <w:r>
        <w:rPr>
          <w:rFonts w:ascii="Arial" w:cs="Arial" w:eastAsia="Arial" w:hAnsi="Arial"/>
          <w:color w:val="1A1A1A"/>
          <w:sz w:val="22"/>
          <w:szCs w:val="22"/>
        </w:rPr>
        <w:t xml:space="preserve">Extraen estadísticas ligadas a los estadios (cuáles acumulan más partidos o goles) y a las jornadas para identificar dinámicas específicas del campeonato.</w:t>
      </w:r>
    </w:p>
    <w:p>
      <w:pPr>
        <w:spacing w:after="0" w:before="160"/>
      </w:pPr>
      <w:r>
        <w:t xml:space="preserve"/>
      </w:r>
    </w:p>
    <w:p>
      <w:pPr>
        <w:pStyle w:val="Heading2"/>
        <w:spacing w:after="160" w:before="300"/>
      </w:pPr>
      <w:r>
        <w:rPr>
          <w:rFonts w:ascii="Arial" w:cs="Arial" w:eastAsia="Arial" w:hAnsi="Arial"/>
          <w:b/>
          <w:bCs/>
          <w:color w:val="2E75B6"/>
          <w:sz w:val="26"/>
          <w:szCs w:val="26"/>
        </w:rPr>
        <w:t xml:space="preserve">Campos Calculados Implementados en la DSV</w:t>
      </w:r>
    </w:p>
    <w:p>
      <w:pPr>
        <w:spacing w:after="100" w:before="200"/>
      </w:pPr>
      <w:r>
        <w:rPr>
          <w:rFonts w:ascii="Arial" w:cs="Arial" w:eastAsia="Arial" w:hAnsi="Arial"/>
          <w:b/>
          <w:bCs/>
          <w:color w:val="1A1A1A"/>
          <w:sz w:val="24"/>
          <w:szCs w:val="24"/>
        </w:rPr>
        <w:t xml:space="preserve">Tabla de Hechos: Partido</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 calculado</w:t>
            </w:r>
          </w:p>
        </w:tc>
        <w:tc>
          <w:tcPr>
            <w:tcW w:type="dxa" w:w="32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Fórmula SQL</w:t>
            </w:r>
          </w:p>
        </w:tc>
        <w:tc>
          <w:tcPr>
            <w:tcW w:type="dxa" w:w="3826"/>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Función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Total_Goles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goles_local + goles_visitante</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Suma el total de goles de ambos equipos. Métrica base para el análisis de goleo.</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Victoria_Local</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CASE WHEN goles_local &gt; goles_visitante THEN 1 ELSE 0 END</w:t>
            </w:r>
          </w:p>
        </w:tc>
        <w:tc>
          <w:tcPr>
            <w:tcW w:type="dxa" w:w="3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Devuelve 1 si ganó el equipo local. Al sumarse en el cubo genera el total de victorias locales.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Victoria_Visitante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CASE WHEN goles_visitante &gt; goles_local THEN 1 ELSE 0 END</w:t>
            </w:r>
          </w:p>
        </w:tc>
        <w:tc>
          <w:tcPr>
            <w:tcW w:type="dxa" w:w="3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Devuelve 1 si ganó el visitante. Aísla el rendimiento fuera de casa.</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Empates</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CASE WHEN goles_local = goles_visitante THEN 1 ELSE 0 END</w:t>
            </w:r>
          </w:p>
        </w:tc>
        <w:tc>
          <w:tcPr>
            <w:tcW w:type="dxa" w:w="38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Devuelve 1 si el partido terminó en tablas. Facilita el conteo agregado de empates.</w:t>
            </w:r>
          </w:p>
        </w:tc>
      </w:tr>
    </w:tbl>
    <w:p>
      <w:pPr>
        <w:spacing w:after="0" w:before="160"/>
      </w:pPr>
      <w:r>
        <w:t xml:space="preserve"/>
      </w:r>
    </w:p>
    <w:p>
      <w:pPr>
        <w:spacing w:after="100" w:before="200"/>
      </w:pPr>
      <w:r>
        <w:rPr>
          <w:rFonts w:ascii="Arial" w:cs="Arial" w:eastAsia="Arial" w:hAnsi="Arial"/>
          <w:b/>
          <w:bCs/>
          <w:color w:val="1A1A1A"/>
          <w:sz w:val="24"/>
          <w:szCs w:val="24"/>
        </w:rPr>
        <w:t xml:space="preserve">Dimensión Temporal: Dim_Time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Campo calculado</w:t>
            </w:r>
          </w:p>
        </w:tc>
        <w:tc>
          <w:tcPr>
            <w:tcW w:type="dxa" w:w="6526"/>
            <w:tcBorders>
              <w:top w:val="single" w:color="AAAAAA" w:sz="1"/>
              <w:left w:val="single" w:color="AAAAAA" w:sz="1"/>
              <w:bottom w:val="single" w:color="AAAAAA" w:sz="1"/>
              <w:right w:val="single" w:color="AAAAAA"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Mes_Texto</w:t>
            </w:r>
          </w:p>
        </w:tc>
        <w:tc>
          <w:tcPr>
            <w:tcW w:type="dxa" w:w="65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Convierte el número del mes (1-12) en su etiqueta en español (Enero, Febrero…) para una visualización limpia en los informes.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Periodo_Anio_Mes</w:t>
            </w:r>
          </w:p>
        </w:tc>
        <w:tc>
          <w:tcPr>
            <w:tcW w:type="dxa" w:w="6526"/>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Genera una clave cronológica con formato YYYY-MM. Campo crítico que soluciona el orden de los meses en MDX y evita que datos de diferentes años se agrupen en la misma fila.</w:t>
            </w:r>
          </w:p>
        </w:tc>
      </w:tr>
    </w:tbl>
    <w:p>
      <w:r>
        <w:br w:type="page"/>
      </w:r>
    </w:p>
    <w:p>
      <w:pPr>
        <w:pStyle w:val="Heading1"/>
        <w:spacing w:after="200" w:before="400"/>
      </w:pPr>
      <w:r>
        <w:rPr>
          <w:rFonts w:ascii="Arial" w:cs="Arial" w:eastAsia="Arial" w:hAnsi="Arial"/>
          <w:b/>
          <w:bCs/>
          <w:color w:val="1F3864"/>
          <w:sz w:val="32"/>
          <w:szCs w:val="32"/>
        </w:rPr>
        <w:t xml:space="preserve">TAREA 4. Cuadro de Mando en Power BI</w:t>
      </w:r>
    </w:p>
    <w:p>
      <w:pPr>
        <w:pBdr>
          <w:bottom w:val="single" w:color="2E75B6" w:sz="6" w:space="1"/>
        </w:pBdr>
        <w:spacing w:after="160" w:before="160"/>
      </w:pPr>
      <w:r>
        <w:t xml:space="preserve"/>
      </w:r>
    </w:p>
    <w:p>
      <w:pPr>
        <w:spacing w:after="80" w:before="80" w:line="300"/>
        <w:jc w:val="both"/>
      </w:pPr>
      <w:r>
        <w:rPr>
          <w:rFonts w:ascii="Arial" w:cs="Arial" w:eastAsia="Arial" w:hAnsi="Arial"/>
          <w:color w:val="1A1A1A"/>
          <w:sz w:val="22"/>
          <w:szCs w:val="22"/>
        </w:rPr>
        <w:t xml:space="preserve">En este apartado se describe el diseño y la composición del cuadro de mando interactivo desarrollado en </w:t>
      </w:r>
      <w:r>
        <w:rPr>
          <w:rFonts w:ascii="Arial" w:cs="Arial" w:eastAsia="Arial" w:hAnsi="Arial"/>
          <w:b/>
          <w:bCs/>
          <w:color w:val="1A1A1A"/>
          <w:sz w:val="22"/>
          <w:szCs w:val="22"/>
        </w:rPr>
        <w:t xml:space="preserve">Power BI</w:t>
      </w:r>
      <w:r>
        <w:rPr>
          <w:rFonts w:ascii="Arial" w:cs="Arial" w:eastAsia="Arial" w:hAnsi="Arial"/>
          <w:color w:val="1A1A1A"/>
          <w:sz w:val="22"/>
          <w:szCs w:val="22"/>
        </w:rPr>
        <w:t xml:space="preserve">. El objetivo es transformar las consultas del cubo analítico en elementos visuales intuitivos que permitan la exploración libre de los datos por parte del usuario.</w:t>
      </w:r>
    </w:p>
    <w:p>
      <w:pPr>
        <w:spacing w:after="0" w:before="80"/>
      </w:pPr>
      <w:r>
        <w:t xml:space="preserve"/>
      </w:r>
    </w:p>
    <w:p>
      <w:pPr>
        <w:spacing w:after="80" w:before="80" w:line="300"/>
        <w:jc w:val="both"/>
      </w:pPr>
      <w:r>
        <w:rPr>
          <w:rFonts w:ascii="Arial" w:cs="Arial" w:eastAsia="Arial" w:hAnsi="Arial"/>
          <w:color w:val="1A1A1A"/>
          <w:sz w:val="22"/>
          <w:szCs w:val="22"/>
        </w:rPr>
        <w:t xml:space="preserve">Para lograr un entorno limpio y ordenado, el informe se estructura en tres pestañas o páginas temáticas:</w:t>
      </w:r>
    </w:p>
    <w:p>
      <w:pPr>
        <w:spacing w:after="0" w:before="160"/>
      </w:pPr>
      <w:r>
        <w:t xml:space="preserve"/>
      </w:r>
    </w:p>
    <w:p>
      <w:pPr>
        <w:pStyle w:val="Heading2"/>
        <w:spacing w:after="160" w:before="300"/>
      </w:pPr>
      <w:r>
        <w:rPr>
          <w:rFonts w:ascii="Arial" w:cs="Arial" w:eastAsia="Arial" w:hAnsi="Arial"/>
          <w:b/>
          <w:bCs/>
          <w:color w:val="2E75B6"/>
          <w:sz w:val="26"/>
          <w:szCs w:val="26"/>
        </w:rPr>
        <w:t xml:space="preserve">Página 1 — Visión General de Goles</w:t>
      </w:r>
    </w:p>
    <w:p>
      <w:pPr>
        <w:spacing w:after="80" w:before="80" w:line="300"/>
        <w:jc w:val="both"/>
      </w:pPr>
      <w:r>
        <w:rPr>
          <w:rFonts w:ascii="Arial" w:cs="Arial" w:eastAsia="Arial" w:hAnsi="Arial"/>
          <w:color w:val="1A1A1A"/>
          <w:sz w:val="22"/>
          <w:szCs w:val="22"/>
        </w:rPr>
        <w:t xml:space="preserve">Esta página incluye un </w:t>
      </w:r>
      <w:r>
        <w:rPr>
          <w:rFonts w:ascii="Arial" w:cs="Arial" w:eastAsia="Arial" w:hAnsi="Arial"/>
          <w:b/>
          <w:bCs/>
          <w:color w:val="1A1A1A"/>
          <w:sz w:val="22"/>
          <w:szCs w:val="22"/>
        </w:rPr>
        <w:t xml:space="preserve">deslizador de años</w:t>
      </w:r>
      <w:r>
        <w:rPr>
          <w:rFonts w:ascii="Arial" w:cs="Arial" w:eastAsia="Arial" w:hAnsi="Arial"/>
          <w:color w:val="1A1A1A"/>
          <w:sz w:val="22"/>
          <w:szCs w:val="22"/>
        </w:rPr>
        <w:t xml:space="preserve"> que permite acotar el periodo analizado. Las visualizaciones disponibles son:</w:t>
      </w:r>
    </w:p>
    <w:p>
      <w:pPr>
        <w:spacing w:after="0" w:before="80"/>
      </w:pPr>
      <w:r>
        <w:t xml:space="preserve"/>
      </w:r>
    </w:p>
    <w:p>
      <w:pPr>
        <w:pStyle w:val="ListParagraph"/>
        <w:numPr>
          <w:ilvl w:val="0"/>
          <w:numId w:val="2"/>
        </w:numPr>
        <w:spacing w:after="60" w:before="60" w:line="280"/>
      </w:pPr>
      <w:r>
        <w:rPr>
          <w:rFonts w:ascii="Arial" w:cs="Arial" w:eastAsia="Arial" w:hAnsi="Arial"/>
          <w:color w:val="1A1A1A"/>
          <w:sz w:val="22"/>
          <w:szCs w:val="22"/>
        </w:rPr>
        <w:t xml:space="preserve">Recuento de goles por competición: </w:t>
      </w:r>
    </w:p>
    <w:p>
      <w:pPr>
        <w:pStyle w:val="ListParagraph"/>
        <w:numPr>
          <w:ilvl w:val="1"/>
          <w:numId w:val="2"/>
        </w:numPr>
        <w:spacing w:after="40" w:before="40" w:line="260"/>
      </w:pPr>
      <w:r>
        <w:rPr>
          <w:rFonts w:ascii="Arial" w:cs="Arial" w:eastAsia="Arial" w:hAnsi="Arial"/>
          <w:color w:val="1A1A1A"/>
          <w:sz w:val="22"/>
          <w:szCs w:val="22"/>
        </w:rPr>
        <w:t xml:space="preserve">Número total de goles registrados en cada competición, desglosado por años.</w:t>
      </w:r>
    </w:p>
    <w:p>
      <w:pPr>
        <w:pStyle w:val="ListParagraph"/>
        <w:numPr>
          <w:ilvl w:val="0"/>
          <w:numId w:val="2"/>
        </w:numPr>
        <w:spacing w:after="60" w:before="60" w:line="280"/>
      </w:pPr>
      <w:r>
        <w:rPr>
          <w:rFonts w:ascii="Arial" w:cs="Arial" w:eastAsia="Arial" w:hAnsi="Arial"/>
          <w:color w:val="1A1A1A"/>
          <w:sz w:val="22"/>
          <w:szCs w:val="22"/>
        </w:rPr>
        <w:t xml:space="preserve">Evolución mensual de goles: </w:t>
      </w:r>
    </w:p>
    <w:p>
      <w:pPr>
        <w:pStyle w:val="ListParagraph"/>
        <w:numPr>
          <w:ilvl w:val="1"/>
          <w:numId w:val="2"/>
        </w:numPr>
        <w:spacing w:after="40" w:before="40" w:line="260"/>
      </w:pPr>
      <w:r>
        <w:rPr>
          <w:rFonts w:ascii="Arial" w:cs="Arial" w:eastAsia="Arial" w:hAnsi="Arial"/>
          <w:color w:val="1A1A1A"/>
          <w:sz w:val="22"/>
          <w:szCs w:val="22"/>
        </w:rPr>
        <w:t xml:space="preserve">Gráfico de barras que muestra la evolución del número de goles marcados en cada mes a lo largo de las temporadas.</w:t>
      </w:r>
    </w:p>
    <w:p>
      <w:pPr>
        <w:pStyle w:val="ListParagraph"/>
        <w:numPr>
          <w:ilvl w:val="0"/>
          <w:numId w:val="2"/>
        </w:numPr>
        <w:spacing w:after="60" w:before="60" w:line="280"/>
      </w:pPr>
      <w:r>
        <w:rPr>
          <w:rFonts w:ascii="Arial" w:cs="Arial" w:eastAsia="Arial" w:hAnsi="Arial"/>
          <w:color w:val="1A1A1A"/>
          <w:sz w:val="22"/>
          <w:szCs w:val="22"/>
        </w:rPr>
        <w:t xml:space="preserve">Desglose de goles por temporada: </w:t>
      </w:r>
    </w:p>
    <w:p>
      <w:pPr>
        <w:pStyle w:val="ListParagraph"/>
        <w:numPr>
          <w:ilvl w:val="1"/>
          <w:numId w:val="2"/>
        </w:numPr>
        <w:spacing w:after="40" w:before="40" w:line="260"/>
      </w:pPr>
      <w:r>
        <w:rPr>
          <w:rFonts w:ascii="Arial" w:cs="Arial" w:eastAsia="Arial" w:hAnsi="Arial"/>
          <w:color w:val="1A1A1A"/>
          <w:sz w:val="22"/>
          <w:szCs w:val="22"/>
        </w:rPr>
        <w:t xml:space="preserve">Vista directa de los tantos marcados en cada temporada, facilitando comparativas entre cursos.</w:t>
      </w:r>
    </w:p>
    <w:p>
      <w:pPr>
        <w:pStyle w:val="ListParagraph"/>
        <w:numPr>
          <w:ilvl w:val="0"/>
          <w:numId w:val="2"/>
        </w:numPr>
        <w:spacing w:after="60" w:before="60" w:line="280"/>
      </w:pPr>
      <w:r>
        <w:rPr>
          <w:rFonts w:ascii="Arial" w:cs="Arial" w:eastAsia="Arial" w:hAnsi="Arial"/>
          <w:color w:val="1A1A1A"/>
          <w:sz w:val="22"/>
          <w:szCs w:val="22"/>
        </w:rPr>
        <w:t xml:space="preserve">Top 10 temporadas con más goles: </w:t>
      </w:r>
    </w:p>
    <w:p>
      <w:pPr>
        <w:pStyle w:val="ListParagraph"/>
        <w:numPr>
          <w:ilvl w:val="1"/>
          <w:numId w:val="2"/>
        </w:numPr>
        <w:spacing w:after="40" w:before="40" w:line="260"/>
      </w:pPr>
      <w:r>
        <w:rPr>
          <w:rFonts w:ascii="Arial" w:cs="Arial" w:eastAsia="Arial" w:hAnsi="Arial"/>
          <w:color w:val="1A1A1A"/>
          <w:sz w:val="22"/>
          <w:szCs w:val="22"/>
        </w:rPr>
        <w:t xml:space="preserve">Ranking de las temporadas con mayor producción goleadora.</w:t>
      </w:r>
    </w:p>
    <w:p>
      <w:pPr>
        <w:spacing w:after="0" w:before="160"/>
      </w:pPr>
      <w:r>
        <w:t xml:space="preserve"/>
      </w:r>
    </w:p>
    <w:p>
      <w:pPr>
        <w:pStyle w:val="Heading2"/>
        <w:spacing w:after="160" w:before="300"/>
      </w:pPr>
      <w:r>
        <w:rPr>
          <w:rFonts w:ascii="Arial" w:cs="Arial" w:eastAsia="Arial" w:hAnsi="Arial"/>
          <w:b/>
          <w:bCs/>
          <w:color w:val="2E75B6"/>
          <w:sz w:val="26"/>
          <w:szCs w:val="26"/>
        </w:rPr>
        <w:t xml:space="preserve">Página 2 — Análisis de Equipos</w:t>
      </w:r>
    </w:p>
    <w:p>
      <w:pPr>
        <w:spacing w:after="80" w:before="80" w:line="300"/>
        <w:jc w:val="both"/>
      </w:pPr>
      <w:r>
        <w:rPr>
          <w:rFonts w:ascii="Arial" w:cs="Arial" w:eastAsia="Arial" w:hAnsi="Arial"/>
          <w:color w:val="1A1A1A"/>
          <w:sz w:val="22"/>
          <w:szCs w:val="22"/>
        </w:rPr>
        <w:t xml:space="preserve">Esta página reúne distintos indicadores sobre el rendimiento de los clubs:</w:t>
      </w:r>
    </w:p>
    <w:p>
      <w:pPr>
        <w:spacing w:after="0" w:before="80"/>
      </w:pPr>
      <w:r>
        <w:t xml:space="preserve"/>
      </w:r>
    </w:p>
    <w:p>
      <w:pPr>
        <w:pStyle w:val="ListParagraph"/>
        <w:numPr>
          <w:ilvl w:val="0"/>
          <w:numId w:val="2"/>
        </w:numPr>
        <w:spacing w:after="60" w:before="60" w:line="280"/>
      </w:pPr>
      <w:r>
        <w:rPr>
          <w:rFonts w:ascii="Arial" w:cs="Arial" w:eastAsia="Arial" w:hAnsi="Arial"/>
          <w:color w:val="1A1A1A"/>
          <w:sz w:val="22"/>
          <w:szCs w:val="22"/>
        </w:rPr>
        <w:t xml:space="preserve">Top 15 equipos goleadores de la Liga: </w:t>
      </w:r>
    </w:p>
    <w:p>
      <w:pPr>
        <w:pStyle w:val="ListParagraph"/>
        <w:numPr>
          <w:ilvl w:val="1"/>
          <w:numId w:val="2"/>
        </w:numPr>
        <w:spacing w:after="40" w:before="40" w:line="260"/>
      </w:pPr>
      <w:r>
        <w:rPr>
          <w:rFonts w:ascii="Arial" w:cs="Arial" w:eastAsia="Arial" w:hAnsi="Arial"/>
          <w:color w:val="1A1A1A"/>
          <w:sz w:val="22"/>
          <w:szCs w:val="22"/>
        </w:rPr>
        <w:t xml:space="preserve">Ranking de los clubes con mayor número de goles anotados en el periodo analizado.</w:t>
      </w:r>
    </w:p>
    <w:p>
      <w:pPr>
        <w:pStyle w:val="ListParagraph"/>
        <w:numPr>
          <w:ilvl w:val="0"/>
          <w:numId w:val="2"/>
        </w:numPr>
        <w:spacing w:after="60" w:before="60" w:line="280"/>
      </w:pPr>
      <w:r>
        <w:rPr>
          <w:rFonts w:ascii="Arial" w:cs="Arial" w:eastAsia="Arial" w:hAnsi="Arial"/>
          <w:color w:val="1A1A1A"/>
          <w:sz w:val="22"/>
          <w:szCs w:val="22"/>
        </w:rPr>
        <w:t xml:space="preserve">Partidos del Real Madrid en domingo: </w:t>
      </w:r>
    </w:p>
    <w:p>
      <w:pPr>
        <w:pStyle w:val="ListParagraph"/>
        <w:numPr>
          <w:ilvl w:val="1"/>
          <w:numId w:val="2"/>
        </w:numPr>
        <w:spacing w:after="40" w:before="40" w:line="260"/>
      </w:pPr>
      <w:r>
        <w:rPr>
          <w:rFonts w:ascii="Arial" w:cs="Arial" w:eastAsia="Arial" w:hAnsi="Arial"/>
          <w:color w:val="1A1A1A"/>
          <w:sz w:val="22"/>
          <w:szCs w:val="22"/>
        </w:rPr>
        <w:t xml:space="preserve">Gráfico que muestra cómo decrece la frecuencia con la que el Real Madrid disputa encuentros en ese día de la semana.</w:t>
      </w:r>
    </w:p>
    <w:p>
      <w:pPr>
        <w:pStyle w:val="ListParagraph"/>
        <w:numPr>
          <w:ilvl w:val="0"/>
          <w:numId w:val="2"/>
        </w:numPr>
        <w:spacing w:after="60" w:before="60" w:line="280"/>
      </w:pPr>
      <w:r>
        <w:rPr>
          <w:rFonts w:ascii="Arial" w:cs="Arial" w:eastAsia="Arial" w:hAnsi="Arial"/>
          <w:color w:val="1A1A1A"/>
          <w:sz w:val="22"/>
          <w:szCs w:val="22"/>
        </w:rPr>
        <w:t xml:space="preserve">Balance de goles en El Clásico: </w:t>
      </w:r>
    </w:p>
    <w:p>
      <w:pPr>
        <w:pStyle w:val="ListParagraph"/>
        <w:numPr>
          <w:ilvl w:val="1"/>
          <w:numId w:val="2"/>
        </w:numPr>
        <w:spacing w:after="40" w:before="40" w:line="260"/>
      </w:pPr>
      <w:r>
        <w:rPr>
          <w:rFonts w:ascii="Arial" w:cs="Arial" w:eastAsia="Arial" w:hAnsi="Arial"/>
          <w:color w:val="1A1A1A"/>
          <w:sz w:val="22"/>
          <w:szCs w:val="22"/>
        </w:rPr>
        <w:t xml:space="preserve">Tabla comparativa de goles totales entre FC Barcelona y Real Madrid, con resultado favorable al FC Barcelona.</w:t>
      </w:r>
    </w:p>
    <w:p>
      <w:pPr>
        <w:pStyle w:val="ListParagraph"/>
        <w:numPr>
          <w:ilvl w:val="0"/>
          <w:numId w:val="2"/>
        </w:numPr>
        <w:spacing w:after="60" w:before="60" w:line="280"/>
      </w:pPr>
      <w:r>
        <w:rPr>
          <w:rFonts w:ascii="Arial" w:cs="Arial" w:eastAsia="Arial" w:hAnsi="Arial"/>
          <w:color w:val="1A1A1A"/>
          <w:sz w:val="22"/>
          <w:szCs w:val="22"/>
        </w:rPr>
        <w:t xml:space="preserve">Probabilidades de victoria en casa: </w:t>
      </w:r>
    </w:p>
    <w:p>
      <w:pPr>
        <w:pStyle w:val="ListParagraph"/>
        <w:numPr>
          <w:ilvl w:val="1"/>
          <w:numId w:val="2"/>
        </w:numPr>
        <w:spacing w:after="40" w:before="40" w:line="260"/>
      </w:pPr>
      <w:r>
        <w:rPr>
          <w:rFonts w:ascii="Arial" w:cs="Arial" w:eastAsia="Arial" w:hAnsi="Arial"/>
          <w:color w:val="1A1A1A"/>
          <w:sz w:val="22"/>
          <w:szCs w:val="22"/>
        </w:rPr>
        <w:t xml:space="preserve">Visualización del porcentaje de victorias locales por equipo.</w:t>
      </w:r>
    </w:p>
    <w:p>
      <w:pPr>
        <w:pStyle w:val="ListParagraph"/>
        <w:numPr>
          <w:ilvl w:val="0"/>
          <w:numId w:val="2"/>
        </w:numPr>
        <w:spacing w:after="60" w:before="60" w:line="280"/>
      </w:pPr>
      <w:r>
        <w:rPr>
          <w:rFonts w:ascii="Arial" w:cs="Arial" w:eastAsia="Arial" w:hAnsi="Arial"/>
          <w:color w:val="1A1A1A"/>
          <w:sz w:val="22"/>
          <w:szCs w:val="22"/>
        </w:rPr>
        <w:t xml:space="preserve">Partidos en ciudades andaluzas: </w:t>
      </w:r>
    </w:p>
    <w:p>
      <w:pPr>
        <w:pStyle w:val="ListParagraph"/>
        <w:numPr>
          <w:ilvl w:val="1"/>
          <w:numId w:val="2"/>
        </w:numPr>
        <w:spacing w:after="40" w:before="40" w:line="260"/>
      </w:pPr>
      <w:r>
        <w:rPr>
          <w:rFonts w:ascii="Arial" w:cs="Arial" w:eastAsia="Arial" w:hAnsi="Arial"/>
          <w:color w:val="1A1A1A"/>
          <w:sz w:val="22"/>
          <w:szCs w:val="22"/>
        </w:rPr>
        <w:t xml:space="preserve">Gráfico circular que muestra el número de partidos jugados en cada ciudad de Andalucía.</w:t>
      </w:r>
    </w:p>
    <w:p>
      <w:pPr>
        <w:spacing w:after="0" w:before="160"/>
      </w:pPr>
      <w:r>
        <w:t xml:space="preserve"/>
      </w:r>
    </w:p>
    <w:p>
      <w:pPr>
        <w:pStyle w:val="Heading2"/>
        <w:spacing w:after="160" w:before="300"/>
      </w:pPr>
      <w:r>
        <w:rPr>
          <w:rFonts w:ascii="Arial" w:cs="Arial" w:eastAsia="Arial" w:hAnsi="Arial"/>
          <w:b/>
          <w:bCs/>
          <w:color w:val="2E75B6"/>
          <w:sz w:val="26"/>
          <w:szCs w:val="26"/>
        </w:rPr>
        <w:t xml:space="preserve">Página 3 — Análisis por Estadio</w:t>
      </w:r>
    </w:p>
    <w:p>
      <w:pPr>
        <w:spacing w:after="80" w:before="80" w:line="300"/>
        <w:jc w:val="both"/>
      </w:pPr>
      <w:r>
        <w:rPr>
          <w:rFonts w:ascii="Arial" w:cs="Arial" w:eastAsia="Arial" w:hAnsi="Arial"/>
          <w:color w:val="1A1A1A"/>
          <w:sz w:val="22"/>
          <w:szCs w:val="22"/>
        </w:rPr>
        <w:t xml:space="preserve">Esta página implementa un </w:t>
      </w:r>
      <w:r>
        <w:rPr>
          <w:rFonts w:ascii="Arial" w:cs="Arial" w:eastAsia="Arial" w:hAnsi="Arial"/>
          <w:b/>
          <w:bCs/>
          <w:color w:val="1A1A1A"/>
          <w:sz w:val="22"/>
          <w:szCs w:val="22"/>
        </w:rPr>
        <w:t xml:space="preserve">buscador por estadio</w:t>
      </w:r>
      <w:r>
        <w:rPr>
          <w:rFonts w:ascii="Arial" w:cs="Arial" w:eastAsia="Arial" w:hAnsi="Arial"/>
          <w:color w:val="1A1A1A"/>
          <w:sz w:val="22"/>
          <w:szCs w:val="22"/>
        </w:rPr>
        <w:t xml:space="preserve"> para explorar estadísticas concretas de cada recinto deportivo:</w:t>
      </w:r>
    </w:p>
    <w:p>
      <w:pPr>
        <w:spacing w:after="0" w:before="80"/>
      </w:pPr>
      <w:r>
        <w:t xml:space="preserve"/>
      </w:r>
    </w:p>
    <w:p>
      <w:pPr>
        <w:pStyle w:val="ListParagraph"/>
        <w:numPr>
          <w:ilvl w:val="0"/>
          <w:numId w:val="2"/>
        </w:numPr>
        <w:spacing w:after="60" w:before="60" w:line="280"/>
      </w:pPr>
      <w:r>
        <w:rPr>
          <w:rFonts w:ascii="Arial" w:cs="Arial" w:eastAsia="Arial" w:hAnsi="Arial"/>
          <w:color w:val="1A1A1A"/>
          <w:sz w:val="22"/>
          <w:szCs w:val="22"/>
        </w:rPr>
        <w:t xml:space="preserve">Número de encuentros y goles: </w:t>
      </w:r>
    </w:p>
    <w:p>
      <w:pPr>
        <w:pStyle w:val="ListParagraph"/>
        <w:numPr>
          <w:ilvl w:val="1"/>
          <w:numId w:val="2"/>
        </w:numPr>
        <w:spacing w:after="40" w:before="40" w:line="260"/>
      </w:pPr>
      <w:r>
        <w:rPr>
          <w:rFonts w:ascii="Arial" w:cs="Arial" w:eastAsia="Arial" w:hAnsi="Arial"/>
          <w:color w:val="1A1A1A"/>
          <w:sz w:val="22"/>
          <w:szCs w:val="22"/>
        </w:rPr>
        <w:t xml:space="preserve">Total de partidos disputados y goles marcados en el estadio seleccionado.</w:t>
      </w:r>
    </w:p>
    <w:p>
      <w:pPr>
        <w:pStyle w:val="ListParagraph"/>
        <w:numPr>
          <w:ilvl w:val="0"/>
          <w:numId w:val="2"/>
        </w:numPr>
        <w:spacing w:after="60" w:before="60" w:line="280"/>
      </w:pPr>
      <w:r>
        <w:rPr>
          <w:rFonts w:ascii="Arial" w:cs="Arial" w:eastAsia="Arial" w:hAnsi="Arial"/>
          <w:color w:val="1A1A1A"/>
          <w:sz w:val="22"/>
          <w:szCs w:val="22"/>
        </w:rPr>
        <w:t xml:space="preserve">Jornadas con más goles: </w:t>
      </w:r>
    </w:p>
    <w:p>
      <w:pPr>
        <w:pStyle w:val="ListParagraph"/>
        <w:numPr>
          <w:ilvl w:val="1"/>
          <w:numId w:val="2"/>
        </w:numPr>
        <w:spacing w:after="40" w:before="40" w:line="260"/>
      </w:pPr>
      <w:r>
        <w:rPr>
          <w:rFonts w:ascii="Arial" w:cs="Arial" w:eastAsia="Arial" w:hAnsi="Arial"/>
          <w:color w:val="1A1A1A"/>
          <w:sz w:val="22"/>
          <w:szCs w:val="22"/>
        </w:rPr>
        <w:t xml:space="preserve">Gráfico de barras ordenado de forma decreciente con los goles por jornada en ese campo a lo largo de toda la historia.</w:t>
      </w:r>
    </w:p>
    <w:p>
      <w:pPr>
        <w:pStyle w:val="ListParagraph"/>
        <w:numPr>
          <w:ilvl w:val="0"/>
          <w:numId w:val="2"/>
        </w:numPr>
        <w:spacing w:after="60" w:before="60" w:line="280"/>
      </w:pPr>
      <w:r>
        <w:rPr>
          <w:rFonts w:ascii="Arial" w:cs="Arial" w:eastAsia="Arial" w:hAnsi="Arial"/>
          <w:color w:val="1A1A1A"/>
          <w:sz w:val="22"/>
          <w:szCs w:val="22"/>
        </w:rPr>
        <w:t xml:space="preserve">Relación entre partidos y goles: </w:t>
      </w:r>
    </w:p>
    <w:p>
      <w:pPr>
        <w:pStyle w:val="ListParagraph"/>
        <w:numPr>
          <w:ilvl w:val="1"/>
          <w:numId w:val="2"/>
        </w:numPr>
        <w:spacing w:after="40" w:before="40" w:line="260"/>
      </w:pPr>
      <w:r>
        <w:rPr>
          <w:rFonts w:ascii="Arial" w:cs="Arial" w:eastAsia="Arial" w:hAnsi="Arial"/>
          <w:color w:val="1A1A1A"/>
          <w:sz w:val="22"/>
          <w:szCs w:val="22"/>
        </w:rPr>
        <w:t xml:space="preserve">Gráfico de dispersión para visualizar si la producción goleadora está por encima o por debajo del volumen de partidos jugados.</w:t>
      </w:r>
    </w:p>
    <w:p>
      <w:pPr>
        <w:spacing w:after="0" w:before="240"/>
      </w:pPr>
      <w:r>
        <w:t xml:space="preserve"/>
      </w:r>
    </w:p>
    <w:p>
      <w:pPr>
        <w:pBdr>
          <w:bottom w:val="single" w:color="2E75B6" w:sz="6" w:space="1"/>
        </w:pBdr>
        <w:spacing w:after="160" w:before="160"/>
      </w:pPr>
      <w:r>
        <w:t xml:space="preserve"/>
      </w:r>
    </w:p>
    <w:p>
      <w:pPr>
        <w:spacing w:after="0" w:before="200"/>
        <w:jc w:val="center"/>
      </w:pPr>
      <w:r>
        <w:rPr>
          <w:rFonts w:ascii="Arial" w:cs="Arial" w:eastAsia="Arial" w:hAnsi="Arial"/>
          <w:i/>
          <w:iCs/>
          <w:color w:val="888888"/>
          <w:sz w:val="18"/>
          <w:szCs w:val="18"/>
        </w:rPr>
        <w:t xml:space="preserve">Grupo 1  —  Almacenes de Datos 2025/2026</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Memoria Proyecto B  —  Almacenes de Datos</w:t>
    </w:r>
    <w:r>
      <w:rPr>
        <w:rFonts w:ascii="Arial" w:cs="Arial" w:eastAsia="Arial" w:hAnsi="Arial"/>
        <w:color w:val="888888"/>
        <w:sz w:val="18"/>
        <w:szCs w:val="18"/>
      </w:rPr>
      <w:t xml:space="preserve">  |  Grupo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2026-05-30T22:47:33.307Z</dcterms:created>
  <dcterms:modified xsi:type="dcterms:W3CDTF">2026-05-30T22:47:33.307Z</dcterms:modified>
</cp:coreProperties>
</file>

<file path=docProps/custom.xml><?xml version="1.0" encoding="utf-8"?>
<Properties xmlns="http://schemas.openxmlformats.org/officeDocument/2006/custom-properties" xmlns:vt="http://schemas.openxmlformats.org/officeDocument/2006/docPropsVTypes"/>
</file>