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80"/>
        <w:jc w:val="center"/>
      </w:pPr>
      <w:r>
        <w:rPr>
          <w:rFonts w:ascii="Arial" w:cs="Arial" w:eastAsia="Arial" w:hAnsi="Arial"/>
          <w:b/>
          <w:bCs/>
          <w:color w:val="13324B"/>
          <w:sz w:val="56"/>
          <w:szCs w:val="56"/>
        </w:rPr>
        <w:t xml:space="preserve">Unified Operational Intelligence</w:t>
      </w:r>
    </w:p>
    <w:p>
      <w:pPr>
        <w:spacing w:after="240"/>
        <w:jc w:val="center"/>
      </w:pPr>
      <w:r>
        <w:rPr>
          <w:rFonts w:ascii="Arial" w:cs="Arial" w:eastAsia="Arial" w:hAnsi="Arial"/>
          <w:color w:val="0F6CBD"/>
          <w:sz w:val="28"/>
          <w:szCs w:val="28"/>
        </w:rPr>
        <w:t xml:space="preserve">Azure Portal Demonstration — Step-by-Step Walkthrough</w:t>
      </w:r>
    </w:p>
    <w:p>
      <w:pPr>
        <w:spacing w:after="400"/>
        <w:jc w:val="center"/>
      </w:pPr>
      <w:r>
        <w:rPr>
          <w:rFonts w:ascii="Arial" w:cs="Arial" w:eastAsia="Arial" w:hAnsi="Arial"/>
          <w:i/>
          <w:iCs/>
          <w:color w:val="505050"/>
          <w:sz w:val="20"/>
          <w:szCs w:val="20"/>
        </w:rPr>
        <w:t xml:space="preserve">Every screenshot in this document is a live capture of the Azure Portal</w:t>
      </w:r>
      <w:r>
        <w:br/>
        <w:t xml:space="preserve"/>
      </w:r>
      <w:r>
        <w:rPr>
          <w:rFonts w:ascii="Arial" w:cs="Arial" w:eastAsia="Arial" w:hAnsi="Arial"/>
          <w:i/>
          <w:iCs/>
          <w:color w:val="505050"/>
          <w:sz w:val="20"/>
          <w:szCs w:val="20"/>
        </w:rPr>
        <w:t xml:space="preserve">rendering the deployed estate in resource group rg-uoi-iaas.</w:t>
      </w:r>
    </w:p>
    <w:tbl>
      <w:tblPr>
        <w:tblW w:type="pct" w:w="100%"/>
        <w:tblBorders>
          <w:top w:val="single" w:color="FFF4CE" w:sz="2"/>
          <w:left w:val="single" w:color="0F6CBD" w:sz="18"/>
          <w:bottom w:val="single" w:color="FFF4CE" w:sz="2"/>
          <w:right w:val="single" w:color="FFF4CE" w:sz="2"/>
          <w:insideH w:val="none" w:color="FFFFFF" w:sz="0"/>
          <w:insideV w:val="none" w:color="FFFFFF" w:sz="0"/>
        </w:tblBorders>
      </w:tblPr>
      <w:tblGrid>
        <w:gridCol w:w="9360"/>
      </w:tblGrid>
      <w:tr>
        <w:tc>
          <w:tcPr>
            <w:tcW w:type="dxa" w:w="9360"/>
            <w:shd w:fill="FFF4CE" w:color="auto" w:val="clear"/>
            <w:tcMar>
              <w:top w:type="dxa" w:w="140"/>
              <w:left w:type="dxa" w:w="180"/>
              <w:bottom w:type="dxa" w:w="140"/>
              <w:right w:type="dxa" w:w="180"/>
            </w:tcMar>
          </w:tcPr>
          <w:p>
            <w:pPr>
              <w:spacing w:after="60"/>
            </w:pPr>
            <w:r>
              <w:rPr>
                <w:rFonts w:ascii="Arial" w:cs="Arial" w:eastAsia="Arial" w:hAnsi="Arial"/>
                <w:b/>
                <w:bCs/>
                <w:color w:val="13324B"/>
                <w:sz w:val="20"/>
                <w:szCs w:val="20"/>
              </w:rPr>
              <w:t xml:space="preserve">MANDATORY LABELLING — STATE THIS UP FRONT</w:t>
            </w:r>
          </w:p>
          <w:p>
            <w:pPr>
              <w:spacing w:after="40" w:line="264"/>
            </w:pPr>
            <w:r>
              <w:rPr>
                <w:rFonts w:ascii="Arial" w:cs="Arial" w:eastAsia="Arial" w:hAnsi="Arial"/>
                <w:b/>
                <w:bCs/>
                <w:sz w:val="20"/>
                <w:szCs w:val="20"/>
              </w:rPr>
              <w:t xml:space="preserve">Synthetic Demo Data. </w:t>
            </w:r>
            <w:r>
              <w:rPr>
                <w:rFonts w:ascii="Arial" w:cs="Arial" w:eastAsia="Arial" w:hAnsi="Arial"/>
                <w:sz w:val="20"/>
                <w:szCs w:val="20"/>
              </w:rPr>
              <w:t xml:space="preserve">The business, incident and financial layer in this demonstration is generated. Every generated record carries an </w:t>
            </w:r>
            <w:r>
              <w:rPr>
                <w:rFonts w:ascii="Consolas" w:cs="Consolas" w:eastAsia="Consolas" w:hAnsi="Consolas"/>
                <w:sz w:val="19"/>
                <w:szCs w:val="19"/>
              </w:rPr>
              <w:t xml:space="preserve">IsSynthetic</w:t>
            </w:r>
            <w:r>
              <w:rPr>
                <w:rFonts w:ascii="Arial" w:cs="Arial" w:eastAsia="Arial" w:hAnsi="Arial"/>
                <w:sz w:val="20"/>
                <w:szCs w:val="20"/>
              </w:rPr>
              <w:t xml:space="preserve"> flag in the data itself.</w:t>
            </w:r>
          </w:p>
          <w:p>
            <w:pPr>
              <w:spacing w:after="40" w:line="264"/>
            </w:pPr>
            <w:r>
              <w:rPr>
                <w:rFonts w:ascii="Arial" w:cs="Arial" w:eastAsia="Arial" w:hAnsi="Arial"/>
                <w:b/>
                <w:bCs/>
                <w:sz w:val="20"/>
                <w:szCs w:val="20"/>
              </w:rPr>
              <w:t xml:space="preserve">Illustrative Sample Data, not a customer estimate. </w:t>
            </w:r>
            <w:r>
              <w:rPr>
                <w:rFonts w:ascii="Arial" w:cs="Arial" w:eastAsia="Arial" w:hAnsi="Arial"/>
                <w:sz w:val="20"/>
                <w:szCs w:val="20"/>
              </w:rPr>
              <w:t xml:space="preserve">All revenue, cost and tool-spend figures are illustrative and must not be presented as a customer-specific projection.</w:t>
            </w:r>
          </w:p>
          <w:p>
            <w:pPr>
              <w:spacing w:after="40" w:line="264"/>
            </w:pPr>
            <w:r>
              <w:rPr>
                <w:rFonts w:ascii="Arial" w:cs="Arial" w:eastAsia="Arial" w:hAnsi="Arial"/>
                <w:b/>
                <w:bCs/>
                <w:sz w:val="20"/>
                <w:szCs w:val="20"/>
              </w:rPr>
              <w:t xml:space="preserve">No autonomous remediation. </w:t>
            </w:r>
            <w:r>
              <w:rPr>
                <w:rFonts w:ascii="Arial" w:cs="Arial" w:eastAsia="Arial" w:hAnsi="Arial"/>
                <w:sz w:val="20"/>
                <w:szCs w:val="20"/>
              </w:rPr>
              <w:t xml:space="preserve">Nothing in this demonstration changes a system without an explicit human approval decision.</w:t>
            </w:r>
          </w:p>
        </w:tc>
      </w:tr>
    </w:tbl>
    <w:p>
      <w:r>
        <w:br w:type="page"/>
      </w:r>
    </w:p>
    <w:p>
      <w:pPr>
        <w:pStyle w:val="Heading1"/>
        <w:pBdr>
          <w:bottom w:val="single" w:color="0F6CBD" w:sz="10" w:space="6"/>
        </w:pBdr>
        <w:spacing w:after="160" w:before="360"/>
        <w:outlineLvl w:val="0"/>
      </w:pPr>
      <w:r>
        <w:rPr>
          <w:rFonts w:ascii="Arial" w:cs="Arial" w:eastAsia="Arial" w:hAnsi="Arial"/>
          <w:b/>
          <w:bCs/>
          <w:color w:val="13324B"/>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F6CBD" w:sz="10" w:space="6"/>
        </w:pBdr>
        <w:spacing w:after="160" w:before="360"/>
        <w:outlineLvl w:val="0"/>
      </w:pPr>
      <w:r>
        <w:rPr>
          <w:rFonts w:ascii="Arial" w:cs="Arial" w:eastAsia="Arial" w:hAnsi="Arial"/>
          <w:b/>
          <w:bCs/>
          <w:color w:val="13324B"/>
          <w:sz w:val="30"/>
          <w:szCs w:val="30"/>
        </w:rPr>
        <w:t xml:space="preserve">How to use this document</w:t>
      </w:r>
    </w:p>
    <w:p>
      <w:pPr>
        <w:spacing w:after="140" w:line="276"/>
      </w:pPr>
      <w:r>
        <w:rPr>
          <w:rFonts w:ascii="Arial" w:cs="Arial" w:eastAsia="Arial" w:hAnsi="Arial"/>
          <w:sz w:val="21"/>
          <w:szCs w:val="21"/>
        </w:rPr>
        <w:t xml:space="preserve">This is a presenter walkthrough. Each step tells you exactly where to click in the Azure Portal, shows you what you should see when you get there, and gives you the line to say.</w:t>
      </w:r>
    </w:p>
    <w:p>
      <w:pPr>
        <w:spacing w:after="140" w:line="276"/>
      </w:pPr>
      <w:r>
        <w:rPr>
          <w:rFonts w:ascii="Arial" w:cs="Arial" w:eastAsia="Arial" w:hAnsi="Arial"/>
          <w:sz w:val="21"/>
          <w:szCs w:val="21"/>
        </w:rPr>
        <w:t xml:space="preserve">The demonstration runs for roughly 30 minutes with discussion. It has five surfaces, in this order:</w:t>
      </w:r>
    </w:p>
    <w:p>
      <w:pPr>
        <w:spacing w:after="120"/>
      </w:pPr>
    </w:p>
    <w:tbl>
      <w:tblPr>
        <w:tblW w:type="pct" w:w="100%"/>
        <w:tblBorders>
          <w:top w:val="single" w:color="D1D1D1" w:sz="2"/>
          <w:left w:val="single" w:color="D1D1D1" w:sz="2"/>
          <w:bottom w:val="single" w:color="D1D1D1" w:sz="2"/>
          <w:right w:val="single" w:color="D1D1D1" w:sz="2"/>
          <w:insideH w:val="single" w:color="D1D1D1" w:sz="2"/>
          <w:insideV w:val="single" w:color="D1D1D1" w:sz="2"/>
        </w:tblBorders>
      </w:tblPr>
      <w:tblGrid>
        <w:gridCol w:w="700"/>
        <w:gridCol w:w="2500"/>
        <w:gridCol w:w="4660"/>
        <w:gridCol w:w="1500"/>
      </w:tblGrid>
      <w:tr>
        <w:trPr>
          <w:tblHeader/>
        </w:trPr>
        <w:tc>
          <w:tcPr>
            <w:tcW w:type="dxa" w:w="700"/>
            <w:shd w:fill="0F6CBD"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w:t>
            </w:r>
          </w:p>
        </w:tc>
        <w:tc>
          <w:tcPr>
            <w:tcW w:type="dxa" w:w="2500"/>
            <w:shd w:fill="0F6CBD"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Surface</w:t>
            </w:r>
          </w:p>
        </w:tc>
        <w:tc>
          <w:tcPr>
            <w:tcW w:type="dxa" w:w="4660"/>
            <w:shd w:fill="0F6CBD"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What it proves</w:t>
            </w:r>
          </w:p>
        </w:tc>
        <w:tc>
          <w:tcPr>
            <w:tcW w:type="dxa" w:w="1500"/>
            <w:shd w:fill="0F6CBD"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Time</w:t>
            </w:r>
          </w:p>
        </w:tc>
      </w:tr>
      <w:tr>
        <w:tc>
          <w:tcPr>
            <w:tcW w:type="dxa" w:w="700"/>
            <w:shd w:fill="FFFFFF" w:color="auto" w:val="clear"/>
            <w:tcMar>
              <w:top w:type="dxa" w:w="90"/>
              <w:left w:type="dxa" w:w="120"/>
              <w:bottom w:type="dxa" w:w="90"/>
              <w:right w:type="dxa" w:w="120"/>
            </w:tcMar>
          </w:tcPr>
          <w:p>
            <w:pPr>
              <w:spacing w:after="0" w:line="260"/>
            </w:pPr>
            <w:r>
              <w:rPr>
                <w:rFonts w:ascii="Arial" w:cs="Arial" w:eastAsia="Arial" w:hAnsi="Arial"/>
                <w:sz w:val="19"/>
                <w:szCs w:val="19"/>
              </w:rPr>
              <w:t xml:space="preserve">1</w:t>
            </w:r>
          </w:p>
        </w:tc>
        <w:tc>
          <w:tcPr>
            <w:tcW w:type="dxa" w:w="2500"/>
            <w:shd w:fill="FFFFFF" w:color="auto" w:val="clear"/>
            <w:tcMar>
              <w:top w:type="dxa" w:w="90"/>
              <w:left w:type="dxa" w:w="120"/>
              <w:bottom w:type="dxa" w:w="90"/>
              <w:right w:type="dxa" w:w="120"/>
            </w:tcMar>
          </w:tcPr>
          <w:p>
            <w:pPr>
              <w:spacing w:after="0" w:line="260"/>
            </w:pPr>
            <w:r>
              <w:rPr>
                <w:rFonts w:ascii="Arial" w:cs="Arial" w:eastAsia="Arial" w:hAnsi="Arial"/>
                <w:sz w:val="19"/>
                <w:szCs w:val="19"/>
              </w:rPr>
              <w:t xml:space="preserve">Azure Dashboard</w:t>
            </w:r>
          </w:p>
        </w:tc>
        <w:tc>
          <w:tcPr>
            <w:tcW w:type="dxa" w:w="4660"/>
            <w:shd w:fill="FFFFFF" w:color="auto" w:val="clear"/>
            <w:tcMar>
              <w:top w:type="dxa" w:w="90"/>
              <w:left w:type="dxa" w:w="120"/>
              <w:bottom w:type="dxa" w:w="90"/>
              <w:right w:type="dxa" w:w="120"/>
            </w:tcMar>
          </w:tcPr>
          <w:p>
            <w:pPr>
              <w:spacing w:after="0" w:line="260"/>
            </w:pPr>
            <w:r>
              <w:rPr>
                <w:rFonts w:ascii="Arial" w:cs="Arial" w:eastAsia="Arial" w:hAnsi="Arial"/>
                <w:sz w:val="19"/>
                <w:szCs w:val="19"/>
              </w:rPr>
              <w:t xml:space="preserve">This is native Azure Monitor — no custom application</w:t>
            </w:r>
          </w:p>
        </w:tc>
        <w:tc>
          <w:tcPr>
            <w:tcW w:type="dxa" w:w="1500"/>
            <w:shd w:fill="FFFFFF" w:color="auto" w:val="clear"/>
            <w:tcMar>
              <w:top w:type="dxa" w:w="90"/>
              <w:left w:type="dxa" w:w="120"/>
              <w:bottom w:type="dxa" w:w="90"/>
              <w:right w:type="dxa" w:w="120"/>
            </w:tcMar>
          </w:tcPr>
          <w:p>
            <w:pPr>
              <w:spacing w:after="0" w:line="260"/>
            </w:pPr>
            <w:r>
              <w:rPr>
                <w:rFonts w:ascii="Arial" w:cs="Arial" w:eastAsia="Arial" w:hAnsi="Arial"/>
                <w:sz w:val="19"/>
                <w:szCs w:val="19"/>
              </w:rPr>
              <w:t xml:space="preserve">2 min</w:t>
            </w:r>
          </w:p>
        </w:tc>
      </w:tr>
      <w:tr>
        <w:tc>
          <w:tcPr>
            <w:tcW w:type="dxa" w:w="700"/>
            <w:shd w:fill="F7F9FB" w:color="auto" w:val="clear"/>
            <w:tcMar>
              <w:top w:type="dxa" w:w="90"/>
              <w:left w:type="dxa" w:w="120"/>
              <w:bottom w:type="dxa" w:w="90"/>
              <w:right w:type="dxa" w:w="120"/>
            </w:tcMar>
          </w:tcPr>
          <w:p>
            <w:pPr>
              <w:spacing w:after="0" w:line="260"/>
            </w:pPr>
            <w:r>
              <w:rPr>
                <w:rFonts w:ascii="Arial" w:cs="Arial" w:eastAsia="Arial" w:hAnsi="Arial"/>
                <w:sz w:val="19"/>
                <w:szCs w:val="19"/>
              </w:rPr>
              <w:t xml:space="preserve">2</w:t>
            </w:r>
          </w:p>
        </w:tc>
        <w:tc>
          <w:tcPr>
            <w:tcW w:type="dxa" w:w="2500"/>
            <w:shd w:fill="F7F9FB" w:color="auto" w:val="clear"/>
            <w:tcMar>
              <w:top w:type="dxa" w:w="90"/>
              <w:left w:type="dxa" w:w="120"/>
              <w:bottom w:type="dxa" w:w="90"/>
              <w:right w:type="dxa" w:w="120"/>
            </w:tcMar>
          </w:tcPr>
          <w:p>
            <w:pPr>
              <w:spacing w:after="0" w:line="260"/>
            </w:pPr>
            <w:r>
              <w:rPr>
                <w:rFonts w:ascii="Arial" w:cs="Arial" w:eastAsia="Arial" w:hAnsi="Arial"/>
                <w:sz w:val="19"/>
                <w:szCs w:val="19"/>
              </w:rPr>
              <w:t xml:space="preserve">Azure Workbook (5 tabs)</w:t>
            </w:r>
          </w:p>
        </w:tc>
        <w:tc>
          <w:tcPr>
            <w:tcW w:type="dxa" w:w="4660"/>
            <w:shd w:fill="F7F9FB" w:color="auto" w:val="clear"/>
            <w:tcMar>
              <w:top w:type="dxa" w:w="90"/>
              <w:left w:type="dxa" w:w="120"/>
              <w:bottom w:type="dxa" w:w="90"/>
              <w:right w:type="dxa" w:w="120"/>
            </w:tcMar>
          </w:tcPr>
          <w:p>
            <w:pPr>
              <w:spacing w:after="0" w:line="260"/>
            </w:pPr>
            <w:r>
              <w:rPr>
                <w:rFonts w:ascii="Arial" w:cs="Arial" w:eastAsia="Arial" w:hAnsi="Arial"/>
                <w:sz w:val="19"/>
                <w:szCs w:val="19"/>
              </w:rPr>
              <w:t xml:space="preserve">Correlation, business impact, spend, evidence</w:t>
            </w:r>
          </w:p>
        </w:tc>
        <w:tc>
          <w:tcPr>
            <w:tcW w:type="dxa" w:w="1500"/>
            <w:shd w:fill="F7F9FB" w:color="auto" w:val="clear"/>
            <w:tcMar>
              <w:top w:type="dxa" w:w="90"/>
              <w:left w:type="dxa" w:w="120"/>
              <w:bottom w:type="dxa" w:w="90"/>
              <w:right w:type="dxa" w:w="120"/>
            </w:tcMar>
          </w:tcPr>
          <w:p>
            <w:pPr>
              <w:spacing w:after="0" w:line="260"/>
            </w:pPr>
            <w:r>
              <w:rPr>
                <w:rFonts w:ascii="Arial" w:cs="Arial" w:eastAsia="Arial" w:hAnsi="Arial"/>
                <w:sz w:val="19"/>
                <w:szCs w:val="19"/>
              </w:rPr>
              <w:t xml:space="preserve">10–12 min</w:t>
            </w:r>
          </w:p>
        </w:tc>
      </w:tr>
      <w:tr>
        <w:tc>
          <w:tcPr>
            <w:tcW w:type="dxa" w:w="700"/>
            <w:shd w:fill="FFFFFF" w:color="auto" w:val="clear"/>
            <w:tcMar>
              <w:top w:type="dxa" w:w="90"/>
              <w:left w:type="dxa" w:w="120"/>
              <w:bottom w:type="dxa" w:w="90"/>
              <w:right w:type="dxa" w:w="120"/>
            </w:tcMar>
          </w:tcPr>
          <w:p>
            <w:pPr>
              <w:spacing w:after="0" w:line="260"/>
            </w:pPr>
            <w:r>
              <w:rPr>
                <w:rFonts w:ascii="Arial" w:cs="Arial" w:eastAsia="Arial" w:hAnsi="Arial"/>
                <w:sz w:val="19"/>
                <w:szCs w:val="19"/>
              </w:rPr>
              <w:t xml:space="preserve">3</w:t>
            </w:r>
          </w:p>
        </w:tc>
        <w:tc>
          <w:tcPr>
            <w:tcW w:type="dxa" w:w="2500"/>
            <w:shd w:fill="FFFFFF" w:color="auto" w:val="clear"/>
            <w:tcMar>
              <w:top w:type="dxa" w:w="90"/>
              <w:left w:type="dxa" w:w="120"/>
              <w:bottom w:type="dxa" w:w="90"/>
              <w:right w:type="dxa" w:w="120"/>
            </w:tcMar>
          </w:tcPr>
          <w:p>
            <w:pPr>
              <w:spacing w:after="0" w:line="260"/>
            </w:pPr>
            <w:r>
              <w:rPr>
                <w:rFonts w:ascii="Arial" w:cs="Arial" w:eastAsia="Arial" w:hAnsi="Arial"/>
                <w:sz w:val="19"/>
                <w:szCs w:val="19"/>
              </w:rPr>
              <w:t xml:space="preserve">VM Insights → Alerts → Logs</w:t>
            </w:r>
          </w:p>
        </w:tc>
        <w:tc>
          <w:tcPr>
            <w:tcW w:type="dxa" w:w="4660"/>
            <w:shd w:fill="FFFFFF" w:color="auto" w:val="clear"/>
            <w:tcMar>
              <w:top w:type="dxa" w:w="90"/>
              <w:left w:type="dxa" w:w="120"/>
              <w:bottom w:type="dxa" w:w="90"/>
              <w:right w:type="dxa" w:w="120"/>
            </w:tcMar>
          </w:tcPr>
          <w:p>
            <w:pPr>
              <w:spacing w:after="0" w:line="260"/>
            </w:pPr>
            <w:r>
              <w:rPr>
                <w:rFonts w:ascii="Arial" w:cs="Arial" w:eastAsia="Arial" w:hAnsi="Arial"/>
                <w:sz w:val="19"/>
                <w:szCs w:val="19"/>
              </w:rPr>
              <w:t xml:space="preserve">The data is real and can be interrogated live</w:t>
            </w:r>
          </w:p>
        </w:tc>
        <w:tc>
          <w:tcPr>
            <w:tcW w:type="dxa" w:w="1500"/>
            <w:shd w:fill="FFFFFF" w:color="auto" w:val="clear"/>
            <w:tcMar>
              <w:top w:type="dxa" w:w="90"/>
              <w:left w:type="dxa" w:w="120"/>
              <w:bottom w:type="dxa" w:w="90"/>
              <w:right w:type="dxa" w:w="120"/>
            </w:tcMar>
          </w:tcPr>
          <w:p>
            <w:pPr>
              <w:spacing w:after="0" w:line="260"/>
            </w:pPr>
            <w:r>
              <w:rPr>
                <w:rFonts w:ascii="Arial" w:cs="Arial" w:eastAsia="Arial" w:hAnsi="Arial"/>
                <w:sz w:val="19"/>
                <w:szCs w:val="19"/>
              </w:rPr>
              <w:t xml:space="preserve">5 min</w:t>
            </w:r>
          </w:p>
        </w:tc>
      </w:tr>
      <w:tr>
        <w:tc>
          <w:tcPr>
            <w:tcW w:type="dxa" w:w="700"/>
            <w:shd w:fill="F7F9FB" w:color="auto" w:val="clear"/>
            <w:tcMar>
              <w:top w:type="dxa" w:w="90"/>
              <w:left w:type="dxa" w:w="120"/>
              <w:bottom w:type="dxa" w:w="90"/>
              <w:right w:type="dxa" w:w="120"/>
            </w:tcMar>
          </w:tcPr>
          <w:p>
            <w:pPr>
              <w:spacing w:after="0" w:line="260"/>
            </w:pPr>
            <w:r>
              <w:rPr>
                <w:rFonts w:ascii="Arial" w:cs="Arial" w:eastAsia="Arial" w:hAnsi="Arial"/>
                <w:sz w:val="19"/>
                <w:szCs w:val="19"/>
              </w:rPr>
              <w:t xml:space="preserve">4</w:t>
            </w:r>
          </w:p>
        </w:tc>
        <w:tc>
          <w:tcPr>
            <w:tcW w:type="dxa" w:w="2500"/>
            <w:shd w:fill="F7F9FB" w:color="auto" w:val="clear"/>
            <w:tcMar>
              <w:top w:type="dxa" w:w="90"/>
              <w:left w:type="dxa" w:w="120"/>
              <w:bottom w:type="dxa" w:w="90"/>
              <w:right w:type="dxa" w:w="120"/>
            </w:tcMar>
          </w:tcPr>
          <w:p>
            <w:pPr>
              <w:spacing w:after="0" w:line="260"/>
            </w:pPr>
            <w:r>
              <w:rPr>
                <w:rFonts w:ascii="Arial" w:cs="Arial" w:eastAsia="Arial" w:hAnsi="Arial"/>
                <w:sz w:val="19"/>
                <w:szCs w:val="19"/>
              </w:rPr>
              <w:t xml:space="preserve">Observability agent</w:t>
            </w:r>
          </w:p>
        </w:tc>
        <w:tc>
          <w:tcPr>
            <w:tcW w:type="dxa" w:w="4660"/>
            <w:shd w:fill="F7F9FB" w:color="auto" w:val="clear"/>
            <w:tcMar>
              <w:top w:type="dxa" w:w="90"/>
              <w:left w:type="dxa" w:w="120"/>
              <w:bottom w:type="dxa" w:w="90"/>
              <w:right w:type="dxa" w:w="120"/>
            </w:tcMar>
          </w:tcPr>
          <w:p>
            <w:pPr>
              <w:spacing w:after="0" w:line="260"/>
            </w:pPr>
            <w:r>
              <w:rPr>
                <w:rFonts w:ascii="Arial" w:cs="Arial" w:eastAsia="Arial" w:hAnsi="Arial"/>
                <w:sz w:val="19"/>
                <w:szCs w:val="19"/>
              </w:rPr>
              <w:t xml:space="preserve">The AI layer is native too — nothing deployed</w:t>
            </w:r>
          </w:p>
        </w:tc>
        <w:tc>
          <w:tcPr>
            <w:tcW w:type="dxa" w:w="1500"/>
            <w:shd w:fill="F7F9FB" w:color="auto" w:val="clear"/>
            <w:tcMar>
              <w:top w:type="dxa" w:w="90"/>
              <w:left w:type="dxa" w:w="120"/>
              <w:bottom w:type="dxa" w:w="90"/>
              <w:right w:type="dxa" w:w="120"/>
            </w:tcMar>
          </w:tcPr>
          <w:p>
            <w:pPr>
              <w:spacing w:after="0" w:line="260"/>
            </w:pPr>
            <w:r>
              <w:rPr>
                <w:rFonts w:ascii="Arial" w:cs="Arial" w:eastAsia="Arial" w:hAnsi="Arial"/>
                <w:sz w:val="19"/>
                <w:szCs w:val="19"/>
              </w:rPr>
              <w:t xml:space="preserve">4 min</w:t>
            </w:r>
          </w:p>
        </w:tc>
      </w:tr>
      <w:tr>
        <w:tc>
          <w:tcPr>
            <w:tcW w:type="dxa" w:w="700"/>
            <w:shd w:fill="FFFFFF" w:color="auto" w:val="clear"/>
            <w:tcMar>
              <w:top w:type="dxa" w:w="90"/>
              <w:left w:type="dxa" w:w="120"/>
              <w:bottom w:type="dxa" w:w="90"/>
              <w:right w:type="dxa" w:w="120"/>
            </w:tcMar>
          </w:tcPr>
          <w:p>
            <w:pPr>
              <w:spacing w:after="0" w:line="260"/>
            </w:pPr>
            <w:r>
              <w:rPr>
                <w:rFonts w:ascii="Arial" w:cs="Arial" w:eastAsia="Arial" w:hAnsi="Arial"/>
                <w:sz w:val="19"/>
                <w:szCs w:val="19"/>
              </w:rPr>
              <w:t xml:space="preserve">5</w:t>
            </w:r>
          </w:p>
        </w:tc>
        <w:tc>
          <w:tcPr>
            <w:tcW w:type="dxa" w:w="2500"/>
            <w:shd w:fill="FFFFFF" w:color="auto" w:val="clear"/>
            <w:tcMar>
              <w:top w:type="dxa" w:w="90"/>
              <w:left w:type="dxa" w:w="120"/>
              <w:bottom w:type="dxa" w:w="90"/>
              <w:right w:type="dxa" w:w="120"/>
            </w:tcMar>
          </w:tcPr>
          <w:p>
            <w:pPr>
              <w:spacing w:after="0" w:line="260"/>
            </w:pPr>
            <w:r>
              <w:rPr>
                <w:rFonts w:ascii="Arial" w:cs="Arial" w:eastAsia="Arial" w:hAnsi="Arial"/>
                <w:sz w:val="19"/>
                <w:szCs w:val="19"/>
              </w:rPr>
              <w:t xml:space="preserve">Automation runbook</w:t>
            </w:r>
          </w:p>
        </w:tc>
        <w:tc>
          <w:tcPr>
            <w:tcW w:type="dxa" w:w="4660"/>
            <w:shd w:fill="FFFFFF" w:color="auto" w:val="clear"/>
            <w:tcMar>
              <w:top w:type="dxa" w:w="90"/>
              <w:left w:type="dxa" w:w="120"/>
              <w:bottom w:type="dxa" w:w="90"/>
              <w:right w:type="dxa" w:w="120"/>
            </w:tcMar>
          </w:tcPr>
          <w:p>
            <w:pPr>
              <w:spacing w:after="0" w:line="260"/>
            </w:pPr>
            <w:r>
              <w:rPr>
                <w:rFonts w:ascii="Arial" w:cs="Arial" w:eastAsia="Arial" w:hAnsi="Arial"/>
                <w:sz w:val="19"/>
                <w:szCs w:val="19"/>
              </w:rPr>
              <w:t xml:space="preserve">A human approves. Approvals and refusals are audited</w:t>
            </w:r>
          </w:p>
        </w:tc>
        <w:tc>
          <w:tcPr>
            <w:tcW w:type="dxa" w:w="1500"/>
            <w:shd w:fill="FFFFFF" w:color="auto" w:val="clear"/>
            <w:tcMar>
              <w:top w:type="dxa" w:w="90"/>
              <w:left w:type="dxa" w:w="120"/>
              <w:bottom w:type="dxa" w:w="90"/>
              <w:right w:type="dxa" w:w="120"/>
            </w:tcMar>
          </w:tcPr>
          <w:p>
            <w:pPr>
              <w:spacing w:after="0" w:line="260"/>
            </w:pPr>
            <w:r>
              <w:rPr>
                <w:rFonts w:ascii="Arial" w:cs="Arial" w:eastAsia="Arial" w:hAnsi="Arial"/>
                <w:sz w:val="19"/>
                <w:szCs w:val="19"/>
              </w:rPr>
              <w:t xml:space="preserve">5 min</w:t>
            </w:r>
          </w:p>
        </w:tc>
      </w:tr>
    </w:tbl>
    <w:p>
      <w:pPr>
        <w:spacing w:after="200"/>
      </w:pPr>
    </w:p>
    <w:tbl>
      <w:tblPr>
        <w:tblW w:type="pct" w:w="100%"/>
        <w:tblBorders>
          <w:top w:val="single" w:color="E7F6EC" w:sz="2"/>
          <w:left w:val="single" w:color="0F6CBD" w:sz="18"/>
          <w:bottom w:val="single" w:color="E7F6EC" w:sz="2"/>
          <w:right w:val="single" w:color="E7F6EC" w:sz="2"/>
          <w:insideH w:val="none" w:color="FFFFFF" w:sz="0"/>
          <w:insideV w:val="none" w:color="FFFFFF" w:sz="0"/>
        </w:tblBorders>
      </w:tblPr>
      <w:tblGrid>
        <w:gridCol w:w="9360"/>
      </w:tblGrid>
      <w:tr>
        <w:tc>
          <w:tcPr>
            <w:tcW w:type="dxa" w:w="9360"/>
            <w:shd w:fill="E7F6EC" w:color="auto" w:val="clear"/>
            <w:tcMar>
              <w:top w:type="dxa" w:w="140"/>
              <w:left w:type="dxa" w:w="180"/>
              <w:bottom w:type="dxa" w:w="140"/>
              <w:right w:type="dxa" w:w="180"/>
            </w:tcMar>
          </w:tcPr>
          <w:p>
            <w:pPr>
              <w:spacing w:after="60"/>
            </w:pPr>
            <w:r>
              <w:rPr>
                <w:rFonts w:ascii="Arial" w:cs="Arial" w:eastAsia="Arial" w:hAnsi="Arial"/>
                <w:b/>
                <w:bCs/>
                <w:color w:val="13324B"/>
                <w:sz w:val="20"/>
                <w:szCs w:val="20"/>
              </w:rPr>
              <w:t xml:space="preserve">THE ONE SENTENCE THAT MATTERS</w:t>
            </w:r>
          </w:p>
          <w:p>
            <w:pPr>
              <w:spacing w:after="40" w:line="264"/>
            </w:pPr>
            <w:r>
              <w:rPr>
                <w:rFonts w:ascii="Arial" w:cs="Arial" w:eastAsia="Arial" w:hAnsi="Arial"/>
                <w:b/>
                <w:bCs/>
                <w:sz w:val="24"/>
                <w:szCs w:val="24"/>
              </w:rPr>
              <w:t xml:space="preserve">150 related alerts correlated into 1 actionable incident.</w:t>
            </w:r>
          </w:p>
        </w:tc>
      </w:tr>
    </w:tbl>
    <w:p>
      <w:pPr>
        <w:spacing w:after="120"/>
      </w:pPr>
    </w:p>
    <w:p>
      <w:pPr>
        <w:spacing w:after="140" w:line="276"/>
      </w:pPr>
      <w:r>
        <w:rPr>
          <w:rFonts w:ascii="Arial" w:cs="Arial" w:eastAsia="Arial" w:hAnsi="Arial"/>
          <w:b w:val="false"/>
          <w:bCs w:val="false"/>
          <w:sz w:val="21"/>
          <w:szCs w:val="21"/>
        </w:rPr>
        <w:t xml:space="preserve">Say it exactly that way. Do </w:t>
      </w:r>
      <w:r>
        <w:rPr>
          <w:rFonts w:ascii="Arial" w:cs="Arial" w:eastAsia="Arial" w:hAnsi="Arial"/>
          <w:b/>
          <w:bCs/>
          <w:sz w:val="21"/>
          <w:szCs w:val="21"/>
        </w:rPr>
        <w:t xml:space="preserve">not</w:t>
      </w:r>
      <w:r>
        <w:rPr>
          <w:rFonts w:ascii="Arial" w:cs="Arial" w:eastAsia="Arial" w:hAnsi="Arial"/>
          <w:sz w:val="21"/>
          <w:szCs w:val="21"/>
        </w:rPr>
        <w:t xml:space="preserve"> say “false positives”. Each of the 150 alerts was a genuine signal from a component that was genuinely affected. The value is not that the alerts were wrong — it is that a responder should be handed </w:t>
      </w:r>
      <w:r>
        <w:rPr>
          <w:rFonts w:ascii="Arial" w:cs="Arial" w:eastAsia="Arial" w:hAnsi="Arial"/>
          <w:b/>
          <w:bCs/>
          <w:sz w:val="21"/>
          <w:szCs w:val="21"/>
        </w:rPr>
        <w:t xml:space="preserve">one incident to work</w:t>
      </w:r>
      <w:r>
        <w:rPr>
          <w:rFonts w:ascii="Arial" w:cs="Arial" w:eastAsia="Arial" w:hAnsi="Arial"/>
          <w:sz w:val="21"/>
          <w:szCs w:val="21"/>
        </w:rPr>
        <w:t xml:space="preserve"> rather than 150 notifications to triage individually.</w:t>
      </w:r>
    </w:p>
    <w:p>
      <w:pPr>
        <w:pStyle w:val="Heading1"/>
        <w:pBdr>
          <w:bottom w:val="single" w:color="0F6CBD" w:sz="10" w:space="6"/>
        </w:pBdr>
        <w:spacing w:after="160" w:before="360"/>
        <w:outlineLvl w:val="0"/>
      </w:pPr>
      <w:r>
        <w:rPr>
          <w:rFonts w:ascii="Arial" w:cs="Arial" w:eastAsia="Arial" w:hAnsi="Arial"/>
          <w:b/>
          <w:bCs/>
          <w:color w:val="13324B"/>
          <w:sz w:val="30"/>
          <w:szCs w:val="30"/>
        </w:rPr>
        <w:t xml:space="preserve">Before the demonstration</w:t>
      </w:r>
    </w:p>
    <w:p>
      <w:pPr>
        <w:pStyle w:val="Heading2"/>
        <w:spacing w:after="120" w:before="280"/>
        <w:outlineLvl w:val="1"/>
      </w:pPr>
      <w:r>
        <w:rPr>
          <w:rFonts w:ascii="Arial" w:cs="Arial" w:eastAsia="Arial" w:hAnsi="Arial"/>
          <w:b/>
          <w:bCs/>
          <w:color w:val="0F6CBD"/>
          <w:sz w:val="25"/>
          <w:szCs w:val="25"/>
        </w:rPr>
        <w:t xml:space="preserve">Start the estate at least 20 minutes early</w:t>
      </w:r>
    </w:p>
    <w:p>
      <w:pPr>
        <w:spacing w:after="140" w:line="276"/>
      </w:pPr>
      <w:r>
        <w:rPr>
          <w:rFonts w:ascii="Arial" w:cs="Arial" w:eastAsia="Arial" w:hAnsi="Arial"/>
          <w:sz w:val="21"/>
          <w:szCs w:val="21"/>
        </w:rPr>
        <w:t xml:space="preserve">Telemetry takes roughly ten minutes to appear after the virtual machines start. Zero rows immediately after a successful start is latency, not failure.</w:t>
      </w:r>
    </w:p>
    <w:tbl>
      <w:tblPr>
        <w:tblW w:type="pct" w:w="100%"/>
        <w:tblBorders>
          <w:top w:val="single" w:color="D1D1D1" w:sz="2"/>
          <w:left w:val="single" w:color="D1D1D1" w:sz="2"/>
          <w:bottom w:val="single" w:color="D1D1D1" w:sz="2"/>
          <w:right w:val="single" w:color="D1D1D1" w:sz="2"/>
          <w:insideH w:val="none" w:color="FFFFFF" w:sz="0"/>
          <w:insideV w:val="none" w:color="FFFFFF" w:sz="0"/>
        </w:tblBorders>
      </w:tblPr>
      <w:tblGrid>
        <w:gridCol w:w="9360"/>
      </w:tblGrid>
      <w:tr>
        <w:tc>
          <w:tcPr>
            <w:tcW w:type="dxa" w:w="9360"/>
            <w:shd w:fill="F5F5F5" w:color="auto" w:val="clear"/>
            <w:tcMar>
              <w:top w:type="dxa" w:w="120"/>
              <w:left w:type="dxa" w:w="160"/>
              <w:bottom w:type="dxa" w:w="120"/>
              <w:right w:type="dxa" w:w="160"/>
            </w:tcMar>
          </w:tcPr>
          <w:p>
            <w:pPr>
              <w:spacing w:after="20" w:line="240"/>
            </w:pPr>
            <w:r>
              <w:rPr>
                <w:rFonts w:ascii="Consolas" w:cs="Consolas" w:eastAsia="Consolas" w:hAnsi="Consolas"/>
                <w:sz w:val="18"/>
                <w:szCs w:val="18"/>
              </w:rPr>
              <w:t xml:space="preserve"># Start the six virtual machines</w:t>
            </w:r>
          </w:p>
          <w:p>
            <w:pPr>
              <w:spacing w:after="20" w:line="240"/>
            </w:pPr>
            <w:r>
              <w:rPr>
                <w:rFonts w:ascii="Consolas" w:cs="Consolas" w:eastAsia="Consolas" w:hAnsi="Consolas"/>
                <w:sz w:val="18"/>
                <w:szCs w:val="18"/>
              </w:rPr>
              <w:t xml:space="preserve">az vm start --ids $(az vm list -g rg-uoi-iaas `</w:t>
            </w:r>
          </w:p>
          <w:p>
            <w:pPr>
              <w:spacing w:after="20" w:line="240"/>
            </w:pPr>
            <w:r>
              <w:rPr>
                <w:rFonts w:ascii="Consolas" w:cs="Consolas" w:eastAsia="Consolas" w:hAnsi="Consolas"/>
                <w:sz w:val="18"/>
                <w:szCs w:val="18"/>
              </w:rPr>
              <w:t xml:space="preserve">    --subscription &lt;subscription-id&gt; --query "[].id" -o tsv)</w:t>
            </w:r>
          </w:p>
        </w:tc>
      </w:tr>
    </w:tbl>
    <w:p>
      <w:pPr>
        <w:spacing w:after="160"/>
      </w:pPr>
    </w:p>
    <w:p>
      <w:pPr>
        <w:pStyle w:val="Heading2"/>
        <w:spacing w:after="120" w:before="280"/>
        <w:outlineLvl w:val="1"/>
      </w:pPr>
      <w:r>
        <w:rPr>
          <w:rFonts w:ascii="Arial" w:cs="Arial" w:eastAsia="Arial" w:hAnsi="Arial"/>
          <w:b/>
          <w:bCs/>
          <w:color w:val="0F6CBD"/>
          <w:sz w:val="25"/>
          <w:szCs w:val="25"/>
        </w:rPr>
        <w:t xml:space="preserve">Seed once, on the day you present</w:t>
      </w:r>
    </w:p>
    <w:p>
      <w:pPr>
        <w:spacing w:after="140" w:line="276"/>
      </w:pPr>
      <w:r>
        <w:rPr>
          <w:rFonts w:ascii="Arial" w:cs="Arial" w:eastAsia="Arial" w:hAnsi="Arial"/>
          <w:sz w:val="21"/>
          <w:szCs w:val="21"/>
        </w:rPr>
        <w:t xml:space="preserve">The synthetic business layer is timestamped at the moment it is seeded and spans roughly a 45-minute window. The workbook defaults to a 24-hour range, so data seeded yesterday will have aged out and the incident, impact and spend tabs will render empty.</w:t>
      </w:r>
    </w:p>
    <w:p>
      <w:pPr>
        <w:spacing w:after="140" w:line="276"/>
      </w:pPr>
      <w:r>
        <w:rPr>
          <w:rFonts w:ascii="Arial" w:cs="Arial" w:eastAsia="Arial" w:hAnsi="Arial"/>
          <w:sz w:val="21"/>
          <w:szCs w:val="21"/>
        </w:rPr>
        <w:t xml:space="preserve">The seeder runs </w:t>
      </w:r>
      <w:r>
        <w:rPr>
          <w:rFonts w:ascii="Arial" w:cs="Arial" w:eastAsia="Arial" w:hAnsi="Arial"/>
          <w:b/>
          <w:bCs/>
          <w:sz w:val="21"/>
          <w:szCs w:val="21"/>
        </w:rPr>
        <w:t xml:space="preserve">on an estate virtual machine</w:t>
      </w:r>
      <w:r>
        <w:rPr>
          <w:rFonts w:ascii="Arial" w:cs="Arial" w:eastAsia="Arial" w:hAnsi="Arial"/>
          <w:sz w:val="21"/>
          <w:szCs w:val="21"/>
        </w:rPr>
        <w:t xml:space="preserve"> and authenticates through its managed identity, so there is no secret anywhere and nothing to configure locally. Invoke it remotely:</w:t>
      </w:r>
    </w:p>
    <w:tbl>
      <w:tblPr>
        <w:tblW w:type="pct" w:w="100%"/>
        <w:tblBorders>
          <w:top w:val="single" w:color="D1D1D1" w:sz="2"/>
          <w:left w:val="single" w:color="D1D1D1" w:sz="2"/>
          <w:bottom w:val="single" w:color="D1D1D1" w:sz="2"/>
          <w:right w:val="single" w:color="D1D1D1" w:sz="2"/>
          <w:insideH w:val="none" w:color="FFFFFF" w:sz="0"/>
          <w:insideV w:val="none" w:color="FFFFFF" w:sz="0"/>
        </w:tblBorders>
      </w:tblPr>
      <w:tblGrid>
        <w:gridCol w:w="9360"/>
      </w:tblGrid>
      <w:tr>
        <w:tc>
          <w:tcPr>
            <w:tcW w:type="dxa" w:w="9360"/>
            <w:shd w:fill="F5F5F5" w:color="auto" w:val="clear"/>
            <w:tcMar>
              <w:top w:type="dxa" w:w="120"/>
              <w:left w:type="dxa" w:w="160"/>
              <w:bottom w:type="dxa" w:w="120"/>
              <w:right w:type="dxa" w:w="160"/>
            </w:tcMar>
          </w:tcPr>
          <w:p>
            <w:pPr>
              <w:spacing w:after="20" w:line="240"/>
            </w:pPr>
            <w:r>
              <w:rPr>
                <w:rFonts w:ascii="Consolas" w:cs="Consolas" w:eastAsia="Consolas" w:hAnsi="Consolas"/>
                <w:sz w:val="18"/>
                <w:szCs w:val="18"/>
              </w:rPr>
              <w:t xml:space="preserve">$dce = '&lt;your-dce-endpoint&gt;'        # see the Environment table</w:t>
            </w:r>
          </w:p>
          <w:p>
            <w:pPr>
              <w:spacing w:after="20" w:line="240"/>
            </w:pPr>
            <w:r>
              <w:rPr>
                <w:rFonts w:ascii="Consolas" w:cs="Consolas" w:eastAsia="Consolas" w:hAnsi="Consolas"/>
                <w:sz w:val="18"/>
                <w:szCs w:val="18"/>
              </w:rPr>
              <w:t xml:space="preserve">$dcr = '&lt;your-dcr-immutable-id&gt;'</w:t>
            </w:r>
          </w:p>
          <w:p>
            <w:pPr>
              <w:spacing w:after="20" w:line="240"/>
            </w:pPr>
            <w:r>
              <w:rPr>
                <w:rFonts w:ascii="Consolas" w:cs="Consolas" w:eastAsia="Consolas" w:hAnsi="Consolas"/>
                <w:sz w:val="18"/>
                <w:szCs w:val="18"/>
              </w:rPr>
              <w:t xml:space="preserve"># upload seed-estate.py to the VM, then:</w:t>
            </w:r>
          </w:p>
          <w:p>
            <w:pPr>
              <w:spacing w:after="20" w:line="240"/>
            </w:pPr>
            <w:r>
              <w:rPr>
                <w:rFonts w:ascii="Consolas" w:cs="Consolas" w:eastAsia="Consolas" w:hAnsi="Consolas"/>
                <w:sz w:val="18"/>
                <w:szCs w:val="18"/>
              </w:rPr>
              <w:t xml:space="preserve">az vm run-command invoke -g rg-uoi-iaas -n vm-web-01 `</w:t>
            </w:r>
          </w:p>
          <w:p>
            <w:pPr>
              <w:spacing w:after="20" w:line="240"/>
            </w:pPr>
            <w:r>
              <w:rPr>
                <w:rFonts w:ascii="Consolas" w:cs="Consolas" w:eastAsia="Consolas" w:hAnsi="Consolas"/>
                <w:sz w:val="18"/>
                <w:szCs w:val="18"/>
              </w:rPr>
              <w:t xml:space="preserve">  --command-id RunShellScript --scripts `</w:t>
            </w:r>
          </w:p>
          <w:p>
            <w:pPr>
              <w:spacing w:after="20" w:line="240"/>
            </w:pPr>
            <w:r>
              <w:rPr>
                <w:rFonts w:ascii="Consolas" w:cs="Consolas" w:eastAsia="Consolas" w:hAnsi="Consolas"/>
                <w:sz w:val="18"/>
                <w:szCs w:val="18"/>
              </w:rPr>
              <w:t xml:space="preserve">  "python3 /tmp/seed.py --endpoint $dce --rule-id $dcr --anchor now"</w:t>
            </w:r>
          </w:p>
        </w:tc>
      </w:tr>
    </w:tbl>
    <w:p>
      <w:pPr>
        <w:spacing w:after="120"/>
      </w:pPr>
    </w:p>
    <w:p>
      <w:pPr>
        <w:spacing w:after="140" w:line="276"/>
      </w:pPr>
      <w:r>
        <w:rPr>
          <w:rFonts w:ascii="Arial" w:cs="Arial" w:eastAsia="Arial" w:hAnsi="Arial"/>
          <w:sz w:val="21"/>
          <w:szCs w:val="21"/>
        </w:rPr>
        <w:t xml:space="preserve">Expect it to report 150 alert records, 360 service-health records and 30 cost records, all labelled IsSynthetic=true.</w:t>
      </w:r>
    </w:p>
    <w:tbl>
      <w:tblPr>
        <w:tblW w:type="pct" w:w="100%"/>
        <w:tblBorders>
          <w:top w:val="single" w:color="FFF4CE" w:sz="2"/>
          <w:left w:val="single" w:color="0F6CBD" w:sz="18"/>
          <w:bottom w:val="single" w:color="FFF4CE" w:sz="2"/>
          <w:right w:val="single" w:color="FFF4CE" w:sz="2"/>
          <w:insideH w:val="none" w:color="FFFFFF" w:sz="0"/>
          <w:insideV w:val="none" w:color="FFFFFF" w:sz="0"/>
        </w:tblBorders>
      </w:tblPr>
      <w:tblGrid>
        <w:gridCol w:w="9360"/>
      </w:tblGrid>
      <w:tr>
        <w:tc>
          <w:tcPr>
            <w:tcW w:type="dxa" w:w="9360"/>
            <w:shd w:fill="FFF4CE" w:color="auto" w:val="clear"/>
            <w:tcMar>
              <w:top w:type="dxa" w:w="140"/>
              <w:left w:type="dxa" w:w="180"/>
              <w:bottom w:type="dxa" w:w="140"/>
              <w:right w:type="dxa" w:w="180"/>
            </w:tcMar>
          </w:tcPr>
          <w:p>
            <w:pPr>
              <w:spacing w:after="60"/>
            </w:pPr>
            <w:r>
              <w:rPr>
                <w:rFonts w:ascii="Arial" w:cs="Arial" w:eastAsia="Arial" w:hAnsi="Arial"/>
                <w:b/>
                <w:bCs/>
                <w:color w:val="13324B"/>
                <w:sz w:val="20"/>
                <w:szCs w:val="20"/>
              </w:rPr>
              <w:t xml:space="preserve">SEED ONCE — NOT TWICE</w:t>
            </w:r>
          </w:p>
          <w:p>
            <w:pPr>
              <w:spacing w:after="40" w:line="264"/>
            </w:pPr>
            <w:r>
              <w:rPr>
                <w:rFonts w:ascii="Arial" w:cs="Arial" w:eastAsia="Arial" w:hAnsi="Arial"/>
                <w:b/>
                <w:bCs/>
                <w:sz w:val="20"/>
                <w:szCs w:val="20"/>
              </w:rPr>
              <w:t xml:space="preserve">The Logs Ingestion API has no upsert, so seeding twice writes 300 rows rather than 150.</w:t>
            </w:r>
          </w:p>
          <w:p>
            <w:pPr>
              <w:spacing w:after="40" w:line="264"/>
            </w:pPr>
            <w:r>
              <w:rPr>
                <w:rFonts w:ascii="Arial" w:cs="Arial" w:eastAsia="Arial" w:hAnsi="Arial"/>
                <w:sz w:val="20"/>
                <w:szCs w:val="20"/>
              </w:rPr>
              <w:t xml:space="preserve">The </w:t>
            </w:r>
            <w:r>
              <w:rPr>
                <w:rFonts w:ascii="Arial" w:cs="Arial" w:eastAsia="Arial" w:hAnsi="Arial"/>
                <w:b/>
                <w:bCs/>
                <w:sz w:val="20"/>
                <w:szCs w:val="20"/>
              </w:rPr>
              <w:t xml:space="preserve">workbook</w:t>
            </w:r>
            <w:r>
              <w:rPr>
                <w:rFonts w:ascii="Arial" w:cs="Arial" w:eastAsia="Arial" w:hAnsi="Arial"/>
                <w:sz w:val="20"/>
                <w:szCs w:val="20"/>
              </w:rPr>
              <w:t xml:space="preserve"> is immune: every seeded query scopes to the newest ingestion batch and de-duplicates on AlertId, so the headline still reads 150. This was verified on a double-seeded workspace.</w:t>
            </w:r>
          </w:p>
          <w:p>
            <w:pPr>
              <w:spacing w:after="40" w:line="264"/>
            </w:pPr>
            <w:r>
              <w:rPr>
                <w:rFonts w:ascii="Arial" w:cs="Arial" w:eastAsia="Arial" w:hAnsi="Arial"/>
                <w:sz w:val="20"/>
                <w:szCs w:val="20"/>
              </w:rPr>
              <w:t xml:space="preserve">The </w:t>
            </w:r>
            <w:r>
              <w:rPr>
                <w:rFonts w:ascii="Arial" w:cs="Arial" w:eastAsia="Arial" w:hAnsi="Arial"/>
                <w:b/>
                <w:bCs/>
                <w:sz w:val="20"/>
                <w:szCs w:val="20"/>
              </w:rPr>
              <w:t xml:space="preserve">Observability agent in Step 11 is not immune</w:t>
            </w:r>
            <w:r>
              <w:rPr>
                <w:rFonts w:ascii="Arial" w:cs="Arial" w:eastAsia="Arial" w:hAnsi="Arial"/>
                <w:sz w:val="20"/>
                <w:szCs w:val="20"/>
              </w:rPr>
              <w:t xml:space="preserve"> — it counts rows unless told otherwise, and will answer 300. If you must re-seed, use the exact prompt given in Step 11.</w:t>
            </w:r>
          </w:p>
        </w:tc>
      </w:tr>
    </w:tbl>
    <w:p>
      <w:pPr>
        <w:pStyle w:val="Heading2"/>
        <w:spacing w:after="120" w:before="280"/>
        <w:outlineLvl w:val="1"/>
      </w:pPr>
      <w:r>
        <w:rPr>
          <w:rFonts w:ascii="Arial" w:cs="Arial" w:eastAsia="Arial" w:hAnsi="Arial"/>
          <w:b/>
          <w:bCs/>
          <w:color w:val="0F6CBD"/>
          <w:sz w:val="25"/>
          <w:szCs w:val="25"/>
        </w:rPr>
        <w:t xml:space="preserve">Verify every tile before you go on stage</w:t>
      </w:r>
    </w:p>
    <w:p>
      <w:pPr>
        <w:spacing w:after="140" w:line="276"/>
      </w:pPr>
      <w:r>
        <w:rPr>
          <w:rFonts w:ascii="Arial" w:cs="Arial" w:eastAsia="Arial" w:hAnsi="Arial"/>
          <w:sz w:val="21"/>
          <w:szCs w:val="21"/>
        </w:rPr>
        <w:t xml:space="preserve">ARM validates the workbook JSON but never the KQL inside it. This script executes all 17 embedded workbook queries against the live workspace and is the only check that catches a broken tile before an audience does.</w:t>
      </w:r>
    </w:p>
    <w:tbl>
      <w:tblPr>
        <w:tblW w:type="pct" w:w="100%"/>
        <w:tblBorders>
          <w:top w:val="single" w:color="D1D1D1" w:sz="2"/>
          <w:left w:val="single" w:color="D1D1D1" w:sz="2"/>
          <w:bottom w:val="single" w:color="D1D1D1" w:sz="2"/>
          <w:right w:val="single" w:color="D1D1D1" w:sz="2"/>
          <w:insideH w:val="none" w:color="FFFFFF" w:sz="0"/>
          <w:insideV w:val="none" w:color="FFFFFF" w:sz="0"/>
        </w:tblBorders>
      </w:tblPr>
      <w:tblGrid>
        <w:gridCol w:w="9360"/>
      </w:tblGrid>
      <w:tr>
        <w:tc>
          <w:tcPr>
            <w:tcW w:type="dxa" w:w="9360"/>
            <w:shd w:fill="F5F5F5" w:color="auto" w:val="clear"/>
            <w:tcMar>
              <w:top w:type="dxa" w:w="120"/>
              <w:left w:type="dxa" w:w="160"/>
              <w:bottom w:type="dxa" w:w="120"/>
              <w:right w:type="dxa" w:w="160"/>
            </w:tcMar>
          </w:tcPr>
          <w:p>
            <w:pPr>
              <w:spacing w:after="20" w:line="240"/>
            </w:pPr>
            <w:r>
              <w:rPr>
                <w:rFonts w:ascii="Consolas" w:cs="Consolas" w:eastAsia="Consolas" w:hAnsi="Consolas"/>
                <w:sz w:val="18"/>
                <w:szCs w:val="18"/>
              </w:rPr>
              <w:t xml:space="preserve">.\infra-iaas\scripts\validate-workbook.ps1 -SubscriptionId &lt;subscription-id&gt;</w:t>
            </w:r>
          </w:p>
        </w:tc>
      </w:tr>
    </w:tbl>
    <w:p>
      <w:pPr>
        <w:spacing w:after="120"/>
      </w:pPr>
    </w:p>
    <w:p>
      <w:pPr>
        <w:spacing w:after="140" w:line="276"/>
      </w:pPr>
      <w:r>
        <w:rPr>
          <w:rFonts w:ascii="Arial" w:cs="Arial" w:eastAsia="Arial" w:hAnsi="Arial"/>
          <w:sz w:val="21"/>
          <w:szCs w:val="21"/>
        </w:rPr>
        <w:t xml:space="preserve">Expect "17/17 ok" and exit code 0.</w:t>
      </w:r>
    </w:p>
    <w:p>
      <w:pPr>
        <w:pStyle w:val="Heading2"/>
        <w:spacing w:after="120" w:before="280"/>
        <w:outlineLvl w:val="1"/>
      </w:pPr>
      <w:r>
        <w:rPr>
          <w:rFonts w:ascii="Arial" w:cs="Arial" w:eastAsia="Arial" w:hAnsi="Arial"/>
          <w:b/>
          <w:bCs/>
          <w:color w:val="0F6CBD"/>
          <w:sz w:val="25"/>
          <w:szCs w:val="25"/>
        </w:rPr>
        <w:t xml:space="preserve">Cost</w:t>
      </w:r>
    </w:p>
    <w:p>
      <w:pPr>
        <w:spacing w:after="140" w:line="276"/>
      </w:pPr>
      <w:r>
        <w:rPr>
          <w:rFonts w:ascii="Arial" w:cs="Arial" w:eastAsia="Arial" w:hAnsi="Arial"/>
          <w:sz w:val="21"/>
          <w:szCs w:val="21"/>
        </w:rPr>
        <w:t xml:space="preserve">The estate runs six </w:t>
      </w:r>
      <w:r>
        <w:rPr>
          <w:rFonts w:ascii="Consolas" w:cs="Consolas" w:eastAsia="Consolas" w:hAnsi="Consolas"/>
          <w:sz w:val="19"/>
          <w:szCs w:val="19"/>
        </w:rPr>
        <w:t xml:space="preserve">Standard_D2ls_v7</w:t>
      </w:r>
      <w:r>
        <w:rPr>
          <w:rFonts w:ascii="Arial" w:cs="Arial" w:eastAsia="Arial" w:hAnsi="Arial"/>
          <w:sz w:val="21"/>
          <w:szCs w:val="21"/>
        </w:rPr>
        <w:t xml:space="preserve"> virtual machines at </w:t>
      </w:r>
      <w:r>
        <w:rPr>
          <w:rFonts w:ascii="Arial" w:cs="Arial" w:eastAsia="Arial" w:hAnsi="Arial"/>
          <w:b/>
          <w:bCs/>
          <w:sz w:val="21"/>
          <w:szCs w:val="21"/>
        </w:rPr>
        <w:t xml:space="preserve">$17.28 per day</w:t>
      </w:r>
      <w:r>
        <w:rPr>
          <w:rFonts w:ascii="Arial" w:cs="Arial" w:eastAsia="Arial" w:hAnsi="Arial"/>
          <w:sz w:val="21"/>
          <w:szCs w:val="21"/>
        </w:rPr>
        <w:t xml:space="preserve"> if left running — $0.12 per hour each, verified against the Azure retail price API — or roughly </w:t>
      </w:r>
      <w:r>
        <w:rPr>
          <w:rFonts w:ascii="Arial" w:cs="Arial" w:eastAsia="Arial" w:hAnsi="Arial"/>
          <w:b/>
          <w:bCs/>
          <w:sz w:val="21"/>
          <w:szCs w:val="21"/>
        </w:rPr>
        <w:t xml:space="preserve">$548 per month</w:t>
      </w:r>
      <w:r>
        <w:rPr>
          <w:rFonts w:ascii="Arial" w:cs="Arial" w:eastAsia="Arial" w:hAnsi="Arial"/>
          <w:sz w:val="21"/>
          <w:szCs w:val="21"/>
        </w:rPr>
        <w:t xml:space="preserve"> at 24×7 once disks and Log Analytics ingestion are included. The estate is therefore left deallocated between demonstrations, which stops compute billing while preserving the disks, the workspace and every row already ingested. A daily auto-shutdown at 23:00 UTC is configured on every machine as a backstop, so an estate started and then forgotten bills for one day rather than a month. Start the machines before you present and allow five to ten minutes for the monitoring agents to reconnect.</w:t>
      </w:r>
    </w:p>
    <w:tbl>
      <w:tblPr>
        <w:tblW w:type="pct" w:w="100%"/>
        <w:tblBorders>
          <w:top w:val="single" w:color="D1D1D1" w:sz="2"/>
          <w:left w:val="single" w:color="D1D1D1" w:sz="2"/>
          <w:bottom w:val="single" w:color="D1D1D1" w:sz="2"/>
          <w:right w:val="single" w:color="D1D1D1" w:sz="2"/>
          <w:insideH w:val="none" w:color="FFFFFF" w:sz="0"/>
          <w:insideV w:val="none" w:color="FFFFFF" w:sz="0"/>
        </w:tblBorders>
      </w:tblPr>
      <w:tblGrid>
        <w:gridCol w:w="9360"/>
      </w:tblGrid>
      <w:tr>
        <w:tc>
          <w:tcPr>
            <w:tcW w:type="dxa" w:w="9360"/>
            <w:shd w:fill="F5F5F5" w:color="auto" w:val="clear"/>
            <w:tcMar>
              <w:top w:type="dxa" w:w="120"/>
              <w:left w:type="dxa" w:w="160"/>
              <w:bottom w:type="dxa" w:w="120"/>
              <w:right w:type="dxa" w:w="160"/>
            </w:tcMar>
          </w:tcPr>
          <w:p>
            <w:pPr>
              <w:spacing w:after="20" w:line="240"/>
            </w:pPr>
            <w:r>
              <w:rPr>
                <w:rFonts w:ascii="Consolas" w:cs="Consolas" w:eastAsia="Consolas" w:hAnsi="Consolas"/>
                <w:sz w:val="18"/>
                <w:szCs w:val="18"/>
              </w:rPr>
              <w:t xml:space="preserve"># start before presenting</w:t>
            </w:r>
          </w:p>
          <w:p>
            <w:pPr>
              <w:spacing w:after="20" w:line="240"/>
            </w:pPr>
            <w:r>
              <w:rPr>
                <w:rFonts w:ascii="Consolas" w:cs="Consolas" w:eastAsia="Consolas" w:hAnsi="Consolas"/>
                <w:sz w:val="18"/>
                <w:szCs w:val="18"/>
              </w:rPr>
              <w:t xml:space="preserve">az vm start --ids $(az vm list -g rg-uoi-iaas `</w:t>
            </w:r>
          </w:p>
          <w:p>
            <w:pPr>
              <w:spacing w:after="20" w:line="240"/>
            </w:pPr>
            <w:r>
              <w:rPr>
                <w:rFonts w:ascii="Consolas" w:cs="Consolas" w:eastAsia="Consolas" w:hAnsi="Consolas"/>
                <w:sz w:val="18"/>
                <w:szCs w:val="18"/>
              </w:rPr>
              <w:t xml:space="preserve">    --subscription &lt;subscription-id&gt; --query "[].id" -o tsv)</w:t>
            </w:r>
          </w:p>
          <w:p>
            <w:pPr>
              <w:spacing w:after="20" w:line="240"/>
            </w:pPr>
            <w:r>
              <w:rPr>
                <w:rFonts w:ascii="Consolas" w:cs="Consolas" w:eastAsia="Consolas" w:hAnsi="Consolas"/>
                <w:sz w:val="18"/>
                <w:szCs w:val="18"/>
              </w:rPr>
              <w:t xml:space="preserve"/>
            </w:r>
          </w:p>
          <w:p>
            <w:pPr>
              <w:spacing w:after="20" w:line="240"/>
            </w:pPr>
            <w:r>
              <w:rPr>
                <w:rFonts w:ascii="Consolas" w:cs="Consolas" w:eastAsia="Consolas" w:hAnsi="Consolas"/>
                <w:sz w:val="18"/>
                <w:szCs w:val="18"/>
              </w:rPr>
              <w:t xml:space="preserve"># stop afterwards</w:t>
            </w:r>
          </w:p>
          <w:p>
            <w:pPr>
              <w:spacing w:after="20" w:line="240"/>
            </w:pPr>
            <w:r>
              <w:rPr>
                <w:rFonts w:ascii="Consolas" w:cs="Consolas" w:eastAsia="Consolas" w:hAnsi="Consolas"/>
                <w:sz w:val="18"/>
                <w:szCs w:val="18"/>
              </w:rPr>
              <w:t xml:space="preserve">az vm deallocate --ids $(az vm list -g rg-uoi-iaas `</w:t>
            </w:r>
          </w:p>
          <w:p>
            <w:pPr>
              <w:spacing w:after="20" w:line="240"/>
            </w:pPr>
            <w:r>
              <w:rPr>
                <w:rFonts w:ascii="Consolas" w:cs="Consolas" w:eastAsia="Consolas" w:hAnsi="Consolas"/>
                <w:sz w:val="18"/>
                <w:szCs w:val="18"/>
              </w:rPr>
              <w:t xml:space="preserve">    --subscription &lt;subscription-id&gt; --query "[].id" -o tsv) --no-wait</w:t>
            </w:r>
          </w:p>
        </w:tc>
      </w:tr>
    </w:tbl>
    <w:p>
      <w:r>
        <w:br w:type="page"/>
      </w:r>
    </w:p>
    <w:p>
      <w:pPr>
        <w:pStyle w:val="Heading1"/>
        <w:pBdr>
          <w:bottom w:val="single" w:color="0F6CBD" w:sz="10" w:space="6"/>
        </w:pBdr>
        <w:spacing w:after="160" w:before="360"/>
        <w:outlineLvl w:val="0"/>
      </w:pPr>
      <w:r>
        <w:rPr>
          <w:rFonts w:ascii="Arial" w:cs="Arial" w:eastAsia="Arial" w:hAnsi="Arial"/>
          <w:b/>
          <w:bCs/>
          <w:color w:val="13324B"/>
          <w:sz w:val="30"/>
          <w:szCs w:val="30"/>
        </w:rPr>
        <w:t xml:space="preserve">What is real and what is synthetic</w:t>
      </w:r>
    </w:p>
    <w:p>
      <w:pPr>
        <w:spacing w:after="140" w:line="276"/>
      </w:pPr>
      <w:r>
        <w:rPr>
          <w:rFonts w:ascii="Arial" w:cs="Arial" w:eastAsia="Arial" w:hAnsi="Arial"/>
          <w:sz w:val="21"/>
          <w:szCs w:val="21"/>
        </w:rPr>
        <w:t xml:space="preserve">State this out loud at the start. It is a credibility asset, not a disclaimer to hide. An executive audience trusts a presenter who draws the line before being asked to.</w:t>
      </w:r>
    </w:p>
    <w:p>
      <w:pPr>
        <w:spacing w:after="120"/>
      </w:pPr>
    </w:p>
    <w:tbl>
      <w:tblPr>
        <w:tblW w:type="pct" w:w="100%"/>
        <w:tblBorders>
          <w:top w:val="single" w:color="D1D1D1" w:sz="2"/>
          <w:left w:val="single" w:color="D1D1D1" w:sz="2"/>
          <w:bottom w:val="single" w:color="D1D1D1" w:sz="2"/>
          <w:right w:val="single" w:color="D1D1D1" w:sz="2"/>
          <w:insideH w:val="single" w:color="D1D1D1" w:sz="2"/>
          <w:insideV w:val="single" w:color="D1D1D1" w:sz="2"/>
        </w:tblBorders>
      </w:tblPr>
      <w:tblGrid>
        <w:gridCol w:w="3400"/>
        <w:gridCol w:w="5960"/>
      </w:tblGrid>
      <w:tr>
        <w:trPr>
          <w:tblHeader/>
        </w:trPr>
        <w:tc>
          <w:tcPr>
            <w:tcW w:type="dxa" w:w="3400"/>
            <w:shd w:fill="0F6CBD"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Layer</w:t>
            </w:r>
          </w:p>
        </w:tc>
        <w:tc>
          <w:tcPr>
            <w:tcW w:type="dxa" w:w="5960"/>
            <w:shd w:fill="0F6CBD"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Status</w:t>
            </w:r>
          </w:p>
        </w:tc>
      </w:tr>
      <w:tr>
        <w:tc>
          <w:tcPr>
            <w:tcW w:type="dxa" w:w="3400"/>
            <w:shd w:fill="FFFFFF" w:color="auto" w:val="clear"/>
            <w:tcMar>
              <w:top w:type="dxa" w:w="90"/>
              <w:left w:type="dxa" w:w="120"/>
              <w:bottom w:type="dxa" w:w="90"/>
              <w:right w:type="dxa" w:w="120"/>
            </w:tcMar>
          </w:tcPr>
          <w:p>
            <w:pPr>
              <w:spacing w:after="0" w:line="260"/>
            </w:pPr>
            <w:r>
              <w:rPr>
                <w:rFonts w:ascii="Arial" w:cs="Arial" w:eastAsia="Arial" w:hAnsi="Arial"/>
                <w:sz w:val="19"/>
                <w:szCs w:val="19"/>
              </w:rPr>
              <w:t xml:space="preserve">The six virtual machines</w:t>
            </w:r>
          </w:p>
        </w:tc>
        <w:tc>
          <w:tcPr>
            <w:tcW w:type="dxa" w:w="5960"/>
            <w:shd w:fill="FFFFFF" w:color="auto" w:val="clear"/>
            <w:tcMar>
              <w:top w:type="dxa" w:w="90"/>
              <w:left w:type="dxa" w:w="120"/>
              <w:bottom w:type="dxa" w:w="90"/>
              <w:right w:type="dxa" w:w="120"/>
            </w:tcMar>
          </w:tcPr>
          <w:p>
            <w:pPr>
              <w:spacing w:after="0" w:line="260"/>
            </w:pPr>
            <w:r>
              <w:rPr>
                <w:rFonts w:ascii="Arial" w:cs="Arial" w:eastAsia="Arial" w:hAnsi="Arial"/>
                <w:sz w:val="19"/>
                <w:szCs w:val="19"/>
              </w:rPr>
              <w:t xml:space="preserve">REAL — running Ubuntu in rg-uoi-iaas, East US 2</w:t>
            </w:r>
          </w:p>
        </w:tc>
      </w:tr>
      <w:tr>
        <w:tc>
          <w:tcPr>
            <w:tcW w:type="dxa" w:w="3400"/>
            <w:shd w:fill="F7F9FB" w:color="auto" w:val="clear"/>
            <w:tcMar>
              <w:top w:type="dxa" w:w="90"/>
              <w:left w:type="dxa" w:w="120"/>
              <w:bottom w:type="dxa" w:w="90"/>
              <w:right w:type="dxa" w:w="120"/>
            </w:tcMar>
          </w:tcPr>
          <w:p>
            <w:pPr>
              <w:spacing w:after="0" w:line="260"/>
            </w:pPr>
            <w:r>
              <w:rPr>
                <w:rFonts w:ascii="Arial" w:cs="Arial" w:eastAsia="Arial" w:hAnsi="Arial"/>
                <w:sz w:val="19"/>
                <w:szCs w:val="19"/>
              </w:rPr>
              <w:t xml:space="preserve">CPU, memory, disk and network telemetry</w:t>
            </w:r>
          </w:p>
        </w:tc>
        <w:tc>
          <w:tcPr>
            <w:tcW w:type="dxa" w:w="5960"/>
            <w:shd w:fill="F7F9FB" w:color="auto" w:val="clear"/>
            <w:tcMar>
              <w:top w:type="dxa" w:w="90"/>
              <w:left w:type="dxa" w:w="120"/>
              <w:bottom w:type="dxa" w:w="90"/>
              <w:right w:type="dxa" w:w="120"/>
            </w:tcMar>
          </w:tcPr>
          <w:p>
            <w:pPr>
              <w:spacing w:after="0" w:line="260"/>
            </w:pPr>
            <w:r>
              <w:rPr>
                <w:rFonts w:ascii="Arial" w:cs="Arial" w:eastAsia="Arial" w:hAnsi="Arial"/>
                <w:sz w:val="19"/>
                <w:szCs w:val="19"/>
              </w:rPr>
              <w:t xml:space="preserve">REAL — collected by Azure Monitor Agent into InsightsMetrics</w:t>
            </w:r>
          </w:p>
        </w:tc>
      </w:tr>
      <w:tr>
        <w:tc>
          <w:tcPr>
            <w:tcW w:type="dxa" w:w="3400"/>
            <w:shd w:fill="FFFFFF" w:color="auto" w:val="clear"/>
            <w:tcMar>
              <w:top w:type="dxa" w:w="90"/>
              <w:left w:type="dxa" w:w="120"/>
              <w:bottom w:type="dxa" w:w="90"/>
              <w:right w:type="dxa" w:w="120"/>
            </w:tcMar>
          </w:tcPr>
          <w:p>
            <w:pPr>
              <w:spacing w:after="0" w:line="260"/>
            </w:pPr>
            <w:r>
              <w:rPr>
                <w:rFonts w:ascii="Arial" w:cs="Arial" w:eastAsia="Arial" w:hAnsi="Arial"/>
                <w:sz w:val="19"/>
                <w:szCs w:val="19"/>
              </w:rPr>
              <w:t xml:space="preserve">Syslog</w:t>
            </w:r>
          </w:p>
        </w:tc>
        <w:tc>
          <w:tcPr>
            <w:tcW w:type="dxa" w:w="5960"/>
            <w:shd w:fill="FFFFFF" w:color="auto" w:val="clear"/>
            <w:tcMar>
              <w:top w:type="dxa" w:w="90"/>
              <w:left w:type="dxa" w:w="120"/>
              <w:bottom w:type="dxa" w:w="90"/>
              <w:right w:type="dxa" w:w="120"/>
            </w:tcMar>
          </w:tcPr>
          <w:p>
            <w:pPr>
              <w:spacing w:after="0" w:line="260"/>
            </w:pPr>
            <w:r>
              <w:rPr>
                <w:rFonts w:ascii="Arial" w:cs="Arial" w:eastAsia="Arial" w:hAnsi="Arial"/>
                <w:sz w:val="19"/>
                <w:szCs w:val="19"/>
              </w:rPr>
              <w:t xml:space="preserve">REAL — collected by Azure Monitor Agent</w:t>
            </w:r>
          </w:p>
        </w:tc>
      </w:tr>
      <w:tr>
        <w:tc>
          <w:tcPr>
            <w:tcW w:type="dxa" w:w="3400"/>
            <w:shd w:fill="F7F9FB" w:color="auto" w:val="clear"/>
            <w:tcMar>
              <w:top w:type="dxa" w:w="90"/>
              <w:left w:type="dxa" w:w="120"/>
              <w:bottom w:type="dxa" w:w="90"/>
              <w:right w:type="dxa" w:w="120"/>
            </w:tcMar>
          </w:tcPr>
          <w:p>
            <w:pPr>
              <w:spacing w:after="0" w:line="260"/>
            </w:pPr>
            <w:r>
              <w:rPr>
                <w:rFonts w:ascii="Arial" w:cs="Arial" w:eastAsia="Arial" w:hAnsi="Arial"/>
                <w:sz w:val="19"/>
                <w:szCs w:val="19"/>
              </w:rPr>
              <w:t xml:space="preserve">Heartbeat and agent health</w:t>
            </w:r>
          </w:p>
        </w:tc>
        <w:tc>
          <w:tcPr>
            <w:tcW w:type="dxa" w:w="5960"/>
            <w:shd w:fill="F7F9FB" w:color="auto" w:val="clear"/>
            <w:tcMar>
              <w:top w:type="dxa" w:w="90"/>
              <w:left w:type="dxa" w:w="120"/>
              <w:bottom w:type="dxa" w:w="90"/>
              <w:right w:type="dxa" w:w="120"/>
            </w:tcMar>
          </w:tcPr>
          <w:p>
            <w:pPr>
              <w:spacing w:after="0" w:line="260"/>
            </w:pPr>
            <w:r>
              <w:rPr>
                <w:rFonts w:ascii="Arial" w:cs="Arial" w:eastAsia="Arial" w:hAnsi="Arial"/>
                <w:sz w:val="19"/>
                <w:szCs w:val="19"/>
              </w:rPr>
              <w:t xml:space="preserve">REAL</w:t>
            </w:r>
          </w:p>
        </w:tc>
      </w:tr>
      <w:tr>
        <w:tc>
          <w:tcPr>
            <w:tcW w:type="dxa" w:w="3400"/>
            <w:shd w:fill="FFFFFF" w:color="auto" w:val="clear"/>
            <w:tcMar>
              <w:top w:type="dxa" w:w="90"/>
              <w:left w:type="dxa" w:w="120"/>
              <w:bottom w:type="dxa" w:w="90"/>
              <w:right w:type="dxa" w:w="120"/>
            </w:tcMar>
          </w:tcPr>
          <w:p>
            <w:pPr>
              <w:spacing w:after="0" w:line="260"/>
            </w:pPr>
            <w:r>
              <w:rPr>
                <w:rFonts w:ascii="Arial" w:cs="Arial" w:eastAsia="Arial" w:hAnsi="Arial"/>
                <w:sz w:val="19"/>
                <w:szCs w:val="19"/>
              </w:rPr>
              <w:t xml:space="preserve">Alert rules, fired alerts, action group</w:t>
            </w:r>
          </w:p>
        </w:tc>
        <w:tc>
          <w:tcPr>
            <w:tcW w:type="dxa" w:w="5960"/>
            <w:shd w:fill="FFFFFF" w:color="auto" w:val="clear"/>
            <w:tcMar>
              <w:top w:type="dxa" w:w="90"/>
              <w:left w:type="dxa" w:w="120"/>
              <w:bottom w:type="dxa" w:w="90"/>
              <w:right w:type="dxa" w:w="120"/>
            </w:tcMar>
          </w:tcPr>
          <w:p>
            <w:pPr>
              <w:spacing w:after="0" w:line="260"/>
            </w:pPr>
            <w:r>
              <w:rPr>
                <w:rFonts w:ascii="Arial" w:cs="Arial" w:eastAsia="Arial" w:hAnsi="Arial"/>
                <w:sz w:val="19"/>
                <w:szCs w:val="19"/>
              </w:rPr>
              <w:t xml:space="preserve">REAL Azure Monitor resources. The correlated-incident alert has genuinely fired.</w:t>
            </w:r>
          </w:p>
        </w:tc>
      </w:tr>
      <w:tr>
        <w:tc>
          <w:tcPr>
            <w:tcW w:type="dxa" w:w="3400"/>
            <w:shd w:fill="F7F9FB" w:color="auto" w:val="clear"/>
            <w:tcMar>
              <w:top w:type="dxa" w:w="90"/>
              <w:left w:type="dxa" w:w="120"/>
              <w:bottom w:type="dxa" w:w="90"/>
              <w:right w:type="dxa" w:w="120"/>
            </w:tcMar>
          </w:tcPr>
          <w:p>
            <w:pPr>
              <w:spacing w:after="0" w:line="260"/>
            </w:pPr>
            <w:r>
              <w:rPr>
                <w:rFonts w:ascii="Arial" w:cs="Arial" w:eastAsia="Arial" w:hAnsi="Arial"/>
                <w:sz w:val="19"/>
                <w:szCs w:val="19"/>
              </w:rPr>
              <w:t xml:space="preserve">Workbook, dashboard, Automation runbook</w:t>
            </w:r>
          </w:p>
        </w:tc>
        <w:tc>
          <w:tcPr>
            <w:tcW w:type="dxa" w:w="5960"/>
            <w:shd w:fill="F7F9FB" w:color="auto" w:val="clear"/>
            <w:tcMar>
              <w:top w:type="dxa" w:w="90"/>
              <w:left w:type="dxa" w:w="120"/>
              <w:bottom w:type="dxa" w:w="90"/>
              <w:right w:type="dxa" w:w="120"/>
            </w:tcMar>
          </w:tcPr>
          <w:p>
            <w:pPr>
              <w:spacing w:after="0" w:line="260"/>
            </w:pPr>
            <w:r>
              <w:rPr>
                <w:rFonts w:ascii="Arial" w:cs="Arial" w:eastAsia="Arial" w:hAnsi="Arial"/>
                <w:sz w:val="19"/>
                <w:szCs w:val="19"/>
              </w:rPr>
              <w:t xml:space="preserve">REAL Azure resources</w:t>
            </w:r>
          </w:p>
        </w:tc>
      </w:tr>
      <w:tr>
        <w:tc>
          <w:tcPr>
            <w:tcW w:type="dxa" w:w="3400"/>
            <w:shd w:fill="FFFFFF" w:color="auto" w:val="clear"/>
            <w:tcMar>
              <w:top w:type="dxa" w:w="90"/>
              <w:left w:type="dxa" w:w="120"/>
              <w:bottom w:type="dxa" w:w="90"/>
              <w:right w:type="dxa" w:w="120"/>
            </w:tcMar>
          </w:tcPr>
          <w:p>
            <w:pPr>
              <w:spacing w:after="0" w:line="260"/>
            </w:pPr>
            <w:r>
              <w:rPr>
                <w:rFonts w:ascii="Arial" w:cs="Arial" w:eastAsia="Arial" w:hAnsi="Arial"/>
                <w:sz w:val="19"/>
                <w:szCs w:val="19"/>
              </w:rPr>
              <w:t xml:space="preserve">Business services, incidents, revenue, tool spend</w:t>
            </w:r>
          </w:p>
        </w:tc>
        <w:tc>
          <w:tcPr>
            <w:tcW w:type="dxa" w:w="5960"/>
            <w:shd w:fill="FFFFFF" w:color="auto" w:val="clear"/>
            <w:tcMar>
              <w:top w:type="dxa" w:w="90"/>
              <w:left w:type="dxa" w:w="120"/>
              <w:bottom w:type="dxa" w:w="90"/>
              <w:right w:type="dxa" w:w="120"/>
            </w:tcMar>
          </w:tcPr>
          <w:p>
            <w:pPr>
              <w:spacing w:after="0" w:line="260"/>
            </w:pPr>
            <w:r>
              <w:rPr>
                <w:rFonts w:ascii="Arial" w:cs="Arial" w:eastAsia="Arial" w:hAnsi="Arial"/>
                <w:sz w:val="19"/>
                <w:szCs w:val="19"/>
              </w:rPr>
              <w:t xml:space="preserve">SYNTHETIC — generated, labelled IsSynthetic = true, ingested through a real Data Collection Rule</w:t>
            </w:r>
          </w:p>
        </w:tc>
      </w:tr>
    </w:tbl>
    <w:p>
      <w:pPr>
        <w:spacing w:after="200"/>
      </w:pPr>
    </w:p>
    <w:p>
      <w:pPr>
        <w:pStyle w:val="Heading2"/>
        <w:spacing w:after="120" w:before="280"/>
        <w:outlineLvl w:val="1"/>
      </w:pPr>
      <w:r>
        <w:rPr>
          <w:rFonts w:ascii="Arial" w:cs="Arial" w:eastAsia="Arial" w:hAnsi="Arial"/>
          <w:b/>
          <w:bCs/>
          <w:color w:val="0F6CBD"/>
          <w:sz w:val="25"/>
          <w:szCs w:val="25"/>
        </w:rPr>
        <w:t xml:space="preserve">Known gap — state it plainly</w:t>
      </w:r>
    </w:p>
    <w:p>
      <w:pPr>
        <w:spacing w:after="140" w:line="276"/>
      </w:pPr>
      <w:r>
        <w:rPr>
          <w:rFonts w:ascii="Arial" w:cs="Arial" w:eastAsia="Arial" w:hAnsi="Arial"/>
          <w:sz w:val="21"/>
          <w:szCs w:val="21"/>
        </w:rPr>
        <w:t xml:space="preserve">The VM Insights </w:t>
      </w:r>
      <w:r>
        <w:rPr>
          <w:rFonts w:ascii="Arial" w:cs="Arial" w:eastAsia="Arial" w:hAnsi="Arial"/>
          <w:b/>
          <w:bCs/>
          <w:sz w:val="21"/>
          <w:szCs w:val="21"/>
        </w:rPr>
        <w:t xml:space="preserve">Map</w:t>
      </w:r>
      <w:r>
        <w:rPr>
          <w:rFonts w:ascii="Arial" w:cs="Arial" w:eastAsia="Arial" w:hAnsi="Arial"/>
          <w:sz w:val="21"/>
          <w:szCs w:val="21"/>
        </w:rPr>
        <w:t xml:space="preserve"> tab is not available in this estate. The Dependency Agent does not support the Ubuntu builds deployed here. VM Insights </w:t>
      </w:r>
      <w:r>
        <w:rPr>
          <w:rFonts w:ascii="Arial" w:cs="Arial" w:eastAsia="Arial" w:hAnsi="Arial"/>
          <w:b/>
          <w:bCs/>
          <w:sz w:val="21"/>
          <w:szCs w:val="21"/>
        </w:rPr>
        <w:t xml:space="preserve">Performance</w:t>
      </w:r>
      <w:r>
        <w:rPr>
          <w:rFonts w:ascii="Arial" w:cs="Arial" w:eastAsia="Arial" w:hAnsi="Arial"/>
          <w:sz w:val="21"/>
          <w:szCs w:val="21"/>
        </w:rPr>
        <w:t xml:space="preserve"> works from the Azure Monitor Agent alone, and service topology is presented in the workbook instead. Say this before someone clicks the tab and finds it empty.</w:t>
      </w:r>
    </w:p>
    <w:p>
      <w:pPr>
        <w:spacing w:after="120"/>
      </w:pPr>
    </w:p>
    <w:p>
      <w:pPr>
        <w:pStyle w:val="Heading2"/>
        <w:spacing w:after="120" w:before="280"/>
        <w:outlineLvl w:val="1"/>
      </w:pPr>
      <w:r>
        <w:rPr>
          <w:rFonts w:ascii="Arial" w:cs="Arial" w:eastAsia="Arial" w:hAnsi="Arial"/>
          <w:b/>
          <w:bCs/>
          <w:color w:val="0F6CBD"/>
          <w:sz w:val="25"/>
          <w:szCs w:val="25"/>
        </w:rPr>
        <w:t xml:space="preserve">Environment</w:t>
      </w:r>
    </w:p>
    <w:tbl>
      <w:tblPr>
        <w:tblW w:type="pct" w:w="100%"/>
        <w:tblBorders>
          <w:top w:val="single" w:color="D1D1D1" w:sz="2"/>
          <w:left w:val="single" w:color="D1D1D1" w:sz="2"/>
          <w:bottom w:val="single" w:color="D1D1D1" w:sz="2"/>
          <w:right w:val="single" w:color="D1D1D1" w:sz="2"/>
          <w:insideH w:val="single" w:color="D1D1D1" w:sz="2"/>
          <w:insideV w:val="single" w:color="D1D1D1" w:sz="2"/>
        </w:tblBorders>
      </w:tblPr>
      <w:tblGrid>
        <w:gridCol w:w="3000"/>
        <w:gridCol w:w="6360"/>
      </w:tblGrid>
      <w:tr>
        <w:trPr>
          <w:tblHeader/>
        </w:trPr>
        <w:tc>
          <w:tcPr>
            <w:tcW w:type="dxa" w:w="3000"/>
            <w:shd w:fill="0F6CBD"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Item</w:t>
            </w:r>
          </w:p>
        </w:tc>
        <w:tc>
          <w:tcPr>
            <w:tcW w:type="dxa" w:w="6360"/>
            <w:shd w:fill="0F6CBD"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Value</w:t>
            </w:r>
          </w:p>
        </w:tc>
      </w:tr>
      <w:tr>
        <w:tc>
          <w:tcPr>
            <w:tcW w:type="dxa" w:w="3000"/>
            <w:shd w:fill="FFFFFF" w:color="auto" w:val="clear"/>
            <w:tcMar>
              <w:top w:type="dxa" w:w="90"/>
              <w:left w:type="dxa" w:w="120"/>
              <w:bottom w:type="dxa" w:w="90"/>
              <w:right w:type="dxa" w:w="120"/>
            </w:tcMar>
          </w:tcPr>
          <w:p>
            <w:pPr>
              <w:spacing w:after="0" w:line="260"/>
            </w:pPr>
            <w:r>
              <w:rPr>
                <w:rFonts w:ascii="Arial" w:cs="Arial" w:eastAsia="Arial" w:hAnsi="Arial"/>
                <w:sz w:val="19"/>
                <w:szCs w:val="19"/>
              </w:rPr>
              <w:t xml:space="preserve">Subscription</w:t>
            </w:r>
          </w:p>
        </w:tc>
        <w:tc>
          <w:tcPr>
            <w:tcW w:type="dxa" w:w="6360"/>
            <w:shd w:fill="FFFFFF" w:color="auto" w:val="clear"/>
            <w:tcMar>
              <w:top w:type="dxa" w:w="90"/>
              <w:left w:type="dxa" w:w="120"/>
              <w:bottom w:type="dxa" w:w="90"/>
              <w:right w:type="dxa" w:w="120"/>
            </w:tcMar>
          </w:tcPr>
          <w:p>
            <w:pPr>
              <w:spacing w:after="0" w:line="260"/>
            </w:pPr>
            <w:r>
              <w:rPr>
                <w:rFonts w:ascii="Arial" w:cs="Arial" w:eastAsia="Arial" w:hAnsi="Arial"/>
                <w:sz w:val="19"/>
                <w:szCs w:val="19"/>
              </w:rPr>
              <w:t xml:space="preserve">&lt;your-subscription-id&gt;</w:t>
            </w:r>
          </w:p>
        </w:tc>
      </w:tr>
      <w:tr>
        <w:tc>
          <w:tcPr>
            <w:tcW w:type="dxa" w:w="3000"/>
            <w:shd w:fill="F7F9FB" w:color="auto" w:val="clear"/>
            <w:tcMar>
              <w:top w:type="dxa" w:w="90"/>
              <w:left w:type="dxa" w:w="120"/>
              <w:bottom w:type="dxa" w:w="90"/>
              <w:right w:type="dxa" w:w="120"/>
            </w:tcMar>
          </w:tcPr>
          <w:p>
            <w:pPr>
              <w:spacing w:after="0" w:line="260"/>
            </w:pPr>
            <w:r>
              <w:rPr>
                <w:rFonts w:ascii="Arial" w:cs="Arial" w:eastAsia="Arial" w:hAnsi="Arial"/>
                <w:sz w:val="19"/>
                <w:szCs w:val="19"/>
              </w:rPr>
              <w:t xml:space="preserve">Resource group</w:t>
            </w:r>
          </w:p>
        </w:tc>
        <w:tc>
          <w:tcPr>
            <w:tcW w:type="dxa" w:w="6360"/>
            <w:shd w:fill="F7F9FB" w:color="auto" w:val="clear"/>
            <w:tcMar>
              <w:top w:type="dxa" w:w="90"/>
              <w:left w:type="dxa" w:w="120"/>
              <w:bottom w:type="dxa" w:w="90"/>
              <w:right w:type="dxa" w:w="120"/>
            </w:tcMar>
          </w:tcPr>
          <w:p>
            <w:pPr>
              <w:spacing w:after="0" w:line="260"/>
            </w:pPr>
            <w:r>
              <w:rPr>
                <w:rFonts w:ascii="Arial" w:cs="Arial" w:eastAsia="Arial" w:hAnsi="Arial"/>
                <w:sz w:val="19"/>
                <w:szCs w:val="19"/>
              </w:rPr>
              <w:t xml:space="preserve">rg-uoi-iaas</w:t>
            </w:r>
          </w:p>
        </w:tc>
      </w:tr>
      <w:tr>
        <w:tc>
          <w:tcPr>
            <w:tcW w:type="dxa" w:w="3000"/>
            <w:shd w:fill="FFFFFF" w:color="auto" w:val="clear"/>
            <w:tcMar>
              <w:top w:type="dxa" w:w="90"/>
              <w:left w:type="dxa" w:w="120"/>
              <w:bottom w:type="dxa" w:w="90"/>
              <w:right w:type="dxa" w:w="120"/>
            </w:tcMar>
          </w:tcPr>
          <w:p>
            <w:pPr>
              <w:spacing w:after="0" w:line="260"/>
            </w:pPr>
            <w:r>
              <w:rPr>
                <w:rFonts w:ascii="Arial" w:cs="Arial" w:eastAsia="Arial" w:hAnsi="Arial"/>
                <w:sz w:val="19"/>
                <w:szCs w:val="19"/>
              </w:rPr>
              <w:t xml:space="preserve">Region</w:t>
            </w:r>
          </w:p>
        </w:tc>
        <w:tc>
          <w:tcPr>
            <w:tcW w:type="dxa" w:w="6360"/>
            <w:shd w:fill="FFFFFF" w:color="auto" w:val="clear"/>
            <w:tcMar>
              <w:top w:type="dxa" w:w="90"/>
              <w:left w:type="dxa" w:w="120"/>
              <w:bottom w:type="dxa" w:w="90"/>
              <w:right w:type="dxa" w:w="120"/>
            </w:tcMar>
          </w:tcPr>
          <w:p>
            <w:pPr>
              <w:spacing w:after="0" w:line="260"/>
            </w:pPr>
            <w:r>
              <w:rPr>
                <w:rFonts w:ascii="Arial" w:cs="Arial" w:eastAsia="Arial" w:hAnsi="Arial"/>
                <w:sz w:val="19"/>
                <w:szCs w:val="19"/>
              </w:rPr>
              <w:t xml:space="preserve">East US 2 (eastus2)</w:t>
            </w:r>
          </w:p>
        </w:tc>
      </w:tr>
      <w:tr>
        <w:tc>
          <w:tcPr>
            <w:tcW w:type="dxa" w:w="3000"/>
            <w:shd w:fill="F7F9FB" w:color="auto" w:val="clear"/>
            <w:tcMar>
              <w:top w:type="dxa" w:w="90"/>
              <w:left w:type="dxa" w:w="120"/>
              <w:bottom w:type="dxa" w:w="90"/>
              <w:right w:type="dxa" w:w="120"/>
            </w:tcMar>
          </w:tcPr>
          <w:p>
            <w:pPr>
              <w:spacing w:after="0" w:line="260"/>
            </w:pPr>
            <w:r>
              <w:rPr>
                <w:rFonts w:ascii="Arial" w:cs="Arial" w:eastAsia="Arial" w:hAnsi="Arial"/>
                <w:sz w:val="19"/>
                <w:szCs w:val="19"/>
              </w:rPr>
              <w:t xml:space="preserve">Log Analytics workspace</w:t>
            </w:r>
          </w:p>
        </w:tc>
        <w:tc>
          <w:tcPr>
            <w:tcW w:type="dxa" w:w="6360"/>
            <w:shd w:fill="F7F9FB" w:color="auto" w:val="clear"/>
            <w:tcMar>
              <w:top w:type="dxa" w:w="90"/>
              <w:left w:type="dxa" w:w="120"/>
              <w:bottom w:type="dxa" w:w="90"/>
              <w:right w:type="dxa" w:w="120"/>
            </w:tcMar>
          </w:tcPr>
          <w:p>
            <w:pPr>
              <w:spacing w:after="0" w:line="260"/>
            </w:pPr>
            <w:r>
              <w:rPr>
                <w:rFonts w:ascii="Arial" w:cs="Arial" w:eastAsia="Arial" w:hAnsi="Arial"/>
                <w:sz w:val="19"/>
                <w:szCs w:val="19"/>
              </w:rPr>
              <w:t xml:space="preserve">log-uoi</w:t>
            </w:r>
          </w:p>
        </w:tc>
      </w:tr>
      <w:tr>
        <w:tc>
          <w:tcPr>
            <w:tcW w:type="dxa" w:w="3000"/>
            <w:shd w:fill="FFFFFF" w:color="auto" w:val="clear"/>
            <w:tcMar>
              <w:top w:type="dxa" w:w="90"/>
              <w:left w:type="dxa" w:w="120"/>
              <w:bottom w:type="dxa" w:w="90"/>
              <w:right w:type="dxa" w:w="120"/>
            </w:tcMar>
          </w:tcPr>
          <w:p>
            <w:pPr>
              <w:spacing w:after="0" w:line="260"/>
            </w:pPr>
            <w:r>
              <w:rPr>
                <w:rFonts w:ascii="Arial" w:cs="Arial" w:eastAsia="Arial" w:hAnsi="Arial"/>
                <w:sz w:val="19"/>
                <w:szCs w:val="19"/>
              </w:rPr>
              <w:t xml:space="preserve">Workbook</w:t>
            </w:r>
          </w:p>
        </w:tc>
        <w:tc>
          <w:tcPr>
            <w:tcW w:type="dxa" w:w="6360"/>
            <w:shd w:fill="FFFFFF" w:color="auto" w:val="clear"/>
            <w:tcMar>
              <w:top w:type="dxa" w:w="90"/>
              <w:left w:type="dxa" w:w="120"/>
              <w:bottom w:type="dxa" w:w="90"/>
              <w:right w:type="dxa" w:w="120"/>
            </w:tcMar>
          </w:tcPr>
          <w:p>
            <w:pPr>
              <w:spacing w:after="0" w:line="260"/>
            </w:pPr>
            <w:r>
              <w:rPr>
                <w:rFonts w:ascii="Arial" w:cs="Arial" w:eastAsia="Arial" w:hAnsi="Arial"/>
                <w:sz w:val="19"/>
                <w:szCs w:val="19"/>
              </w:rPr>
              <w:t xml:space="preserve">UOI — Unified Operational Intelligence</w:t>
            </w:r>
          </w:p>
        </w:tc>
      </w:tr>
      <w:tr>
        <w:tc>
          <w:tcPr>
            <w:tcW w:type="dxa" w:w="3000"/>
            <w:shd w:fill="F7F9FB" w:color="auto" w:val="clear"/>
            <w:tcMar>
              <w:top w:type="dxa" w:w="90"/>
              <w:left w:type="dxa" w:w="120"/>
              <w:bottom w:type="dxa" w:w="90"/>
              <w:right w:type="dxa" w:w="120"/>
            </w:tcMar>
          </w:tcPr>
          <w:p>
            <w:pPr>
              <w:spacing w:after="0" w:line="260"/>
            </w:pPr>
            <w:r>
              <w:rPr>
                <w:rFonts w:ascii="Arial" w:cs="Arial" w:eastAsia="Arial" w:hAnsi="Arial"/>
                <w:sz w:val="19"/>
                <w:szCs w:val="19"/>
              </w:rPr>
              <w:t xml:space="preserve">Dashboard</w:t>
            </w:r>
          </w:p>
        </w:tc>
        <w:tc>
          <w:tcPr>
            <w:tcW w:type="dxa" w:w="6360"/>
            <w:shd w:fill="F7F9FB" w:color="auto" w:val="clear"/>
            <w:tcMar>
              <w:top w:type="dxa" w:w="90"/>
              <w:left w:type="dxa" w:w="120"/>
              <w:bottom w:type="dxa" w:w="90"/>
              <w:right w:type="dxa" w:w="120"/>
            </w:tcMar>
          </w:tcPr>
          <w:p>
            <w:pPr>
              <w:spacing w:after="0" w:line="260"/>
            </w:pPr>
            <w:r>
              <w:rPr>
                <w:rFonts w:ascii="Arial" w:cs="Arial" w:eastAsia="Arial" w:hAnsi="Arial"/>
                <w:sz w:val="19"/>
                <w:szCs w:val="19"/>
              </w:rPr>
              <w:t xml:space="preserve">dash-uoi</w:t>
            </w:r>
          </w:p>
        </w:tc>
      </w:tr>
      <w:tr>
        <w:tc>
          <w:tcPr>
            <w:tcW w:type="dxa" w:w="3000"/>
            <w:shd w:fill="FFFFFF" w:color="auto" w:val="clear"/>
            <w:tcMar>
              <w:top w:type="dxa" w:w="90"/>
              <w:left w:type="dxa" w:w="120"/>
              <w:bottom w:type="dxa" w:w="90"/>
              <w:right w:type="dxa" w:w="120"/>
            </w:tcMar>
          </w:tcPr>
          <w:p>
            <w:pPr>
              <w:spacing w:after="0" w:line="260"/>
            </w:pPr>
            <w:r>
              <w:rPr>
                <w:rFonts w:ascii="Arial" w:cs="Arial" w:eastAsia="Arial" w:hAnsi="Arial"/>
                <w:sz w:val="19"/>
                <w:szCs w:val="19"/>
              </w:rPr>
              <w:t xml:space="preserve">Automation account</w:t>
            </w:r>
          </w:p>
        </w:tc>
        <w:tc>
          <w:tcPr>
            <w:tcW w:type="dxa" w:w="6360"/>
            <w:shd w:fill="FFFFFF" w:color="auto" w:val="clear"/>
            <w:tcMar>
              <w:top w:type="dxa" w:w="90"/>
              <w:left w:type="dxa" w:w="120"/>
              <w:bottom w:type="dxa" w:w="90"/>
              <w:right w:type="dxa" w:w="120"/>
            </w:tcMar>
          </w:tcPr>
          <w:p>
            <w:pPr>
              <w:spacing w:after="0" w:line="260"/>
            </w:pPr>
            <w:r>
              <w:rPr>
                <w:rFonts w:ascii="Arial" w:cs="Arial" w:eastAsia="Arial" w:hAnsi="Arial"/>
                <w:sz w:val="19"/>
                <w:szCs w:val="19"/>
              </w:rPr>
              <w:t xml:space="preserve">aa-uoi</w:t>
            </w:r>
          </w:p>
        </w:tc>
      </w:tr>
    </w:tbl>
    <w:p>
      <w:r>
        <w:br w:type="page"/>
      </w:r>
    </w:p>
    <w:p>
      <w:pPr>
        <w:pStyle w:val="Heading1"/>
        <w:pBdr>
          <w:bottom w:val="single" w:color="0F6CBD" w:sz="10" w:space="6"/>
        </w:pBdr>
        <w:spacing w:after="160" w:before="360"/>
        <w:outlineLvl w:val="0"/>
      </w:pPr>
      <w:r>
        <w:rPr>
          <w:rFonts w:ascii="Arial" w:cs="Arial" w:eastAsia="Arial" w:hAnsi="Arial"/>
          <w:b/>
          <w:bCs/>
          <w:color w:val="13324B"/>
          <w:sz w:val="30"/>
          <w:szCs w:val="30"/>
        </w:rPr>
        <w:t xml:space="preserve">Step 1 — The estate</w:t>
      </w:r>
    </w:p>
    <w:p>
      <w:pPr>
        <w:pStyle w:val="Heading2"/>
        <w:spacing w:after="120" w:before="280"/>
        <w:outlineLvl w:val="1"/>
      </w:pPr>
      <w:r>
        <w:rPr>
          <w:rFonts w:ascii="Arial" w:cs="Arial" w:eastAsia="Arial" w:hAnsi="Arial"/>
          <w:b/>
          <w:bCs/>
          <w:color w:val="0F6CBD"/>
          <w:sz w:val="25"/>
          <w:szCs w:val="25"/>
        </w:rPr>
        <w:t xml:space="preserve">Where to click</w:t>
      </w:r>
    </w:p>
    <w:p>
      <w:pPr>
        <w:pStyle w:val="ListParagraph"/>
        <w:numPr>
          <w:ilvl w:val="0"/>
          <w:numId w:val="2"/>
        </w:numPr>
        <w:spacing w:after="120" w:line="276"/>
      </w:pPr>
      <w:r>
        <w:rPr>
          <w:rFonts w:ascii="Arial" w:cs="Arial" w:eastAsia="Arial" w:hAnsi="Arial"/>
          <w:sz w:val="21"/>
          <w:szCs w:val="21"/>
        </w:rPr>
        <w:t xml:space="preserve">Portal → </w:t>
      </w:r>
      <w:r>
        <w:rPr>
          <w:rFonts w:ascii="Arial" w:cs="Arial" w:eastAsia="Arial" w:hAnsi="Arial"/>
          <w:b/>
          <w:bCs/>
          <w:sz w:val="21"/>
          <w:szCs w:val="21"/>
        </w:rPr>
        <w:t xml:space="preserve">Resource groups</w:t>
      </w:r>
      <w:r>
        <w:rPr>
          <w:rFonts w:ascii="Arial" w:cs="Arial" w:eastAsia="Arial" w:hAnsi="Arial"/>
          <w:sz w:val="21"/>
          <w:szCs w:val="21"/>
        </w:rPr>
        <w:t xml:space="preserve"> → </w:t>
      </w:r>
      <w:r>
        <w:rPr>
          <w:rFonts w:ascii="Consolas" w:cs="Consolas" w:eastAsia="Consolas" w:hAnsi="Consolas"/>
          <w:sz w:val="19"/>
          <w:szCs w:val="19"/>
        </w:rPr>
        <w:t xml:space="preserve">rg-uoi-iaas</w:t>
      </w:r>
      <w:r>
        <w:rPr>
          <w:rFonts w:ascii="Arial" w:cs="Arial" w:eastAsia="Arial" w:hAnsi="Arial"/>
          <w:sz w:val="21"/>
          <w:szCs w:val="21"/>
        </w:rPr>
        <w:t xml:space="preserve">.</w:t>
      </w:r>
    </w:p>
    <w:p>
      <w:pPr>
        <w:pStyle w:val="ListParagraph"/>
        <w:numPr>
          <w:ilvl w:val="0"/>
          <w:numId w:val="2"/>
        </w:numPr>
        <w:spacing w:after="120" w:line="276"/>
      </w:pPr>
      <w:r>
        <w:rPr>
          <w:rFonts w:ascii="Arial" w:cs="Arial" w:eastAsia="Arial" w:hAnsi="Arial"/>
          <w:sz w:val="21"/>
          <w:szCs w:val="21"/>
        </w:rPr>
        <w:t xml:space="preserve">Leave the resource list on screen while you set the scene.</w:t>
      </w:r>
    </w:p>
    <w:p>
      <w:pPr>
        <w:spacing w:after="80"/>
      </w:pPr>
    </w:p>
    <w:p>
      <w:pPr>
        <w:pStyle w:val="Heading2"/>
        <w:spacing w:after="120" w:before="280"/>
        <w:outlineLvl w:val="1"/>
      </w:pPr>
      <w:r>
        <w:rPr>
          <w:rFonts w:ascii="Arial" w:cs="Arial" w:eastAsia="Arial" w:hAnsi="Arial"/>
          <w:b/>
          <w:bCs/>
          <w:color w:val="0F6CBD"/>
          <w:sz w:val="25"/>
          <w:szCs w:val="25"/>
        </w:rPr>
        <w:t xml:space="preserve">What you should see</w:t>
      </w:r>
    </w:p>
    <w:p>
      <w:pPr>
        <w:spacing w:after="60" w:before="160"/>
        <w:jc w:val="center"/>
      </w:pPr>
      <w:r>
        <w:drawing>
          <wp:inline distT="0" distB="0" distL="0" distR="0">
            <wp:extent cx="5943600" cy="3362325"/>
            <wp:effectExtent t="0" r="0" b="0" l="0"/>
            <wp:docPr id="1" name="01-resource-group.png" descr="Figure 1 — Resource group rg-uoi-iaas. Six virtual machines, the Log Analytics workspace, Data Collection Rules, the Automation account and the alert rules — all real Azure resources." title="Figure 1 — Resource group rg-uoi-iaas. Six virtual machines, the Log Analytics workspace, Data Collection Rules, the Automation account and the alert rules — all real Azure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362325"/>
                    </a:xfrm>
                    <a:prstGeom prst="rect">
                      <a:avLst/>
                    </a:prstGeom>
                  </pic:spPr>
                </pic:pic>
              </a:graphicData>
            </a:graphic>
          </wp:inline>
        </w:drawing>
      </w:r>
    </w:p>
    <w:p>
      <w:pPr>
        <w:spacing w:after="240"/>
        <w:jc w:val="center"/>
      </w:pPr>
      <w:r>
        <w:rPr>
          <w:rFonts w:ascii="Arial" w:cs="Arial" w:eastAsia="Arial" w:hAnsi="Arial"/>
          <w:i/>
          <w:iCs/>
          <w:color w:val="505050"/>
          <w:sz w:val="17"/>
          <w:szCs w:val="17"/>
        </w:rPr>
        <w:t xml:space="preserve">Figure 1 — Resource group rg-uoi-iaas. Six virtual machines, the Log Analytics workspace, Data Collection Rules, the Automation account and the alert rules — all real Azure resources.</w:t>
      </w:r>
    </w:p>
    <w:tbl>
      <w:tblPr>
        <w:tblW w:type="pct" w:w="100%"/>
        <w:tblBorders>
          <w:top w:val="single" w:color="EFF6FC" w:sz="2"/>
          <w:left w:val="single" w:color="0F6CBD" w:sz="18"/>
          <w:bottom w:val="single" w:color="EFF6FC" w:sz="2"/>
          <w:right w:val="single" w:color="EFF6FC" w:sz="2"/>
          <w:insideH w:val="none" w:color="FFFFFF" w:sz="0"/>
          <w:insideV w:val="none" w:color="FFFFFF" w:sz="0"/>
        </w:tblBorders>
      </w:tblPr>
      <w:tblGrid>
        <w:gridCol w:w="9360"/>
      </w:tblGrid>
      <w:tr>
        <w:tc>
          <w:tcPr>
            <w:tcW w:type="dxa" w:w="9360"/>
            <w:shd w:fill="EFF6FC" w:color="auto" w:val="clear"/>
            <w:tcMar>
              <w:top w:type="dxa" w:w="140"/>
              <w:left w:type="dxa" w:w="180"/>
              <w:bottom w:type="dxa" w:w="140"/>
              <w:right w:type="dxa" w:w="180"/>
            </w:tcMar>
          </w:tcPr>
          <w:p>
            <w:pPr>
              <w:spacing w:after="60"/>
            </w:pPr>
            <w:r>
              <w:rPr>
                <w:rFonts w:ascii="Arial" w:cs="Arial" w:eastAsia="Arial" w:hAnsi="Arial"/>
                <w:b/>
                <w:bCs/>
                <w:color w:val="13324B"/>
                <w:sz w:val="20"/>
                <w:szCs w:val="20"/>
              </w:rPr>
              <w:t xml:space="preserve">SAY THIS</w:t>
            </w:r>
          </w:p>
          <w:p>
            <w:pPr>
              <w:spacing w:after="40" w:line="264"/>
            </w:pPr>
            <w:r>
              <w:rPr>
                <w:rFonts w:ascii="Arial" w:cs="Arial" w:eastAsia="Arial" w:hAnsi="Arial"/>
                <w:i/>
                <w:iCs/>
                <w:sz w:val="20"/>
                <w:szCs w:val="20"/>
              </w:rPr>
              <w:t xml:space="preserve">“Everything in this demonstration lives in one resource group. Six virtual machines, a Log Analytics workspace, the Data Collection Rules that get telemetry there, and native Azure Monitor alert rules. There is no custom application anywhere in this picture.”</w:t>
            </w:r>
          </w:p>
        </w:tc>
      </w:tr>
    </w:tbl>
    <w:p>
      <w:pPr>
        <w:spacing w:after="160"/>
      </w:pPr>
    </w:p>
    <w:tbl>
      <w:tblPr>
        <w:tblW w:type="pct" w:w="100%"/>
        <w:tblBorders>
          <w:top w:val="single" w:color="EFF6FC" w:sz="2"/>
          <w:left w:val="single" w:color="0F6CBD" w:sz="18"/>
          <w:bottom w:val="single" w:color="EFF6FC" w:sz="2"/>
          <w:right w:val="single" w:color="EFF6FC" w:sz="2"/>
          <w:insideH w:val="none" w:color="FFFFFF" w:sz="0"/>
          <w:insideV w:val="none" w:color="FFFFFF" w:sz="0"/>
        </w:tblBorders>
      </w:tblPr>
      <w:tblGrid>
        <w:gridCol w:w="9360"/>
      </w:tblGrid>
      <w:tr>
        <w:tc>
          <w:tcPr>
            <w:tcW w:type="dxa" w:w="9360"/>
            <w:shd w:fill="EFF6FC" w:color="auto" w:val="clear"/>
            <w:tcMar>
              <w:top w:type="dxa" w:w="140"/>
              <w:left w:type="dxa" w:w="180"/>
              <w:bottom w:type="dxa" w:w="140"/>
              <w:right w:type="dxa" w:w="180"/>
            </w:tcMar>
          </w:tcPr>
          <w:p>
            <w:pPr>
              <w:spacing w:after="60"/>
            </w:pPr>
            <w:r>
              <w:rPr>
                <w:rFonts w:ascii="Arial" w:cs="Arial" w:eastAsia="Arial" w:hAnsi="Arial"/>
                <w:b/>
                <w:bCs/>
                <w:color w:val="13324B"/>
                <w:sz w:val="20"/>
                <w:szCs w:val="20"/>
              </w:rPr>
              <w:t xml:space="preserve">WHY START HERE</w:t>
            </w:r>
          </w:p>
          <w:p>
            <w:pPr>
              <w:spacing w:after="40" w:line="264"/>
            </w:pPr>
            <w:r>
              <w:rPr>
                <w:rFonts w:ascii="Arial" w:cs="Arial" w:eastAsia="Arial" w:hAnsi="Arial"/>
                <w:sz w:val="20"/>
                <w:szCs w:val="20"/>
              </w:rPr>
              <w:t xml:space="preserve">Opening on the resource list answers the "is this a mock-up?" question before it is asked. The audience sees genuine Azure resource types with genuine provisioning states, not a product screenshot.</w:t>
            </w:r>
          </w:p>
        </w:tc>
      </w:tr>
    </w:tbl>
    <w:p>
      <w:r>
        <w:br w:type="page"/>
      </w:r>
    </w:p>
    <w:p>
      <w:pPr>
        <w:pStyle w:val="Heading1"/>
        <w:pBdr>
          <w:bottom w:val="single" w:color="0F6CBD" w:sz="10" w:space="6"/>
        </w:pBdr>
        <w:spacing w:after="160" w:before="360"/>
        <w:outlineLvl w:val="0"/>
      </w:pPr>
      <w:r>
        <w:rPr>
          <w:rFonts w:ascii="Arial" w:cs="Arial" w:eastAsia="Arial" w:hAnsi="Arial"/>
          <w:b/>
          <w:bCs/>
          <w:color w:val="13324B"/>
          <w:sz w:val="30"/>
          <w:szCs w:val="30"/>
        </w:rPr>
        <w:t xml:space="preserve">Step 2 — Dashboard: the opening frame</w:t>
      </w:r>
    </w:p>
    <w:p>
      <w:pPr>
        <w:spacing w:after="140" w:line="276"/>
      </w:pPr>
      <w:r>
        <w:rPr>
          <w:rFonts w:ascii="Arial" w:cs="Arial" w:eastAsia="Arial" w:hAnsi="Arial"/>
          <w:sz w:val="21"/>
          <w:szCs w:val="21"/>
        </w:rPr>
        <w:t xml:space="preserve">Approximately 2 minutes.</w:t>
      </w:r>
    </w:p>
    <w:p>
      <w:pPr>
        <w:pStyle w:val="Heading2"/>
        <w:spacing w:after="120" w:before="280"/>
        <w:outlineLvl w:val="1"/>
      </w:pPr>
      <w:r>
        <w:rPr>
          <w:rFonts w:ascii="Arial" w:cs="Arial" w:eastAsia="Arial" w:hAnsi="Arial"/>
          <w:b/>
          <w:bCs/>
          <w:color w:val="0F6CBD"/>
          <w:sz w:val="25"/>
          <w:szCs w:val="25"/>
        </w:rPr>
        <w:t xml:space="preserve">Where to click</w:t>
      </w:r>
    </w:p>
    <w:p>
      <w:pPr>
        <w:pStyle w:val="ListParagraph"/>
        <w:numPr>
          <w:ilvl w:val="0"/>
          <w:numId w:val="2"/>
        </w:numPr>
        <w:spacing w:after="120" w:line="276"/>
      </w:pPr>
      <w:r>
        <w:rPr>
          <w:rFonts w:ascii="Arial" w:cs="Arial" w:eastAsia="Arial" w:hAnsi="Arial"/>
          <w:sz w:val="21"/>
          <w:szCs w:val="21"/>
        </w:rPr>
        <w:t xml:space="preserve">Portal → </w:t>
      </w:r>
      <w:r>
        <w:rPr>
          <w:rFonts w:ascii="Arial" w:cs="Arial" w:eastAsia="Arial" w:hAnsi="Arial"/>
          <w:b/>
          <w:bCs/>
          <w:sz w:val="21"/>
          <w:szCs w:val="21"/>
        </w:rPr>
        <w:t xml:space="preserve">Dashboard</w:t>
      </w:r>
      <w:r>
        <w:rPr>
          <w:rFonts w:ascii="Arial" w:cs="Arial" w:eastAsia="Arial" w:hAnsi="Arial"/>
          <w:sz w:val="21"/>
          <w:szCs w:val="21"/>
        </w:rPr>
        <w:t xml:space="preserve"> (from the portal menu, top left).</w:t>
      </w:r>
    </w:p>
    <w:p>
      <w:pPr>
        <w:pStyle w:val="ListParagraph"/>
        <w:numPr>
          <w:ilvl w:val="0"/>
          <w:numId w:val="2"/>
        </w:numPr>
        <w:spacing w:after="120" w:line="276"/>
      </w:pPr>
      <w:r>
        <w:rPr>
          <w:rFonts w:ascii="Arial" w:cs="Arial" w:eastAsia="Arial" w:hAnsi="Arial"/>
          <w:sz w:val="21"/>
          <w:szCs w:val="21"/>
        </w:rPr>
        <w:t xml:space="preserve">Select </w:t>
      </w:r>
      <w:r>
        <w:rPr>
          <w:rFonts w:ascii="Consolas" w:cs="Consolas" w:eastAsia="Consolas" w:hAnsi="Consolas"/>
          <w:sz w:val="19"/>
          <w:szCs w:val="19"/>
        </w:rPr>
        <w:t xml:space="preserve">dash-uoi</w:t>
      </w:r>
      <w:r>
        <w:rPr>
          <w:rFonts w:ascii="Arial" w:cs="Arial" w:eastAsia="Arial" w:hAnsi="Arial"/>
          <w:sz w:val="21"/>
          <w:szCs w:val="21"/>
        </w:rPr>
        <w:t xml:space="preserve"> from the dashboard picker.</w:t>
      </w:r>
    </w:p>
    <w:p>
      <w:pPr>
        <w:spacing w:after="80"/>
      </w:pPr>
    </w:p>
    <w:p>
      <w:pPr>
        <w:pStyle w:val="Heading2"/>
        <w:spacing w:after="120" w:before="280"/>
        <w:outlineLvl w:val="1"/>
      </w:pPr>
      <w:r>
        <w:rPr>
          <w:rFonts w:ascii="Arial" w:cs="Arial" w:eastAsia="Arial" w:hAnsi="Arial"/>
          <w:b/>
          <w:bCs/>
          <w:color w:val="0F6CBD"/>
          <w:sz w:val="25"/>
          <w:szCs w:val="25"/>
        </w:rPr>
        <w:t xml:space="preserve">What you should see</w:t>
      </w:r>
    </w:p>
    <w:p>
      <w:pPr>
        <w:spacing w:after="60" w:before="160"/>
        <w:jc w:val="center"/>
      </w:pPr>
      <w:r>
        <w:drawing>
          <wp:inline distT="0" distB="0" distL="0" distR="0">
            <wp:extent cx="5943600" cy="3362325"/>
            <wp:effectExtent t="0" r="0" b="0" l="0"/>
            <wp:docPr id="1" name="02-dashboard.png" descr="Figure 2 — The dash-uoi dashboard. Synthetic-data labelling, the headline correlation figure, and live Azure Monitor charts reading real virtual machine metrics." title="Figure 2 — The dash-uoi dashboard. Synthetic-data labelling, the headline correlation figure, and live Azure Monitor charts reading real virtual machine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362325"/>
                    </a:xfrm>
                    <a:prstGeom prst="rect">
                      <a:avLst/>
                    </a:prstGeom>
                  </pic:spPr>
                </pic:pic>
              </a:graphicData>
            </a:graphic>
          </wp:inline>
        </w:drawing>
      </w:r>
    </w:p>
    <w:p>
      <w:pPr>
        <w:spacing w:after="240"/>
        <w:jc w:val="center"/>
      </w:pPr>
      <w:r>
        <w:rPr>
          <w:rFonts w:ascii="Arial" w:cs="Arial" w:eastAsia="Arial" w:hAnsi="Arial"/>
          <w:i/>
          <w:iCs/>
          <w:color w:val="505050"/>
          <w:sz w:val="17"/>
          <w:szCs w:val="17"/>
        </w:rPr>
        <w:t xml:space="preserve">Figure 2 — The dash-uoi dashboard. Synthetic-data labelling, the headline correlation figure, and live Azure Monitor charts reading real virtual machine metrics.</w:t>
      </w:r>
    </w:p>
    <w:tbl>
      <w:tblPr>
        <w:tblW w:type="pct" w:w="100%"/>
        <w:tblBorders>
          <w:top w:val="single" w:color="EFF6FC" w:sz="2"/>
          <w:left w:val="single" w:color="0F6CBD" w:sz="18"/>
          <w:bottom w:val="single" w:color="EFF6FC" w:sz="2"/>
          <w:right w:val="single" w:color="EFF6FC" w:sz="2"/>
          <w:insideH w:val="none" w:color="FFFFFF" w:sz="0"/>
          <w:insideV w:val="none" w:color="FFFFFF" w:sz="0"/>
        </w:tblBorders>
      </w:tblPr>
      <w:tblGrid>
        <w:gridCol w:w="9360"/>
      </w:tblGrid>
      <w:tr>
        <w:tc>
          <w:tcPr>
            <w:tcW w:type="dxa" w:w="9360"/>
            <w:shd w:fill="EFF6FC" w:color="auto" w:val="clear"/>
            <w:tcMar>
              <w:top w:type="dxa" w:w="140"/>
              <w:left w:type="dxa" w:w="180"/>
              <w:bottom w:type="dxa" w:w="140"/>
              <w:right w:type="dxa" w:w="180"/>
            </w:tcMar>
          </w:tcPr>
          <w:p>
            <w:pPr>
              <w:spacing w:after="60"/>
            </w:pPr>
            <w:r>
              <w:rPr>
                <w:rFonts w:ascii="Arial" w:cs="Arial" w:eastAsia="Arial" w:hAnsi="Arial"/>
                <w:b/>
                <w:bCs/>
                <w:color w:val="13324B"/>
                <w:sz w:val="20"/>
                <w:szCs w:val="20"/>
              </w:rPr>
              <w:t xml:space="preserve">SAY THIS</w:t>
            </w:r>
          </w:p>
          <w:p>
            <w:pPr>
              <w:spacing w:after="40" w:line="264"/>
            </w:pPr>
            <w:r>
              <w:rPr>
                <w:rFonts w:ascii="Arial" w:cs="Arial" w:eastAsia="Arial" w:hAnsi="Arial"/>
                <w:i/>
                <w:iCs/>
                <w:sz w:val="20"/>
                <w:szCs w:val="20"/>
              </w:rPr>
              <w:t xml:space="preserve">“This is native Azure Monitor. No custom application, no export, no middleware. This is the Azure Portal rendering data that is already in the platform.”</w:t>
            </w:r>
          </w:p>
        </w:tc>
      </w:tr>
    </w:tbl>
    <w:p>
      <w:pPr>
        <w:spacing w:after="160"/>
      </w:pPr>
    </w:p>
    <w:tbl>
      <w:tblPr>
        <w:tblW w:type="pct" w:w="100%"/>
        <w:tblBorders>
          <w:top w:val="single" w:color="EFF6FC" w:sz="2"/>
          <w:left w:val="single" w:color="0F6CBD" w:sz="18"/>
          <w:bottom w:val="single" w:color="EFF6FC" w:sz="2"/>
          <w:right w:val="single" w:color="EFF6FC" w:sz="2"/>
          <w:insideH w:val="none" w:color="FFFFFF" w:sz="0"/>
          <w:insideV w:val="none" w:color="FFFFFF" w:sz="0"/>
        </w:tblBorders>
      </w:tblPr>
      <w:tblGrid>
        <w:gridCol w:w="9360"/>
      </w:tblGrid>
      <w:tr>
        <w:tc>
          <w:tcPr>
            <w:tcW w:type="dxa" w:w="9360"/>
            <w:shd w:fill="EFF6FC" w:color="auto" w:val="clear"/>
            <w:tcMar>
              <w:top w:type="dxa" w:w="140"/>
              <w:left w:type="dxa" w:w="180"/>
              <w:bottom w:type="dxa" w:w="140"/>
              <w:right w:type="dxa" w:w="180"/>
            </w:tcMar>
          </w:tcPr>
          <w:p>
            <w:pPr>
              <w:spacing w:after="60"/>
            </w:pPr>
            <w:r>
              <w:rPr>
                <w:rFonts w:ascii="Arial" w:cs="Arial" w:eastAsia="Arial" w:hAnsi="Arial"/>
                <w:b/>
                <w:bCs/>
                <w:color w:val="13324B"/>
                <w:sz w:val="20"/>
                <w:szCs w:val="20"/>
              </w:rPr>
              <w:t xml:space="preserve">PRESENTER NOTE</w:t>
            </w:r>
          </w:p>
          <w:p>
            <w:pPr>
              <w:spacing w:after="40" w:line="264"/>
            </w:pPr>
            <w:r>
              <w:rPr>
                <w:rFonts w:ascii="Arial" w:cs="Arial" w:eastAsia="Arial" w:hAnsi="Arial"/>
                <w:sz w:val="20"/>
                <w:szCs w:val="20"/>
              </w:rPr>
              <w:t xml:space="preserve">This is the "walk in and it is already on screen" view. If you are presenting to an audience that arrives in stages, leave this up. It carries the labelling and the headline number without you having to say anything.</w:t>
            </w:r>
          </w:p>
        </w:tc>
      </w:tr>
    </w:tbl>
    <w:p>
      <w:r>
        <w:br w:type="page"/>
      </w:r>
    </w:p>
    <w:p>
      <w:pPr>
        <w:pStyle w:val="Heading1"/>
        <w:pBdr>
          <w:bottom w:val="single" w:color="0F6CBD" w:sz="10" w:space="6"/>
        </w:pBdr>
        <w:spacing w:after="160" w:before="360"/>
        <w:outlineLvl w:val="0"/>
      </w:pPr>
      <w:r>
        <w:rPr>
          <w:rFonts w:ascii="Arial" w:cs="Arial" w:eastAsia="Arial" w:hAnsi="Arial"/>
          <w:b/>
          <w:bCs/>
          <w:color w:val="13324B"/>
          <w:sz w:val="30"/>
          <w:szCs w:val="30"/>
        </w:rPr>
        <w:t xml:space="preserve">Step 3 — Workbook, Tab 1: Estate health</w:t>
      </w:r>
    </w:p>
    <w:p>
      <w:pPr>
        <w:spacing w:after="140" w:line="276"/>
      </w:pPr>
      <w:r>
        <w:rPr>
          <w:rFonts w:ascii="Arial" w:cs="Arial" w:eastAsia="Arial" w:hAnsi="Arial"/>
          <w:sz w:val="21"/>
          <w:szCs w:val="21"/>
        </w:rPr>
        <w:t xml:space="preserve">The workbook is the main event — 10 to 12 minutes across its five tabs.</w:t>
      </w:r>
    </w:p>
    <w:p>
      <w:pPr>
        <w:pStyle w:val="Heading2"/>
        <w:spacing w:after="120" w:before="280"/>
        <w:outlineLvl w:val="1"/>
      </w:pPr>
      <w:r>
        <w:rPr>
          <w:rFonts w:ascii="Arial" w:cs="Arial" w:eastAsia="Arial" w:hAnsi="Arial"/>
          <w:b/>
          <w:bCs/>
          <w:color w:val="0F6CBD"/>
          <w:sz w:val="25"/>
          <w:szCs w:val="25"/>
        </w:rPr>
        <w:t xml:space="preserve">Where to click</w:t>
      </w:r>
    </w:p>
    <w:p>
      <w:pPr>
        <w:pStyle w:val="ListParagraph"/>
        <w:numPr>
          <w:ilvl w:val="0"/>
          <w:numId w:val="2"/>
        </w:numPr>
        <w:spacing w:after="120" w:line="276"/>
      </w:pPr>
      <w:r>
        <w:rPr>
          <w:rFonts w:ascii="Arial" w:cs="Arial" w:eastAsia="Arial" w:hAnsi="Arial"/>
          <w:sz w:val="21"/>
          <w:szCs w:val="21"/>
        </w:rPr>
        <w:t xml:space="preserve">Portal → </w:t>
      </w:r>
      <w:r>
        <w:rPr>
          <w:rFonts w:ascii="Arial" w:cs="Arial" w:eastAsia="Arial" w:hAnsi="Arial"/>
          <w:b/>
          <w:bCs/>
          <w:sz w:val="21"/>
          <w:szCs w:val="21"/>
        </w:rPr>
        <w:t xml:space="preserve">Monitor</w:t>
      </w:r>
      <w:r>
        <w:rPr>
          <w:rFonts w:ascii="Arial" w:cs="Arial" w:eastAsia="Arial" w:hAnsi="Arial"/>
          <w:sz w:val="21"/>
          <w:szCs w:val="21"/>
        </w:rPr>
        <w:t xml:space="preserve"> → </w:t>
      </w:r>
      <w:r>
        <w:rPr>
          <w:rFonts w:ascii="Arial" w:cs="Arial" w:eastAsia="Arial" w:hAnsi="Arial"/>
          <w:b/>
          <w:bCs/>
          <w:sz w:val="21"/>
          <w:szCs w:val="21"/>
        </w:rPr>
        <w:t xml:space="preserve">Workbooks</w:t>
      </w:r>
      <w:r>
        <w:rPr>
          <w:rFonts w:ascii="Arial" w:cs="Arial" w:eastAsia="Arial" w:hAnsi="Arial"/>
          <w:sz w:val="21"/>
          <w:szCs w:val="21"/>
        </w:rPr>
        <w:t xml:space="preserve">.</w:t>
      </w:r>
    </w:p>
    <w:p>
      <w:pPr>
        <w:pStyle w:val="ListParagraph"/>
        <w:numPr>
          <w:ilvl w:val="0"/>
          <w:numId w:val="2"/>
        </w:numPr>
        <w:spacing w:after="120" w:line="276"/>
      </w:pPr>
      <w:r>
        <w:rPr>
          <w:rFonts w:ascii="Arial" w:cs="Arial" w:eastAsia="Arial" w:hAnsi="Arial"/>
          <w:sz w:val="21"/>
          <w:szCs w:val="21"/>
        </w:rPr>
        <w:t xml:space="preserve">Open </w:t>
      </w:r>
      <w:r>
        <w:rPr>
          <w:rFonts w:ascii="Arial" w:cs="Arial" w:eastAsia="Arial" w:hAnsi="Arial"/>
          <w:b/>
          <w:bCs/>
          <w:sz w:val="21"/>
          <w:szCs w:val="21"/>
        </w:rPr>
        <w:t xml:space="preserve">UOI — Unified Operational Intelligence</w:t>
      </w:r>
      <w:r>
        <w:rPr>
          <w:rFonts w:ascii="Arial" w:cs="Arial" w:eastAsia="Arial" w:hAnsi="Arial"/>
          <w:sz w:val="21"/>
          <w:szCs w:val="21"/>
        </w:rPr>
        <w:t xml:space="preserve">.</w:t>
      </w:r>
    </w:p>
    <w:p>
      <w:pPr>
        <w:pStyle w:val="ListParagraph"/>
        <w:numPr>
          <w:ilvl w:val="0"/>
          <w:numId w:val="2"/>
        </w:numPr>
        <w:spacing w:after="120" w:line="276"/>
      </w:pPr>
      <w:r>
        <w:rPr>
          <w:rFonts w:ascii="Arial" w:cs="Arial" w:eastAsia="Arial" w:hAnsi="Arial"/>
          <w:sz w:val="21"/>
          <w:szCs w:val="21"/>
        </w:rPr>
        <w:t xml:space="preserve">Confirm the </w:t>
      </w:r>
      <w:r>
        <w:rPr>
          <w:rFonts w:ascii="Arial" w:cs="Arial" w:eastAsia="Arial" w:hAnsi="Arial"/>
          <w:b/>
          <w:bCs/>
          <w:sz w:val="21"/>
          <w:szCs w:val="21"/>
        </w:rPr>
        <w:t xml:space="preserve">Time range</w:t>
      </w:r>
      <w:r>
        <w:rPr>
          <w:rFonts w:ascii="Arial" w:cs="Arial" w:eastAsia="Arial" w:hAnsi="Arial"/>
          <w:sz w:val="21"/>
          <w:szCs w:val="21"/>
        </w:rPr>
        <w:t xml:space="preserve"> parameter at the top reads </w:t>
      </w:r>
      <w:r>
        <w:rPr>
          <w:rFonts w:ascii="Arial" w:cs="Arial" w:eastAsia="Arial" w:hAnsi="Arial"/>
          <w:b/>
          <w:bCs/>
          <w:sz w:val="21"/>
          <w:szCs w:val="21"/>
        </w:rPr>
        <w:t xml:space="preserve">Last 24 hours</w:t>
      </w:r>
      <w:r>
        <w:rPr>
          <w:rFonts w:ascii="Arial" w:cs="Arial" w:eastAsia="Arial" w:hAnsi="Arial"/>
          <w:sz w:val="21"/>
          <w:szCs w:val="21"/>
        </w:rPr>
        <w:t xml:space="preserve">. This single parameter re-scopes all 17 query items together.</w:t>
      </w:r>
    </w:p>
    <w:p>
      <w:pPr>
        <w:spacing w:after="80"/>
      </w:pPr>
    </w:p>
    <w:p>
      <w:pPr>
        <w:pStyle w:val="Heading2"/>
        <w:spacing w:after="120" w:before="280"/>
        <w:outlineLvl w:val="1"/>
      </w:pPr>
      <w:r>
        <w:rPr>
          <w:rFonts w:ascii="Arial" w:cs="Arial" w:eastAsia="Arial" w:hAnsi="Arial"/>
          <w:b/>
          <w:bCs/>
          <w:color w:val="0F6CBD"/>
          <w:sz w:val="25"/>
          <w:szCs w:val="25"/>
        </w:rPr>
        <w:t xml:space="preserve">What you should see</w:t>
      </w:r>
    </w:p>
    <w:p>
      <w:pPr>
        <w:spacing w:after="60" w:before="160"/>
        <w:jc w:val="center"/>
      </w:pPr>
      <w:r>
        <w:drawing>
          <wp:inline distT="0" distB="0" distL="0" distR="0">
            <wp:extent cx="5943600" cy="3362325"/>
            <wp:effectExtent t="0" r="0" b="0" l="0"/>
            <wp:docPr id="1" name="03-workbook-estate.png" descr="Figure 3 — Tab 1, Estate health. All six virtual machines listed with their tier and reporting status, under a 24-hour shared time range. Note the synthetic-data labelling carried in the workbook itself." title="Figure 3 — Tab 1, Estate health. All six virtual machines listed with their tier and reporting status, under a 24-hour shared time range. Note the synthetic-data labelling carried in the workbook its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362325"/>
                    </a:xfrm>
                    <a:prstGeom prst="rect">
                      <a:avLst/>
                    </a:prstGeom>
                  </pic:spPr>
                </pic:pic>
              </a:graphicData>
            </a:graphic>
          </wp:inline>
        </w:drawing>
      </w:r>
    </w:p>
    <w:p>
      <w:pPr>
        <w:spacing w:after="240"/>
        <w:jc w:val="center"/>
      </w:pPr>
      <w:r>
        <w:rPr>
          <w:rFonts w:ascii="Arial" w:cs="Arial" w:eastAsia="Arial" w:hAnsi="Arial"/>
          <w:i/>
          <w:iCs/>
          <w:color w:val="505050"/>
          <w:sz w:val="17"/>
          <w:szCs w:val="17"/>
        </w:rPr>
        <w:t xml:space="preserve">Figure 3 — Tab 1, Estate health. All six virtual machines listed with their tier and reporting status, under a 24-hour shared time range. Note the synthetic-data labelling carried in the workbook itself.</w:t>
      </w:r>
    </w:p>
    <w:tbl>
      <w:tblPr>
        <w:tblW w:type="pct" w:w="100%"/>
        <w:tblBorders>
          <w:top w:val="single" w:color="EFF6FC" w:sz="2"/>
          <w:left w:val="single" w:color="0F6CBD" w:sz="18"/>
          <w:bottom w:val="single" w:color="EFF6FC" w:sz="2"/>
          <w:right w:val="single" w:color="EFF6FC" w:sz="2"/>
          <w:insideH w:val="none" w:color="FFFFFF" w:sz="0"/>
          <w:insideV w:val="none" w:color="FFFFFF" w:sz="0"/>
        </w:tblBorders>
      </w:tblPr>
      <w:tblGrid>
        <w:gridCol w:w="9360"/>
      </w:tblGrid>
      <w:tr>
        <w:tc>
          <w:tcPr>
            <w:tcW w:type="dxa" w:w="9360"/>
            <w:shd w:fill="EFF6FC" w:color="auto" w:val="clear"/>
            <w:tcMar>
              <w:top w:type="dxa" w:w="140"/>
              <w:left w:type="dxa" w:w="180"/>
              <w:bottom w:type="dxa" w:w="140"/>
              <w:right w:type="dxa" w:w="180"/>
            </w:tcMar>
          </w:tcPr>
          <w:p>
            <w:pPr>
              <w:spacing w:after="60"/>
            </w:pPr>
            <w:r>
              <w:rPr>
                <w:rFonts w:ascii="Arial" w:cs="Arial" w:eastAsia="Arial" w:hAnsi="Arial"/>
                <w:b/>
                <w:bCs/>
                <w:color w:val="13324B"/>
                <w:sz w:val="20"/>
                <w:szCs w:val="20"/>
              </w:rPr>
              <w:t xml:space="preserve">SAY THIS</w:t>
            </w:r>
          </w:p>
          <w:p>
            <w:pPr>
              <w:spacing w:after="40" w:line="264"/>
            </w:pPr>
            <w:r>
              <w:rPr>
                <w:rFonts w:ascii="Arial" w:cs="Arial" w:eastAsia="Arial" w:hAnsi="Arial"/>
                <w:i/>
                <w:iCs/>
                <w:sz w:val="20"/>
                <w:szCs w:val="20"/>
              </w:rPr>
              <w:t xml:space="preserve">“These are real machines emitting real telemetry, collected by the Azure Monitor Agent through a Data Collection Rule. Nothing on this tab is mocked.”</w:t>
            </w:r>
          </w:p>
        </w:tc>
      </w:tr>
    </w:tbl>
    <w:p>
      <w:pPr>
        <w:spacing w:after="120"/>
      </w:pPr>
    </w:p>
    <w:p>
      <w:pPr>
        <w:spacing w:after="140" w:line="276"/>
      </w:pPr>
      <w:r>
        <w:rPr>
          <w:rFonts w:ascii="Arial" w:cs="Arial" w:eastAsia="Arial" w:hAnsi="Arial"/>
          <w:sz w:val="21"/>
          <w:szCs w:val="21"/>
        </w:rPr>
        <w:t xml:space="preserve">Scroll down on the same tab to reach the live performance charts.</w:t>
      </w:r>
    </w:p>
    <w:p>
      <w:pPr>
        <w:spacing w:after="60" w:before="160"/>
        <w:jc w:val="center"/>
      </w:pPr>
      <w:r>
        <w:drawing>
          <wp:inline distT="0" distB="0" distL="0" distR="0">
            <wp:extent cx="5943600" cy="3362325"/>
            <wp:effectExtent t="0" r="0" b="0" l="0"/>
            <wp:docPr id="1" name="03b-workbook-estate-cpu.png" descr="Figure 4 — Tab 1 continued. Real CPU, memory and network series drawn from InsightsMetrics, the same table VM Insights reads from." title="Figure 4 — Tab 1 continued. Real CPU, memory and network series drawn from InsightsMetrics, the same table VM Insights reads f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362325"/>
                    </a:xfrm>
                    <a:prstGeom prst="rect">
                      <a:avLst/>
                    </a:prstGeom>
                  </pic:spPr>
                </pic:pic>
              </a:graphicData>
            </a:graphic>
          </wp:inline>
        </w:drawing>
      </w:r>
    </w:p>
    <w:p>
      <w:pPr>
        <w:spacing w:after="240"/>
        <w:jc w:val="center"/>
      </w:pPr>
      <w:r>
        <w:rPr>
          <w:rFonts w:ascii="Arial" w:cs="Arial" w:eastAsia="Arial" w:hAnsi="Arial"/>
          <w:i/>
          <w:iCs/>
          <w:color w:val="505050"/>
          <w:sz w:val="17"/>
          <w:szCs w:val="17"/>
        </w:rPr>
        <w:t xml:space="preserve">Figure 4 — Tab 1 continued. Real CPU, memory and network series drawn from InsightsMetrics, the same table VM Insights reads from.</w:t>
      </w:r>
    </w:p>
    <w:tbl>
      <w:tblPr>
        <w:tblW w:type="pct" w:w="100%"/>
        <w:tblBorders>
          <w:top w:val="single" w:color="FFF4CE" w:sz="2"/>
          <w:left w:val="single" w:color="0F6CBD" w:sz="18"/>
          <w:bottom w:val="single" w:color="FFF4CE" w:sz="2"/>
          <w:right w:val="single" w:color="FFF4CE" w:sz="2"/>
          <w:insideH w:val="none" w:color="FFFFFF" w:sz="0"/>
          <w:insideV w:val="none" w:color="FFFFFF" w:sz="0"/>
        </w:tblBorders>
      </w:tblPr>
      <w:tblGrid>
        <w:gridCol w:w="9360"/>
      </w:tblGrid>
      <w:tr>
        <w:tc>
          <w:tcPr>
            <w:tcW w:type="dxa" w:w="9360"/>
            <w:shd w:fill="FFF4CE" w:color="auto" w:val="clear"/>
            <w:tcMar>
              <w:top w:type="dxa" w:w="140"/>
              <w:left w:type="dxa" w:w="180"/>
              <w:bottom w:type="dxa" w:w="140"/>
              <w:right w:type="dxa" w:w="180"/>
            </w:tcMar>
          </w:tcPr>
          <w:p>
            <w:pPr>
              <w:spacing w:after="60"/>
            </w:pPr>
            <w:r>
              <w:rPr>
                <w:rFonts w:ascii="Arial" w:cs="Arial" w:eastAsia="Arial" w:hAnsi="Arial"/>
                <w:b/>
                <w:bCs/>
                <w:color w:val="13324B"/>
                <w:sz w:val="20"/>
                <w:szCs w:val="20"/>
              </w:rPr>
              <w:t xml:space="preserve">IF A TILE IS BLANK</w:t>
            </w:r>
          </w:p>
          <w:p>
            <w:pPr>
              <w:spacing w:after="40" w:line="264"/>
            </w:pPr>
            <w:r>
              <w:rPr>
                <w:rFonts w:ascii="Arial" w:cs="Arial" w:eastAsia="Arial" w:hAnsi="Arial"/>
                <w:sz w:val="20"/>
                <w:szCs w:val="20"/>
              </w:rPr>
              <w:t xml:space="preserve">Widen the Time range parameter before assuming a fault. The synthetic business layer ages out of a 24-hour window. The estate-health tiles read real telemetry and should never be empty while the virtual machines are running.</w:t>
            </w:r>
          </w:p>
        </w:tc>
      </w:tr>
    </w:tbl>
    <w:p>
      <w:r>
        <w:br w:type="page"/>
      </w:r>
    </w:p>
    <w:p>
      <w:pPr>
        <w:pStyle w:val="Heading1"/>
        <w:pBdr>
          <w:bottom w:val="single" w:color="0F6CBD" w:sz="10" w:space="6"/>
        </w:pBdr>
        <w:spacing w:after="160" w:before="360"/>
        <w:outlineLvl w:val="0"/>
      </w:pPr>
      <w:r>
        <w:rPr>
          <w:rFonts w:ascii="Arial" w:cs="Arial" w:eastAsia="Arial" w:hAnsi="Arial"/>
          <w:b/>
          <w:bCs/>
          <w:color w:val="13324B"/>
          <w:sz w:val="30"/>
          <w:szCs w:val="30"/>
        </w:rPr>
        <w:t xml:space="preserve">Step 4 — Workbook, Tab 2: Incident correlation</w:t>
      </w:r>
    </w:p>
    <w:tbl>
      <w:tblPr>
        <w:tblW w:type="pct" w:w="100%"/>
        <w:tblBorders>
          <w:top w:val="single" w:color="E7F6EC" w:sz="2"/>
          <w:left w:val="single" w:color="0F6CBD" w:sz="18"/>
          <w:bottom w:val="single" w:color="E7F6EC" w:sz="2"/>
          <w:right w:val="single" w:color="E7F6EC" w:sz="2"/>
          <w:insideH w:val="none" w:color="FFFFFF" w:sz="0"/>
          <w:insideV w:val="none" w:color="FFFFFF" w:sz="0"/>
        </w:tblBorders>
      </w:tblPr>
      <w:tblGrid>
        <w:gridCol w:w="9360"/>
      </w:tblGrid>
      <w:tr>
        <w:tc>
          <w:tcPr>
            <w:tcW w:type="dxa" w:w="9360"/>
            <w:shd w:fill="E7F6EC" w:color="auto" w:val="clear"/>
            <w:tcMar>
              <w:top w:type="dxa" w:w="140"/>
              <w:left w:type="dxa" w:w="180"/>
              <w:bottom w:type="dxa" w:w="140"/>
              <w:right w:type="dxa" w:w="180"/>
            </w:tcMar>
          </w:tcPr>
          <w:p>
            <w:pPr>
              <w:spacing w:after="60"/>
            </w:pPr>
            <w:r>
              <w:rPr>
                <w:rFonts w:ascii="Arial" w:cs="Arial" w:eastAsia="Arial" w:hAnsi="Arial"/>
                <w:b/>
                <w:bCs/>
                <w:color w:val="13324B"/>
                <w:sz w:val="20"/>
                <w:szCs w:val="20"/>
              </w:rPr>
              <w:t xml:space="preserve">THIS IS THE MONEY SLIDE</w:t>
            </w:r>
          </w:p>
          <w:p>
            <w:pPr>
              <w:spacing w:after="40" w:line="264"/>
            </w:pPr>
            <w:r>
              <w:rPr>
                <w:rFonts w:ascii="Arial" w:cs="Arial" w:eastAsia="Arial" w:hAnsi="Arial"/>
                <w:b/>
                <w:bCs/>
                <w:sz w:val="20"/>
                <w:szCs w:val="20"/>
              </w:rPr>
              <w:t xml:space="preserve">Slow down here. Everything before this was setting up the claim; everything after it is evidence for the claim. This tab is the claim.</w:t>
            </w:r>
          </w:p>
        </w:tc>
      </w:tr>
    </w:tbl>
    <w:p>
      <w:pPr>
        <w:spacing w:after="160"/>
      </w:pPr>
    </w:p>
    <w:p>
      <w:pPr>
        <w:pStyle w:val="Heading2"/>
        <w:spacing w:after="120" w:before="280"/>
        <w:outlineLvl w:val="1"/>
      </w:pPr>
      <w:r>
        <w:rPr>
          <w:rFonts w:ascii="Arial" w:cs="Arial" w:eastAsia="Arial" w:hAnsi="Arial"/>
          <w:b/>
          <w:bCs/>
          <w:color w:val="0F6CBD"/>
          <w:sz w:val="25"/>
          <w:szCs w:val="25"/>
        </w:rPr>
        <w:t xml:space="preserve">Where to click</w:t>
      </w:r>
    </w:p>
    <w:p>
      <w:pPr>
        <w:pStyle w:val="ListParagraph"/>
        <w:numPr>
          <w:ilvl w:val="0"/>
          <w:numId w:val="2"/>
        </w:numPr>
        <w:spacing w:after="120" w:line="276"/>
      </w:pPr>
      <w:r>
        <w:rPr>
          <w:rFonts w:ascii="Arial" w:cs="Arial" w:eastAsia="Arial" w:hAnsi="Arial"/>
          <w:sz w:val="21"/>
          <w:szCs w:val="21"/>
        </w:rPr>
        <w:t xml:space="preserve">In the workbook, select the </w:t>
      </w:r>
      <w:r>
        <w:rPr>
          <w:rFonts w:ascii="Arial" w:cs="Arial" w:eastAsia="Arial" w:hAnsi="Arial"/>
          <w:b/>
          <w:bCs/>
          <w:sz w:val="21"/>
          <w:szCs w:val="21"/>
        </w:rPr>
        <w:t xml:space="preserve">Incident correlation</w:t>
      </w:r>
      <w:r>
        <w:rPr>
          <w:rFonts w:ascii="Arial" w:cs="Arial" w:eastAsia="Arial" w:hAnsi="Arial"/>
          <w:sz w:val="21"/>
          <w:szCs w:val="21"/>
        </w:rPr>
        <w:t xml:space="preserve"> tab.</w:t>
      </w:r>
    </w:p>
    <w:p>
      <w:pPr>
        <w:spacing w:after="80"/>
      </w:pPr>
    </w:p>
    <w:p>
      <w:pPr>
        <w:pStyle w:val="Heading2"/>
        <w:spacing w:after="120" w:before="280"/>
        <w:outlineLvl w:val="1"/>
      </w:pPr>
      <w:r>
        <w:rPr>
          <w:rFonts w:ascii="Arial" w:cs="Arial" w:eastAsia="Arial" w:hAnsi="Arial"/>
          <w:b/>
          <w:bCs/>
          <w:color w:val="0F6CBD"/>
          <w:sz w:val="25"/>
          <w:szCs w:val="25"/>
        </w:rPr>
        <w:t xml:space="preserve">What you should see</w:t>
      </w:r>
    </w:p>
    <w:p>
      <w:pPr>
        <w:spacing w:after="60" w:before="160"/>
        <w:jc w:val="center"/>
      </w:pPr>
      <w:r>
        <w:drawing>
          <wp:inline distT="0" distB="0" distL="0" distR="0">
            <wp:extent cx="5943600" cy="3362325"/>
            <wp:effectExtent t="0" r="0" b="0" l="0"/>
            <wp:docPr id="1" name="04-workbook-incident.png" descr="Figure 5 — Tab 2, Incident correlation. The headline tile: 150 related alerts, 1 actionable incident, a 99% reduction in items to triage." title="Figure 5 — Tab 2, Incident correlation. The headline tile: 150 related alerts, 1 actionable incident, a 99% reduction in items to tri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362325"/>
                    </a:xfrm>
                    <a:prstGeom prst="rect">
                      <a:avLst/>
                    </a:prstGeom>
                  </pic:spPr>
                </pic:pic>
              </a:graphicData>
            </a:graphic>
          </wp:inline>
        </w:drawing>
      </w:r>
    </w:p>
    <w:p>
      <w:pPr>
        <w:spacing w:after="240"/>
        <w:jc w:val="center"/>
      </w:pPr>
      <w:r>
        <w:rPr>
          <w:rFonts w:ascii="Arial" w:cs="Arial" w:eastAsia="Arial" w:hAnsi="Arial"/>
          <w:i/>
          <w:iCs/>
          <w:color w:val="505050"/>
          <w:sz w:val="17"/>
          <w:szCs w:val="17"/>
        </w:rPr>
        <w:t xml:space="preserve">Figure 5 — Tab 2, Incident correlation. The headline tile: 150 related alerts, 1 actionable incident, a 99% reduction in items to triage.</w:t>
      </w:r>
    </w:p>
    <w:p>
      <w:pPr>
        <w:spacing w:after="80"/>
      </w:pPr>
    </w:p>
    <w:tbl>
      <w:tblPr>
        <w:tblW w:type="pct" w:w="100%"/>
        <w:tblBorders>
          <w:top w:val="single" w:color="D1D1D1" w:sz="2"/>
          <w:left w:val="single" w:color="D1D1D1" w:sz="2"/>
          <w:bottom w:val="single" w:color="D1D1D1" w:sz="2"/>
          <w:right w:val="single" w:color="D1D1D1" w:sz="2"/>
          <w:insideH w:val="single" w:color="D1D1D1" w:sz="2"/>
          <w:insideV w:val="single" w:color="D1D1D1" w:sz="2"/>
        </w:tblBorders>
      </w:tblPr>
      <w:tblGrid>
        <w:gridCol w:w="3120"/>
        <w:gridCol w:w="3120"/>
        <w:gridCol w:w="3120"/>
      </w:tblGrid>
      <w:tr>
        <w:trPr>
          <w:tblHeader/>
        </w:trPr>
        <w:tc>
          <w:tcPr>
            <w:tcW w:type="dxa" w:w="3120"/>
            <w:shd w:fill="0F6CBD"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Related alerts</w:t>
            </w:r>
          </w:p>
        </w:tc>
        <w:tc>
          <w:tcPr>
            <w:tcW w:type="dxa" w:w="3120"/>
            <w:shd w:fill="0F6CBD"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Actionable incidents</w:t>
            </w:r>
          </w:p>
        </w:tc>
        <w:tc>
          <w:tcPr>
            <w:tcW w:type="dxa" w:w="3120"/>
            <w:shd w:fill="0F6CBD"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Reduction in items to triage</w:t>
            </w:r>
          </w:p>
        </w:tc>
      </w:tr>
      <w:tr>
        <w:tc>
          <w:tcPr>
            <w:tcW w:type="dxa" w:w="3120"/>
            <w:shd w:fill="FFFFFF" w:color="auto" w:val="clear"/>
            <w:tcMar>
              <w:top w:type="dxa" w:w="90"/>
              <w:left w:type="dxa" w:w="120"/>
              <w:bottom w:type="dxa" w:w="90"/>
              <w:right w:type="dxa" w:w="120"/>
            </w:tcMar>
          </w:tcPr>
          <w:p>
            <w:pPr>
              <w:spacing w:after="0" w:line="260"/>
            </w:pPr>
            <w:r>
              <w:rPr>
                <w:rFonts w:ascii="Arial" w:cs="Arial" w:eastAsia="Arial" w:hAnsi="Arial"/>
                <w:sz w:val="19"/>
                <w:szCs w:val="19"/>
              </w:rPr>
              <w:t xml:space="preserve">150</w:t>
            </w:r>
          </w:p>
        </w:tc>
        <w:tc>
          <w:tcPr>
            <w:tcW w:type="dxa" w:w="3120"/>
            <w:shd w:fill="FFFFFF" w:color="auto" w:val="clear"/>
            <w:tcMar>
              <w:top w:type="dxa" w:w="90"/>
              <w:left w:type="dxa" w:w="120"/>
              <w:bottom w:type="dxa" w:w="90"/>
              <w:right w:type="dxa" w:w="120"/>
            </w:tcMar>
          </w:tcPr>
          <w:p>
            <w:pPr>
              <w:spacing w:after="0" w:line="260"/>
            </w:pPr>
            <w:r>
              <w:rPr>
                <w:rFonts w:ascii="Arial" w:cs="Arial" w:eastAsia="Arial" w:hAnsi="Arial"/>
                <w:sz w:val="19"/>
                <w:szCs w:val="19"/>
              </w:rPr>
              <w:t xml:space="preserve">1</w:t>
            </w:r>
          </w:p>
        </w:tc>
        <w:tc>
          <w:tcPr>
            <w:tcW w:type="dxa" w:w="3120"/>
            <w:shd w:fill="FFFFFF" w:color="auto" w:val="clear"/>
            <w:tcMar>
              <w:top w:type="dxa" w:w="90"/>
              <w:left w:type="dxa" w:w="120"/>
              <w:bottom w:type="dxa" w:w="90"/>
              <w:right w:type="dxa" w:w="120"/>
            </w:tcMar>
          </w:tcPr>
          <w:p>
            <w:pPr>
              <w:spacing w:after="0" w:line="260"/>
            </w:pPr>
            <w:r>
              <w:rPr>
                <w:rFonts w:ascii="Arial" w:cs="Arial" w:eastAsia="Arial" w:hAnsi="Arial"/>
                <w:sz w:val="19"/>
                <w:szCs w:val="19"/>
              </w:rPr>
              <w:t xml:space="preserve">99%</w:t>
            </w:r>
          </w:p>
        </w:tc>
      </w:tr>
    </w:tbl>
    <w:p>
      <w:pPr>
        <w:spacing w:after="200"/>
      </w:pPr>
    </w:p>
    <w:tbl>
      <w:tblPr>
        <w:tblW w:type="pct" w:w="100%"/>
        <w:tblBorders>
          <w:top w:val="single" w:color="EFF6FC" w:sz="2"/>
          <w:left w:val="single" w:color="0F6CBD" w:sz="18"/>
          <w:bottom w:val="single" w:color="EFF6FC" w:sz="2"/>
          <w:right w:val="single" w:color="EFF6FC" w:sz="2"/>
          <w:insideH w:val="none" w:color="FFFFFF" w:sz="0"/>
          <w:insideV w:val="none" w:color="FFFFFF" w:sz="0"/>
        </w:tblBorders>
      </w:tblPr>
      <w:tblGrid>
        <w:gridCol w:w="9360"/>
      </w:tblGrid>
      <w:tr>
        <w:tc>
          <w:tcPr>
            <w:tcW w:type="dxa" w:w="9360"/>
            <w:shd w:fill="EFF6FC" w:color="auto" w:val="clear"/>
            <w:tcMar>
              <w:top w:type="dxa" w:w="140"/>
              <w:left w:type="dxa" w:w="180"/>
              <w:bottom w:type="dxa" w:w="140"/>
              <w:right w:type="dxa" w:w="180"/>
            </w:tcMar>
          </w:tcPr>
          <w:p>
            <w:pPr>
              <w:spacing w:after="60"/>
            </w:pPr>
            <w:r>
              <w:rPr>
                <w:rFonts w:ascii="Arial" w:cs="Arial" w:eastAsia="Arial" w:hAnsi="Arial"/>
                <w:b/>
                <w:bCs/>
                <w:color w:val="13324B"/>
                <w:sz w:val="20"/>
                <w:szCs w:val="20"/>
              </w:rPr>
              <w:t xml:space="preserve">SAY THIS</w:t>
            </w:r>
          </w:p>
          <w:p>
            <w:pPr>
              <w:spacing w:after="40" w:line="264"/>
            </w:pPr>
            <w:r>
              <w:rPr>
                <w:rFonts w:ascii="Arial" w:cs="Arial" w:eastAsia="Arial" w:hAnsi="Arial"/>
                <w:i/>
                <w:iCs/>
                <w:sz w:val="20"/>
                <w:szCs w:val="20"/>
              </w:rPr>
              <w:t xml:space="preserve">“150 related alerts correlated into 1 actionable incident.”</w:t>
            </w:r>
          </w:p>
        </w:tc>
      </w:tr>
    </w:tbl>
    <w:p>
      <w:pPr>
        <w:spacing w:after="160"/>
      </w:pPr>
    </w:p>
    <w:p>
      <w:pPr>
        <w:pStyle w:val="Heading2"/>
        <w:spacing w:after="120" w:before="280"/>
        <w:outlineLvl w:val="1"/>
      </w:pPr>
      <w:r>
        <w:rPr>
          <w:rFonts w:ascii="Arial" w:cs="Arial" w:eastAsia="Arial" w:hAnsi="Arial"/>
          <w:b/>
          <w:bCs/>
          <w:color w:val="0F6CBD"/>
          <w:sz w:val="25"/>
          <w:szCs w:val="25"/>
        </w:rPr>
        <w:t xml:space="preserve">The discipline that makes this credible</w:t>
      </w:r>
    </w:p>
    <w:tbl>
      <w:tblPr>
        <w:tblW w:type="pct" w:w="100%"/>
        <w:tblBorders>
          <w:top w:val="single" w:color="FFF4CE" w:sz="2"/>
          <w:left w:val="single" w:color="0F6CBD" w:sz="18"/>
          <w:bottom w:val="single" w:color="FFF4CE" w:sz="2"/>
          <w:right w:val="single" w:color="FFF4CE" w:sz="2"/>
          <w:insideH w:val="none" w:color="FFFFFF" w:sz="0"/>
          <w:insideV w:val="none" w:color="FFFFFF" w:sz="0"/>
        </w:tblBorders>
      </w:tblPr>
      <w:tblGrid>
        <w:gridCol w:w="9360"/>
      </w:tblGrid>
      <w:tr>
        <w:tc>
          <w:tcPr>
            <w:tcW w:type="dxa" w:w="9360"/>
            <w:shd w:fill="FFF4CE" w:color="auto" w:val="clear"/>
            <w:tcMar>
              <w:top w:type="dxa" w:w="140"/>
              <w:left w:type="dxa" w:w="180"/>
              <w:bottom w:type="dxa" w:w="140"/>
              <w:right w:type="dxa" w:w="180"/>
            </w:tcMar>
          </w:tcPr>
          <w:p>
            <w:pPr>
              <w:spacing w:after="60"/>
            </w:pPr>
            <w:r>
              <w:rPr>
                <w:rFonts w:ascii="Arial" w:cs="Arial" w:eastAsia="Arial" w:hAnsi="Arial"/>
                <w:b/>
                <w:bCs/>
                <w:color w:val="13324B"/>
                <w:sz w:val="20"/>
                <w:szCs w:val="20"/>
              </w:rPr>
              <w:t xml:space="preserve">DO NOT SAY “FALSE POSITIVES”</w:t>
            </w:r>
          </w:p>
          <w:p>
            <w:pPr>
              <w:spacing w:after="40" w:line="264"/>
            </w:pPr>
            <w:r>
              <w:rPr>
                <w:rFonts w:ascii="Arial" w:cs="Arial" w:eastAsia="Arial" w:hAnsi="Arial"/>
                <w:sz w:val="20"/>
                <w:szCs w:val="20"/>
              </w:rPr>
              <w:t xml:space="preserve">These are </w:t>
            </w:r>
            <w:r>
              <w:rPr>
                <w:rFonts w:ascii="Arial" w:cs="Arial" w:eastAsia="Arial" w:hAnsi="Arial"/>
                <w:i/>
                <w:iCs/>
                <w:sz w:val="20"/>
                <w:szCs w:val="20"/>
              </w:rPr>
              <w:t xml:space="preserve">related alerts</w:t>
            </w:r>
            <w:r>
              <w:rPr>
                <w:rFonts w:ascii="Arial" w:cs="Arial" w:eastAsia="Arial" w:hAnsi="Arial"/>
                <w:sz w:val="20"/>
                <w:szCs w:val="20"/>
              </w:rPr>
              <w:t xml:space="preserve">, not false positives. Each one is a genuine signal from a component that was genuinely affected. The value of correlation is not that the alerts were wrong — it is that a responder should be handed </w:t>
            </w:r>
            <w:r>
              <w:rPr>
                <w:rFonts w:ascii="Arial" w:cs="Arial" w:eastAsia="Arial" w:hAnsi="Arial"/>
                <w:b/>
                <w:bCs/>
                <w:sz w:val="20"/>
                <w:szCs w:val="20"/>
              </w:rPr>
              <w:t xml:space="preserve">one incident to work</w:t>
            </w:r>
            <w:r>
              <w:rPr>
                <w:rFonts w:ascii="Arial" w:cs="Arial" w:eastAsia="Arial" w:hAnsi="Arial"/>
                <w:sz w:val="20"/>
                <w:szCs w:val="20"/>
              </w:rPr>
              <w:t xml:space="preserve"> rather than 150 notifications to triage individually.</w:t>
            </w:r>
          </w:p>
          <w:p>
            <w:pPr>
              <w:spacing w:after="40" w:line="264"/>
            </w:pPr>
            <w:r>
              <w:rPr>
                <w:rFonts w:ascii="Arial" w:cs="Arial" w:eastAsia="Arial" w:hAnsi="Arial"/>
                <w:sz w:val="20"/>
                <w:szCs w:val="20"/>
              </w:rPr>
              <w:t xml:space="preserve">Correlation here indicates a </w:t>
            </w:r>
            <w:r>
              <w:rPr>
                <w:rFonts w:ascii="Arial" w:cs="Arial" w:eastAsia="Arial" w:hAnsi="Arial"/>
                <w:b/>
                <w:bCs/>
                <w:sz w:val="20"/>
                <w:szCs w:val="20"/>
              </w:rPr>
              <w:t xml:space="preserve">relationship</w:t>
            </w:r>
            <w:r>
              <w:rPr>
                <w:rFonts w:ascii="Arial" w:cs="Arial" w:eastAsia="Arial" w:hAnsi="Arial"/>
                <w:sz w:val="20"/>
                <w:szCs w:val="20"/>
              </w:rPr>
              <w:t xml:space="preserve"> between signals. It does not, by itself, prove causation.</w:t>
            </w:r>
          </w:p>
        </w:tc>
      </w:tr>
    </w:tbl>
    <w:p>
      <w:pPr>
        <w:spacing w:after="160"/>
      </w:pPr>
    </w:p>
    <w:p>
      <w:pPr>
        <w:spacing w:after="140" w:line="276"/>
      </w:pPr>
      <w:r>
        <w:rPr>
          <w:rFonts w:ascii="Arial" w:cs="Arial" w:eastAsia="Arial" w:hAnsi="Arial"/>
          <w:sz w:val="21"/>
          <w:szCs w:val="21"/>
        </w:rPr>
        <w:t xml:space="preserve">Scroll down to walk the audience through the storm as an operator actually experiences it.</w:t>
      </w:r>
    </w:p>
    <w:p>
      <w:pPr>
        <w:spacing w:after="60" w:before="160"/>
        <w:jc w:val="center"/>
      </w:pPr>
      <w:r>
        <w:drawing>
          <wp:inline distT="0" distB="0" distL="0" distR="0">
            <wp:extent cx="5943600" cy="3362325"/>
            <wp:effectExtent t="0" r="0" b="0" l="0"/>
            <wp:docPr id="1" name="04b-workbook-incident-detail.png" descr="Figure 6 — Tab 2 continued. Alert arrival over time broken down by tier — 62 web, 54 app, 34 data, totalling the 150 related alerts — and the earliest Sev1 signal in the incident." title="Figure 6 — Tab 2 continued. Alert arrival over time broken down by tier — 62 web, 54 app, 34 data, totalling the 150 related alerts — and the earliest Sev1 signal in the inci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362325"/>
                    </a:xfrm>
                    <a:prstGeom prst="rect">
                      <a:avLst/>
                    </a:prstGeom>
                  </pic:spPr>
                </pic:pic>
              </a:graphicData>
            </a:graphic>
          </wp:inline>
        </w:drawing>
      </w:r>
    </w:p>
    <w:p>
      <w:pPr>
        <w:spacing w:after="240"/>
        <w:jc w:val="center"/>
      </w:pPr>
      <w:r>
        <w:rPr>
          <w:rFonts w:ascii="Arial" w:cs="Arial" w:eastAsia="Arial" w:hAnsi="Arial"/>
          <w:i/>
          <w:iCs/>
          <w:color w:val="505050"/>
          <w:sz w:val="17"/>
          <w:szCs w:val="17"/>
        </w:rPr>
        <w:t xml:space="preserve">Figure 6 — Tab 2 continued. Alert arrival over time broken down by tier — 62 web, 54 app, 34 data, totalling the 150 related alerts — and the earliest Sev1 signal in the incident.</w:t>
      </w:r>
    </w:p>
    <w:p>
      <w:pPr>
        <w:pStyle w:val="Heading2"/>
        <w:spacing w:after="120" w:before="280"/>
        <w:outlineLvl w:val="1"/>
      </w:pPr>
      <w:r>
        <w:rPr>
          <w:rFonts w:ascii="Arial" w:cs="Arial" w:eastAsia="Arial" w:hAnsi="Arial"/>
          <w:b/>
          <w:bCs/>
          <w:color w:val="0F6CBD"/>
          <w:sz w:val="25"/>
          <w:szCs w:val="25"/>
        </w:rPr>
        <w:t xml:space="preserve">Walking the detail</w:t>
      </w:r>
    </w:p>
    <w:p>
      <w:pPr>
        <w:pStyle w:val="ListParagraph"/>
        <w:numPr>
          <w:ilvl w:val="0"/>
          <w:numId w:val="3"/>
        </w:numPr>
        <w:spacing w:after="90" w:line="276"/>
      </w:pPr>
      <w:r>
        <w:rPr>
          <w:rFonts w:ascii="Arial" w:cs="Arial" w:eastAsia="Arial" w:hAnsi="Arial"/>
          <w:b/>
          <w:bCs/>
          <w:sz w:val="21"/>
          <w:szCs w:val="21"/>
        </w:rPr>
        <w:t xml:space="preserve">The arrival chart. </w:t>
      </w:r>
      <w:r>
        <w:rPr>
          <w:rFonts w:ascii="Arial" w:cs="Arial" w:eastAsia="Arial" w:hAnsi="Arial"/>
          <w:sz w:val="21"/>
          <w:szCs w:val="21"/>
        </w:rPr>
        <w:t xml:space="preserve">This is the storm as it lands — alerts stacking up across the web, app and data tiers over roughly 45 minutes. This is the experience correlation removes.</w:t>
      </w:r>
    </w:p>
    <w:p>
      <w:pPr>
        <w:pStyle w:val="ListParagraph"/>
        <w:numPr>
          <w:ilvl w:val="0"/>
          <w:numId w:val="3"/>
        </w:numPr>
        <w:spacing w:after="90" w:line="276"/>
      </w:pPr>
      <w:r>
        <w:rPr>
          <w:rFonts w:ascii="Arial" w:cs="Arial" w:eastAsia="Arial" w:hAnsi="Arial"/>
          <w:b/>
          <w:bCs/>
          <w:sz w:val="21"/>
          <w:szCs w:val="21"/>
        </w:rPr>
        <w:t xml:space="preserve">The tier totals. </w:t>
      </w:r>
      <w:r>
        <w:rPr>
          <w:rFonts w:ascii="Arial" w:cs="Arial" w:eastAsia="Arial" w:hAnsi="Arial"/>
          <w:sz w:val="21"/>
          <w:szCs w:val="21"/>
        </w:rPr>
        <w:t xml:space="preserve">62 web plus 54 app plus 34 data. The arithmetic is visible on screen, which is worth more than the presenter asserting the number.</w:t>
      </w:r>
    </w:p>
    <w:p>
      <w:pPr>
        <w:pStyle w:val="ListParagraph"/>
        <w:numPr>
          <w:ilvl w:val="0"/>
          <w:numId w:val="3"/>
        </w:numPr>
        <w:spacing w:after="90" w:line="276"/>
      </w:pPr>
      <w:r>
        <w:rPr>
          <w:rFonts w:ascii="Arial" w:cs="Arial" w:eastAsia="Arial" w:hAnsi="Arial"/>
          <w:b/>
          <w:bCs/>
          <w:sz w:val="21"/>
          <w:szCs w:val="21"/>
        </w:rPr>
        <w:t xml:space="preserve">The earliest signal. </w:t>
      </w:r>
      <w:r>
        <w:rPr>
          <w:rFonts w:ascii="Arial" w:cs="Arial" w:eastAsia="Arial" w:hAnsi="Arial"/>
          <w:sz w:val="21"/>
          <w:szCs w:val="21"/>
        </w:rPr>
        <w:t xml:space="preserve">A Sev1 on vm-sql-01 — storage latency on the data tier exceeding 400 ms sustained. This is where a responder should look first.</w:t>
      </w:r>
    </w:p>
    <w:p>
      <w:pPr>
        <w:spacing w:after="120"/>
      </w:pPr>
    </w:p>
    <w:tbl>
      <w:tblPr>
        <w:tblW w:type="pct" w:w="100%"/>
        <w:tblBorders>
          <w:top w:val="single" w:color="EFF6FC" w:sz="2"/>
          <w:left w:val="single" w:color="0F6CBD" w:sz="18"/>
          <w:bottom w:val="single" w:color="EFF6FC" w:sz="2"/>
          <w:right w:val="single" w:color="EFF6FC" w:sz="2"/>
          <w:insideH w:val="none" w:color="FFFFFF" w:sz="0"/>
          <w:insideV w:val="none" w:color="FFFFFF" w:sz="0"/>
        </w:tblBorders>
      </w:tblPr>
      <w:tblGrid>
        <w:gridCol w:w="9360"/>
      </w:tblGrid>
      <w:tr>
        <w:tc>
          <w:tcPr>
            <w:tcW w:type="dxa" w:w="9360"/>
            <w:shd w:fill="EFF6FC" w:color="auto" w:val="clear"/>
            <w:tcMar>
              <w:top w:type="dxa" w:w="140"/>
              <w:left w:type="dxa" w:w="180"/>
              <w:bottom w:type="dxa" w:w="140"/>
              <w:right w:type="dxa" w:w="180"/>
            </w:tcMar>
          </w:tcPr>
          <w:p>
            <w:pPr>
              <w:spacing w:after="60"/>
            </w:pPr>
            <w:r>
              <w:rPr>
                <w:rFonts w:ascii="Arial" w:cs="Arial" w:eastAsia="Arial" w:hAnsi="Arial"/>
                <w:b/>
                <w:bCs/>
                <w:color w:val="13324B"/>
                <w:sz w:val="20"/>
                <w:szCs w:val="20"/>
              </w:rPr>
              <w:t xml:space="preserve">SAY THIS</w:t>
            </w:r>
          </w:p>
          <w:p>
            <w:pPr>
              <w:spacing w:after="40" w:line="264"/>
            </w:pPr>
            <w:r>
              <w:rPr>
                <w:rFonts w:ascii="Arial" w:cs="Arial" w:eastAsia="Arial" w:hAnsi="Arial"/>
                <w:i/>
                <w:iCs/>
                <w:sz w:val="20"/>
                <w:szCs w:val="20"/>
              </w:rPr>
              <w:t xml:space="preserve">“This is the first related signal in the window. Correlation shows these alerts are related — it does not by itself prove causation. What it does is tell the responder where to look first, instead of leaving them to work out which of 150 notifications mattered.”</w:t>
            </w:r>
          </w:p>
        </w:tc>
      </w:tr>
    </w:tbl>
    <w:p>
      <w:r>
        <w:br w:type="page"/>
      </w:r>
    </w:p>
    <w:p>
      <w:pPr>
        <w:pStyle w:val="Heading1"/>
        <w:pBdr>
          <w:bottom w:val="single" w:color="0F6CBD" w:sz="10" w:space="6"/>
        </w:pBdr>
        <w:spacing w:after="160" w:before="360"/>
        <w:outlineLvl w:val="0"/>
      </w:pPr>
      <w:r>
        <w:rPr>
          <w:rFonts w:ascii="Arial" w:cs="Arial" w:eastAsia="Arial" w:hAnsi="Arial"/>
          <w:b/>
          <w:bCs/>
          <w:color w:val="13324B"/>
          <w:sz w:val="30"/>
          <w:szCs w:val="30"/>
        </w:rPr>
        <w:t xml:space="preserve">Step 5 — Workbook, Tab 3: Business impact</w:t>
      </w:r>
    </w:p>
    <w:p>
      <w:pPr>
        <w:pStyle w:val="Heading2"/>
        <w:spacing w:after="120" w:before="280"/>
        <w:outlineLvl w:val="1"/>
      </w:pPr>
      <w:r>
        <w:rPr>
          <w:rFonts w:ascii="Arial" w:cs="Arial" w:eastAsia="Arial" w:hAnsi="Arial"/>
          <w:b/>
          <w:bCs/>
          <w:color w:val="0F6CBD"/>
          <w:sz w:val="25"/>
          <w:szCs w:val="25"/>
        </w:rPr>
        <w:t xml:space="preserve">Where to click</w:t>
      </w:r>
    </w:p>
    <w:p>
      <w:pPr>
        <w:pStyle w:val="ListParagraph"/>
        <w:numPr>
          <w:ilvl w:val="0"/>
          <w:numId w:val="2"/>
        </w:numPr>
        <w:spacing w:after="120" w:line="276"/>
      </w:pPr>
      <w:r>
        <w:rPr>
          <w:rFonts w:ascii="Arial" w:cs="Arial" w:eastAsia="Arial" w:hAnsi="Arial"/>
          <w:sz w:val="21"/>
          <w:szCs w:val="21"/>
        </w:rPr>
        <w:t xml:space="preserve">Select the </w:t>
      </w:r>
      <w:r>
        <w:rPr>
          <w:rFonts w:ascii="Arial" w:cs="Arial" w:eastAsia="Arial" w:hAnsi="Arial"/>
          <w:b/>
          <w:bCs/>
          <w:sz w:val="21"/>
          <w:szCs w:val="21"/>
        </w:rPr>
        <w:t xml:space="preserve">Business impact</w:t>
      </w:r>
      <w:r>
        <w:rPr>
          <w:rFonts w:ascii="Arial" w:cs="Arial" w:eastAsia="Arial" w:hAnsi="Arial"/>
          <w:sz w:val="21"/>
          <w:szCs w:val="21"/>
        </w:rPr>
        <w:t xml:space="preserve"> tab.</w:t>
      </w:r>
    </w:p>
    <w:p>
      <w:pPr>
        <w:spacing w:after="80"/>
      </w:pPr>
    </w:p>
    <w:p>
      <w:pPr>
        <w:pStyle w:val="Heading2"/>
        <w:spacing w:after="120" w:before="280"/>
        <w:outlineLvl w:val="1"/>
      </w:pPr>
      <w:r>
        <w:rPr>
          <w:rFonts w:ascii="Arial" w:cs="Arial" w:eastAsia="Arial" w:hAnsi="Arial"/>
          <w:b/>
          <w:bCs/>
          <w:color w:val="0F6CBD"/>
          <w:sz w:val="25"/>
          <w:szCs w:val="25"/>
        </w:rPr>
        <w:t xml:space="preserve">What you should see</w:t>
      </w:r>
    </w:p>
    <w:p>
      <w:pPr>
        <w:spacing w:after="60" w:before="160"/>
        <w:jc w:val="center"/>
      </w:pPr>
      <w:r>
        <w:drawing>
          <wp:inline distT="0" distB="0" distL="0" distR="0">
            <wp:extent cx="5943600" cy="3362325"/>
            <wp:effectExtent t="0" r="0" b="0" l="0"/>
            <wp:docPr id="1" name="05-workbook-impact.png" descr="Figure 7 — Tab 3, Business impact. Service health, peak concurrent degradation and revenue at risk, per business service." title="Figure 7 — Tab 3, Business impact. Service health, peak concurrent degradation and revenue at risk, per business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362325"/>
                    </a:xfrm>
                    <a:prstGeom prst="rect">
                      <a:avLst/>
                    </a:prstGeom>
                  </pic:spPr>
                </pic:pic>
              </a:graphicData>
            </a:graphic>
          </wp:inline>
        </w:drawing>
      </w:r>
    </w:p>
    <w:p>
      <w:pPr>
        <w:spacing w:after="240"/>
        <w:jc w:val="center"/>
      </w:pPr>
      <w:r>
        <w:rPr>
          <w:rFonts w:ascii="Arial" w:cs="Arial" w:eastAsia="Arial" w:hAnsi="Arial"/>
          <w:i/>
          <w:iCs/>
          <w:color w:val="505050"/>
          <w:sz w:val="17"/>
          <w:szCs w:val="17"/>
        </w:rPr>
        <w:t xml:space="preserve">Figure 7 — Tab 3, Business impact. Service health, peak concurrent degradation and revenue at risk, per business service.</w:t>
      </w:r>
    </w:p>
    <w:tbl>
      <w:tblPr>
        <w:tblW w:type="pct" w:w="100%"/>
        <w:tblBorders>
          <w:top w:val="single" w:color="FFF4CE" w:sz="2"/>
          <w:left w:val="single" w:color="0F6CBD" w:sz="18"/>
          <w:bottom w:val="single" w:color="FFF4CE" w:sz="2"/>
          <w:right w:val="single" w:color="FFF4CE" w:sz="2"/>
          <w:insideH w:val="none" w:color="FFFFFF" w:sz="0"/>
          <w:insideV w:val="none" w:color="FFFFFF" w:sz="0"/>
        </w:tblBorders>
      </w:tblPr>
      <w:tblGrid>
        <w:gridCol w:w="9360"/>
      </w:tblGrid>
      <w:tr>
        <w:tc>
          <w:tcPr>
            <w:tcW w:type="dxa" w:w="9360"/>
            <w:shd w:fill="FFF4CE" w:color="auto" w:val="clear"/>
            <w:tcMar>
              <w:top w:type="dxa" w:w="140"/>
              <w:left w:type="dxa" w:w="180"/>
              <w:bottom w:type="dxa" w:w="140"/>
              <w:right w:type="dxa" w:w="180"/>
            </w:tcMar>
          </w:tcPr>
          <w:p>
            <w:pPr>
              <w:spacing w:after="60"/>
            </w:pPr>
            <w:r>
              <w:rPr>
                <w:rFonts w:ascii="Arial" w:cs="Arial" w:eastAsia="Arial" w:hAnsi="Arial"/>
                <w:b/>
                <w:bCs/>
                <w:color w:val="13324B"/>
                <w:sz w:val="20"/>
                <w:szCs w:val="20"/>
              </w:rPr>
              <w:t xml:space="preserve">LABEL IT BEFORE ANYONE ASKS</w:t>
            </w:r>
          </w:p>
          <w:p>
            <w:pPr>
              <w:spacing w:after="40" w:line="264"/>
            </w:pPr>
            <w:r>
              <w:rPr>
                <w:rFonts w:ascii="Arial" w:cs="Arial" w:eastAsia="Arial" w:hAnsi="Arial"/>
                <w:b/>
                <w:bCs/>
                <w:sz w:val="20"/>
                <w:szCs w:val="20"/>
              </w:rPr>
              <w:t xml:space="preserve">Illustrative Sample Data, not a customer estimate.</w:t>
            </w:r>
          </w:p>
          <w:p>
            <w:pPr>
              <w:spacing w:after="40" w:line="264"/>
            </w:pPr>
            <w:r>
              <w:rPr>
                <w:rFonts w:ascii="Arial" w:cs="Arial" w:eastAsia="Arial" w:hAnsi="Arial"/>
                <w:sz w:val="20"/>
                <w:szCs w:val="20"/>
              </w:rPr>
              <w:t xml:space="preserve">Say this the moment the tab opens. The figures exist to demonstrate that operational signals can be expressed in business terms — not to assert what an outage would cost this particular customer.</w:t>
            </w:r>
          </w:p>
        </w:tc>
      </w:tr>
    </w:tbl>
    <w:p>
      <w:pPr>
        <w:spacing w:after="160"/>
      </w:pPr>
    </w:p>
    <w:tbl>
      <w:tblPr>
        <w:tblW w:type="pct" w:w="100%"/>
        <w:tblBorders>
          <w:top w:val="single" w:color="EFF6FC" w:sz="2"/>
          <w:left w:val="single" w:color="0F6CBD" w:sz="18"/>
          <w:bottom w:val="single" w:color="EFF6FC" w:sz="2"/>
          <w:right w:val="single" w:color="EFF6FC" w:sz="2"/>
          <w:insideH w:val="none" w:color="FFFFFF" w:sz="0"/>
          <w:insideV w:val="none" w:color="FFFFFF" w:sz="0"/>
        </w:tblBorders>
      </w:tblPr>
      <w:tblGrid>
        <w:gridCol w:w="9360"/>
      </w:tblGrid>
      <w:tr>
        <w:tc>
          <w:tcPr>
            <w:tcW w:type="dxa" w:w="9360"/>
            <w:shd w:fill="EFF6FC" w:color="auto" w:val="clear"/>
            <w:tcMar>
              <w:top w:type="dxa" w:w="140"/>
              <w:left w:type="dxa" w:w="180"/>
              <w:bottom w:type="dxa" w:w="140"/>
              <w:right w:type="dxa" w:w="180"/>
            </w:tcMar>
          </w:tcPr>
          <w:p>
            <w:pPr>
              <w:spacing w:after="60"/>
            </w:pPr>
            <w:r>
              <w:rPr>
                <w:rFonts w:ascii="Arial" w:cs="Arial" w:eastAsia="Arial" w:hAnsi="Arial"/>
                <w:b/>
                <w:bCs/>
                <w:color w:val="13324B"/>
                <w:sz w:val="20"/>
                <w:szCs w:val="20"/>
              </w:rPr>
              <w:t xml:space="preserve">SAY THIS</w:t>
            </w:r>
          </w:p>
          <w:p>
            <w:pPr>
              <w:spacing w:after="40" w:line="264"/>
            </w:pPr>
            <w:r>
              <w:rPr>
                <w:rFonts w:ascii="Arial" w:cs="Arial" w:eastAsia="Arial" w:hAnsi="Arial"/>
                <w:i/>
                <w:iCs/>
                <w:sz w:val="20"/>
                <w:szCs w:val="20"/>
              </w:rPr>
              <w:t xml:space="preserve">“The point of this tab is not the numbers. It is that the same correlated incident can be expressed in the language the business actually uses. These figures are illustrative sample data, not a customer estimate — in a real engagement the inputs would be yours.”</w:t>
            </w:r>
          </w:p>
        </w:tc>
      </w:tr>
    </w:tbl>
    <w:p>
      <w:r>
        <w:br w:type="page"/>
      </w:r>
    </w:p>
    <w:p>
      <w:pPr>
        <w:pStyle w:val="Heading1"/>
        <w:pBdr>
          <w:bottom w:val="single" w:color="0F6CBD" w:sz="10" w:space="6"/>
        </w:pBdr>
        <w:spacing w:after="160" w:before="360"/>
        <w:outlineLvl w:val="0"/>
      </w:pPr>
      <w:r>
        <w:rPr>
          <w:rFonts w:ascii="Arial" w:cs="Arial" w:eastAsia="Arial" w:hAnsi="Arial"/>
          <w:b/>
          <w:bCs/>
          <w:color w:val="13324B"/>
          <w:sz w:val="30"/>
          <w:szCs w:val="30"/>
        </w:rPr>
        <w:t xml:space="preserve">Step 6 — Workbook, Tab 4: Observability spend</w:t>
      </w:r>
    </w:p>
    <w:p>
      <w:pPr>
        <w:pStyle w:val="Heading2"/>
        <w:spacing w:after="120" w:before="280"/>
        <w:outlineLvl w:val="1"/>
      </w:pPr>
      <w:r>
        <w:rPr>
          <w:rFonts w:ascii="Arial" w:cs="Arial" w:eastAsia="Arial" w:hAnsi="Arial"/>
          <w:b/>
          <w:bCs/>
          <w:color w:val="0F6CBD"/>
          <w:sz w:val="25"/>
          <w:szCs w:val="25"/>
        </w:rPr>
        <w:t xml:space="preserve">Where to click</w:t>
      </w:r>
    </w:p>
    <w:p>
      <w:pPr>
        <w:pStyle w:val="ListParagraph"/>
        <w:numPr>
          <w:ilvl w:val="0"/>
          <w:numId w:val="2"/>
        </w:numPr>
        <w:spacing w:after="120" w:line="276"/>
      </w:pPr>
      <w:r>
        <w:rPr>
          <w:rFonts w:ascii="Arial" w:cs="Arial" w:eastAsia="Arial" w:hAnsi="Arial"/>
          <w:sz w:val="21"/>
          <w:szCs w:val="21"/>
        </w:rPr>
        <w:t xml:space="preserve">Select the </w:t>
      </w:r>
      <w:r>
        <w:rPr>
          <w:rFonts w:ascii="Arial" w:cs="Arial" w:eastAsia="Arial" w:hAnsi="Arial"/>
          <w:b/>
          <w:bCs/>
          <w:sz w:val="21"/>
          <w:szCs w:val="21"/>
        </w:rPr>
        <w:t xml:space="preserve">Observability spend</w:t>
      </w:r>
      <w:r>
        <w:rPr>
          <w:rFonts w:ascii="Arial" w:cs="Arial" w:eastAsia="Arial" w:hAnsi="Arial"/>
          <w:sz w:val="21"/>
          <w:szCs w:val="21"/>
        </w:rPr>
        <w:t xml:space="preserve"> tab.</w:t>
      </w:r>
    </w:p>
    <w:p>
      <w:pPr>
        <w:spacing w:after="80"/>
      </w:pPr>
    </w:p>
    <w:p>
      <w:pPr>
        <w:pStyle w:val="Heading2"/>
        <w:spacing w:after="120" w:before="280"/>
        <w:outlineLvl w:val="1"/>
      </w:pPr>
      <w:r>
        <w:rPr>
          <w:rFonts w:ascii="Arial" w:cs="Arial" w:eastAsia="Arial" w:hAnsi="Arial"/>
          <w:b/>
          <w:bCs/>
          <w:color w:val="0F6CBD"/>
          <w:sz w:val="25"/>
          <w:szCs w:val="25"/>
        </w:rPr>
        <w:t xml:space="preserve">What you should see</w:t>
      </w:r>
    </w:p>
    <w:p>
      <w:pPr>
        <w:spacing w:after="60" w:before="160"/>
        <w:jc w:val="center"/>
      </w:pPr>
      <w:r>
        <w:drawing>
          <wp:inline distT="0" distB="0" distL="0" distR="0">
            <wp:extent cx="5943600" cy="3362325"/>
            <wp:effectExtent t="0" r="0" b="0" l="0"/>
            <wp:docPr id="1" name="06-workbook-spend.png" descr="Figure 8 — Tab 4, Observability spend. Current tool spend by category and the overlap analysis across tooling." title="Figure 8 — Tab 4, Observability spend. Current tool spend by category and the overlap analysis across too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362325"/>
                    </a:xfrm>
                    <a:prstGeom prst="rect">
                      <a:avLst/>
                    </a:prstGeom>
                  </pic:spPr>
                </pic:pic>
              </a:graphicData>
            </a:graphic>
          </wp:inline>
        </w:drawing>
      </w:r>
    </w:p>
    <w:p>
      <w:pPr>
        <w:spacing w:after="240"/>
        <w:jc w:val="center"/>
      </w:pPr>
      <w:r>
        <w:rPr>
          <w:rFonts w:ascii="Arial" w:cs="Arial" w:eastAsia="Arial" w:hAnsi="Arial"/>
          <w:i/>
          <w:iCs/>
          <w:color w:val="505050"/>
          <w:sz w:val="17"/>
          <w:szCs w:val="17"/>
        </w:rPr>
        <w:t xml:space="preserve">Figure 8 — Tab 4, Observability spend. Current tool spend by category and the overlap analysis across tooling.</w:t>
      </w:r>
    </w:p>
    <w:tbl>
      <w:tblPr>
        <w:tblW w:type="pct" w:w="100%"/>
        <w:tblBorders>
          <w:top w:val="single" w:color="FFF4CE" w:sz="2"/>
          <w:left w:val="single" w:color="0F6CBD" w:sz="18"/>
          <w:bottom w:val="single" w:color="FFF4CE" w:sz="2"/>
          <w:right w:val="single" w:color="FFF4CE" w:sz="2"/>
          <w:insideH w:val="none" w:color="FFFFFF" w:sz="0"/>
          <w:insideV w:val="none" w:color="FFFFFF" w:sz="0"/>
        </w:tblBorders>
      </w:tblPr>
      <w:tblGrid>
        <w:gridCol w:w="9360"/>
      </w:tblGrid>
      <w:tr>
        <w:tc>
          <w:tcPr>
            <w:tcW w:type="dxa" w:w="9360"/>
            <w:shd w:fill="FFF4CE" w:color="auto" w:val="clear"/>
            <w:tcMar>
              <w:top w:type="dxa" w:w="140"/>
              <w:left w:type="dxa" w:w="180"/>
              <w:bottom w:type="dxa" w:w="140"/>
              <w:right w:type="dxa" w:w="180"/>
            </w:tcMar>
          </w:tcPr>
          <w:p>
            <w:pPr>
              <w:spacing w:after="60"/>
            </w:pPr>
            <w:r>
              <w:rPr>
                <w:rFonts w:ascii="Arial" w:cs="Arial" w:eastAsia="Arial" w:hAnsi="Arial"/>
                <w:b/>
                <w:bCs/>
                <w:color w:val="13324B"/>
                <w:sz w:val="20"/>
                <w:szCs w:val="20"/>
              </w:rPr>
              <w:t xml:space="preserve">THIS IS A CONSOLIDATION ARGUMENT, NOT A COMPETITIVE TEARDOWN</w:t>
            </w:r>
          </w:p>
          <w:p>
            <w:pPr>
              <w:spacing w:after="40" w:line="264"/>
            </w:pPr>
            <w:r>
              <w:rPr>
                <w:rFonts w:ascii="Arial" w:cs="Arial" w:eastAsia="Arial" w:hAnsi="Arial"/>
                <w:b/>
                <w:bCs/>
                <w:sz w:val="20"/>
                <w:szCs w:val="20"/>
              </w:rPr>
              <w:t xml:space="preserve">Do not frame the customer’s existing investment as a mistake.</w:t>
            </w:r>
            <w:r>
              <w:rPr>
                <w:rFonts w:ascii="Arial" w:cs="Arial" w:eastAsia="Arial" w:hAnsi="Arial"/>
                <w:sz w:val="20"/>
                <w:szCs w:val="20"/>
              </w:rPr>
              <w:t xml:space="preserve"> It solved the problem they had at the time, and saying otherwise insults the people in the room who chose it.</w:t>
            </w:r>
          </w:p>
          <w:p>
            <w:pPr>
              <w:spacing w:after="40" w:line="264"/>
            </w:pPr>
            <w:r>
              <w:rPr>
                <w:rFonts w:ascii="Arial" w:cs="Arial" w:eastAsia="Arial" w:hAnsi="Arial"/>
                <w:sz w:val="20"/>
                <w:szCs w:val="20"/>
              </w:rPr>
              <w:t xml:space="preserve">The argument is narrower and more defensible: estate-wide correlation is now available natively where the workloads already run, with one less integration boundary to maintain.</w:t>
            </w:r>
          </w:p>
        </w:tc>
      </w:tr>
    </w:tbl>
    <w:p>
      <w:pPr>
        <w:spacing w:after="160"/>
      </w:pPr>
    </w:p>
    <w:tbl>
      <w:tblPr>
        <w:tblW w:type="pct" w:w="100%"/>
        <w:tblBorders>
          <w:top w:val="single" w:color="EFF6FC" w:sz="2"/>
          <w:left w:val="single" w:color="0F6CBD" w:sz="18"/>
          <w:bottom w:val="single" w:color="EFF6FC" w:sz="2"/>
          <w:right w:val="single" w:color="EFF6FC" w:sz="2"/>
          <w:insideH w:val="none" w:color="FFFFFF" w:sz="0"/>
          <w:insideV w:val="none" w:color="FFFFFF" w:sz="0"/>
        </w:tblBorders>
      </w:tblPr>
      <w:tblGrid>
        <w:gridCol w:w="9360"/>
      </w:tblGrid>
      <w:tr>
        <w:tc>
          <w:tcPr>
            <w:tcW w:type="dxa" w:w="9360"/>
            <w:shd w:fill="EFF6FC" w:color="auto" w:val="clear"/>
            <w:tcMar>
              <w:top w:type="dxa" w:w="140"/>
              <w:left w:type="dxa" w:w="180"/>
              <w:bottom w:type="dxa" w:w="140"/>
              <w:right w:type="dxa" w:w="180"/>
            </w:tcMar>
          </w:tcPr>
          <w:p>
            <w:pPr>
              <w:spacing w:after="60"/>
            </w:pPr>
            <w:r>
              <w:rPr>
                <w:rFonts w:ascii="Arial" w:cs="Arial" w:eastAsia="Arial" w:hAnsi="Arial"/>
                <w:b/>
                <w:bCs/>
                <w:color w:val="13324B"/>
                <w:sz w:val="20"/>
                <w:szCs w:val="20"/>
              </w:rPr>
              <w:t xml:space="preserve">SAY THIS</w:t>
            </w:r>
          </w:p>
          <w:p>
            <w:pPr>
              <w:spacing w:after="40" w:line="264"/>
            </w:pPr>
            <w:r>
              <w:rPr>
                <w:rFonts w:ascii="Arial" w:cs="Arial" w:eastAsia="Arial" w:hAnsi="Arial"/>
                <w:i/>
                <w:iCs/>
                <w:sz w:val="20"/>
                <w:szCs w:val="20"/>
              </w:rPr>
              <w:t xml:space="preserve">“Nothing here says the existing tooling was the wrong choice. It solved a real problem. The question on the table is different — whether estate-wide correlation still needs to live outside the platform the workloads already run on.”</w:t>
            </w:r>
          </w:p>
        </w:tc>
      </w:tr>
    </w:tbl>
    <w:p>
      <w:r>
        <w:br w:type="page"/>
      </w:r>
    </w:p>
    <w:p>
      <w:pPr>
        <w:pStyle w:val="Heading1"/>
        <w:pBdr>
          <w:bottom w:val="single" w:color="0F6CBD" w:sz="10" w:space="6"/>
        </w:pBdr>
        <w:spacing w:after="160" w:before="360"/>
        <w:outlineLvl w:val="0"/>
      </w:pPr>
      <w:r>
        <w:rPr>
          <w:rFonts w:ascii="Arial" w:cs="Arial" w:eastAsia="Arial" w:hAnsi="Arial"/>
          <w:b/>
          <w:bCs/>
          <w:color w:val="13324B"/>
          <w:sz w:val="30"/>
          <w:szCs w:val="30"/>
        </w:rPr>
        <w:t xml:space="preserve">Step 7 — Workbook, Tab 5: Response</w:t>
      </w:r>
    </w:p>
    <w:p>
      <w:pPr>
        <w:pStyle w:val="Heading2"/>
        <w:spacing w:after="120" w:before="280"/>
        <w:outlineLvl w:val="1"/>
      </w:pPr>
      <w:r>
        <w:rPr>
          <w:rFonts w:ascii="Arial" w:cs="Arial" w:eastAsia="Arial" w:hAnsi="Arial"/>
          <w:b/>
          <w:bCs/>
          <w:color w:val="0F6CBD"/>
          <w:sz w:val="25"/>
          <w:szCs w:val="25"/>
        </w:rPr>
        <w:t xml:space="preserve">Where to click</w:t>
      </w:r>
    </w:p>
    <w:p>
      <w:pPr>
        <w:pStyle w:val="ListParagraph"/>
        <w:numPr>
          <w:ilvl w:val="0"/>
          <w:numId w:val="2"/>
        </w:numPr>
        <w:spacing w:after="120" w:line="276"/>
      </w:pPr>
      <w:r>
        <w:rPr>
          <w:rFonts w:ascii="Arial" w:cs="Arial" w:eastAsia="Arial" w:hAnsi="Arial"/>
          <w:sz w:val="21"/>
          <w:szCs w:val="21"/>
        </w:rPr>
        <w:t xml:space="preserve">Select the </w:t>
      </w:r>
      <w:r>
        <w:rPr>
          <w:rFonts w:ascii="Arial" w:cs="Arial" w:eastAsia="Arial" w:hAnsi="Arial"/>
          <w:b/>
          <w:bCs/>
          <w:sz w:val="21"/>
          <w:szCs w:val="21"/>
        </w:rPr>
        <w:t xml:space="preserve">Response</w:t>
      </w:r>
      <w:r>
        <w:rPr>
          <w:rFonts w:ascii="Arial" w:cs="Arial" w:eastAsia="Arial" w:hAnsi="Arial"/>
          <w:sz w:val="21"/>
          <w:szCs w:val="21"/>
        </w:rPr>
        <w:t xml:space="preserve"> tab.</w:t>
      </w:r>
    </w:p>
    <w:p>
      <w:pPr>
        <w:spacing w:after="80"/>
      </w:pPr>
    </w:p>
    <w:p>
      <w:pPr>
        <w:pStyle w:val="Heading2"/>
        <w:spacing w:after="120" w:before="280"/>
        <w:outlineLvl w:val="1"/>
      </w:pPr>
      <w:r>
        <w:rPr>
          <w:rFonts w:ascii="Arial" w:cs="Arial" w:eastAsia="Arial" w:hAnsi="Arial"/>
          <w:b/>
          <w:bCs/>
          <w:color w:val="0F6CBD"/>
          <w:sz w:val="25"/>
          <w:szCs w:val="25"/>
        </w:rPr>
        <w:t xml:space="preserve">What you should see</w:t>
      </w:r>
    </w:p>
    <w:p>
      <w:pPr>
        <w:spacing w:after="60" w:before="160"/>
        <w:jc w:val="center"/>
      </w:pPr>
      <w:r>
        <w:drawing>
          <wp:inline distT="0" distB="0" distL="0" distR="0">
            <wp:extent cx="5943600" cy="3362325"/>
            <wp:effectExtent t="0" r="0" b="0" l="0"/>
            <wp:docPr id="1" name="07-workbook-response.png" descr="Figure 9 — Tab 5, Response. The evidence chain behind the incident and the remediation audit trail." title="Figure 9 — Tab 5, Response. The evidence chain behind the incident and the remediation audit tr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362325"/>
                    </a:xfrm>
                    <a:prstGeom prst="rect">
                      <a:avLst/>
                    </a:prstGeom>
                  </pic:spPr>
                </pic:pic>
              </a:graphicData>
            </a:graphic>
          </wp:inline>
        </w:drawing>
      </w:r>
    </w:p>
    <w:p>
      <w:pPr>
        <w:spacing w:after="240"/>
        <w:jc w:val="center"/>
      </w:pPr>
      <w:r>
        <w:rPr>
          <w:rFonts w:ascii="Arial" w:cs="Arial" w:eastAsia="Arial" w:hAnsi="Arial"/>
          <w:i/>
          <w:iCs/>
          <w:color w:val="505050"/>
          <w:sz w:val="17"/>
          <w:szCs w:val="17"/>
        </w:rPr>
        <w:t xml:space="preserve">Figure 9 — Tab 5, Response. The evidence chain behind the incident and the remediation audit trail.</w:t>
      </w:r>
    </w:p>
    <w:p>
      <w:pPr>
        <w:spacing w:after="140" w:line="276"/>
      </w:pPr>
      <w:r>
        <w:rPr>
          <w:rFonts w:ascii="Arial" w:cs="Arial" w:eastAsia="Arial" w:hAnsi="Arial"/>
          <w:sz w:val="21"/>
          <w:szCs w:val="21"/>
        </w:rPr>
        <w:t xml:space="preserve">The audit trail will not contain today’s entries until you have run the approval gate in Step 12. That is intentional — you will come back to this tab at the end of the demonstration and show the entries appear.</w:t>
      </w:r>
    </w:p>
    <w:p>
      <w:pPr>
        <w:spacing w:after="120"/>
      </w:pPr>
    </w:p>
    <w:tbl>
      <w:tblPr>
        <w:tblW w:type="pct" w:w="100%"/>
        <w:tblBorders>
          <w:top w:val="single" w:color="EFF6FC" w:sz="2"/>
          <w:left w:val="single" w:color="0F6CBD" w:sz="18"/>
          <w:bottom w:val="single" w:color="EFF6FC" w:sz="2"/>
          <w:right w:val="single" w:color="EFF6FC" w:sz="2"/>
          <w:insideH w:val="none" w:color="FFFFFF" w:sz="0"/>
          <w:insideV w:val="none" w:color="FFFFFF" w:sz="0"/>
        </w:tblBorders>
      </w:tblPr>
      <w:tblGrid>
        <w:gridCol w:w="9360"/>
      </w:tblGrid>
      <w:tr>
        <w:tc>
          <w:tcPr>
            <w:tcW w:type="dxa" w:w="9360"/>
            <w:shd w:fill="EFF6FC" w:color="auto" w:val="clear"/>
            <w:tcMar>
              <w:top w:type="dxa" w:w="140"/>
              <w:left w:type="dxa" w:w="180"/>
              <w:bottom w:type="dxa" w:w="140"/>
              <w:right w:type="dxa" w:w="180"/>
            </w:tcMar>
          </w:tcPr>
          <w:p>
            <w:pPr>
              <w:spacing w:after="60"/>
            </w:pPr>
            <w:r>
              <w:rPr>
                <w:rFonts w:ascii="Arial" w:cs="Arial" w:eastAsia="Arial" w:hAnsi="Arial"/>
                <w:b/>
                <w:bCs/>
                <w:color w:val="13324B"/>
                <w:sz w:val="20"/>
                <w:szCs w:val="20"/>
              </w:rPr>
              <w:t xml:space="preserve">SAY THIS</w:t>
            </w:r>
          </w:p>
          <w:p>
            <w:pPr>
              <w:spacing w:after="40" w:line="264"/>
            </w:pPr>
            <w:r>
              <w:rPr>
                <w:rFonts w:ascii="Arial" w:cs="Arial" w:eastAsia="Arial" w:hAnsi="Arial"/>
                <w:i/>
                <w:iCs/>
                <w:sz w:val="20"/>
                <w:szCs w:val="20"/>
              </w:rPr>
              <w:t xml:space="preserve">“This is the evidence chain — what was observed, in what order, and what was proposed as a result. At the bottom is the audit trail. It is empty of today because nobody has approved anything yet. We will come back to it.”</w:t>
            </w:r>
          </w:p>
        </w:tc>
      </w:tr>
    </w:tbl>
    <w:p>
      <w:r>
        <w:br w:type="page"/>
      </w:r>
    </w:p>
    <w:p>
      <w:pPr>
        <w:pStyle w:val="Heading1"/>
        <w:pBdr>
          <w:bottom w:val="single" w:color="0F6CBD" w:sz="10" w:space="6"/>
        </w:pBdr>
        <w:spacing w:after="160" w:before="360"/>
        <w:outlineLvl w:val="0"/>
      </w:pPr>
      <w:r>
        <w:rPr>
          <w:rFonts w:ascii="Arial" w:cs="Arial" w:eastAsia="Arial" w:hAnsi="Arial"/>
          <w:b/>
          <w:bCs/>
          <w:color w:val="13324B"/>
          <w:sz w:val="30"/>
          <w:szCs w:val="30"/>
        </w:rPr>
        <w:t xml:space="preserve">Step 8 — Native drill-down: VM Insights</w:t>
      </w:r>
    </w:p>
    <w:p>
      <w:pPr>
        <w:spacing w:after="140" w:line="276"/>
      </w:pPr>
      <w:r>
        <w:rPr>
          <w:rFonts w:ascii="Arial" w:cs="Arial" w:eastAsia="Arial" w:hAnsi="Arial"/>
          <w:sz w:val="21"/>
          <w:szCs w:val="21"/>
        </w:rPr>
        <w:t xml:space="preserve">Approximately 5 minutes across Steps 8 to 10. This is the part that only works because the solution is genuinely Azure-native. Leave the workbook entirely.</w:t>
      </w:r>
    </w:p>
    <w:p>
      <w:pPr>
        <w:pStyle w:val="Heading2"/>
        <w:spacing w:after="120" w:before="280"/>
        <w:outlineLvl w:val="1"/>
      </w:pPr>
      <w:r>
        <w:rPr>
          <w:rFonts w:ascii="Arial" w:cs="Arial" w:eastAsia="Arial" w:hAnsi="Arial"/>
          <w:b/>
          <w:bCs/>
          <w:color w:val="0F6CBD"/>
          <w:sz w:val="25"/>
          <w:szCs w:val="25"/>
        </w:rPr>
        <w:t xml:space="preserve">Where to click</w:t>
      </w:r>
    </w:p>
    <w:p>
      <w:pPr>
        <w:pStyle w:val="ListParagraph"/>
        <w:numPr>
          <w:ilvl w:val="0"/>
          <w:numId w:val="2"/>
        </w:numPr>
        <w:spacing w:after="120" w:line="276"/>
      </w:pPr>
      <w:r>
        <w:rPr>
          <w:rFonts w:ascii="Arial" w:cs="Arial" w:eastAsia="Arial" w:hAnsi="Arial"/>
          <w:sz w:val="21"/>
          <w:szCs w:val="21"/>
        </w:rPr>
        <w:t xml:space="preserve">Portal → </w:t>
      </w:r>
      <w:r>
        <w:rPr>
          <w:rFonts w:ascii="Arial" w:cs="Arial" w:eastAsia="Arial" w:hAnsi="Arial"/>
          <w:b/>
          <w:bCs/>
          <w:sz w:val="21"/>
          <w:szCs w:val="21"/>
        </w:rPr>
        <w:t xml:space="preserve">Monitor</w:t>
      </w:r>
      <w:r>
        <w:rPr>
          <w:rFonts w:ascii="Arial" w:cs="Arial" w:eastAsia="Arial" w:hAnsi="Arial"/>
          <w:sz w:val="21"/>
          <w:szCs w:val="21"/>
        </w:rPr>
        <w:t xml:space="preserve"> → </w:t>
      </w:r>
      <w:r>
        <w:rPr>
          <w:rFonts w:ascii="Arial" w:cs="Arial" w:eastAsia="Arial" w:hAnsi="Arial"/>
          <w:b/>
          <w:bCs/>
          <w:sz w:val="21"/>
          <w:szCs w:val="21"/>
        </w:rPr>
        <w:t xml:space="preserve">Virtual Machines</w:t>
      </w:r>
      <w:r>
        <w:rPr>
          <w:rFonts w:ascii="Arial" w:cs="Arial" w:eastAsia="Arial" w:hAnsi="Arial"/>
          <w:sz w:val="21"/>
          <w:szCs w:val="21"/>
        </w:rPr>
        <w:t xml:space="preserve"> → </w:t>
      </w:r>
      <w:r>
        <w:rPr>
          <w:rFonts w:ascii="Arial" w:cs="Arial" w:eastAsia="Arial" w:hAnsi="Arial"/>
          <w:b/>
          <w:bCs/>
          <w:sz w:val="21"/>
          <w:szCs w:val="21"/>
        </w:rPr>
        <w:t xml:space="preserve">Performance</w:t>
      </w:r>
      <w:r>
        <w:rPr>
          <w:rFonts w:ascii="Arial" w:cs="Arial" w:eastAsia="Arial" w:hAnsi="Arial"/>
          <w:sz w:val="21"/>
          <w:szCs w:val="21"/>
        </w:rPr>
        <w:t xml:space="preserve"> tab.</w:t>
      </w:r>
    </w:p>
    <w:p>
      <w:pPr>
        <w:pStyle w:val="ListParagraph"/>
        <w:numPr>
          <w:ilvl w:val="0"/>
          <w:numId w:val="2"/>
        </w:numPr>
        <w:spacing w:after="120" w:line="276"/>
      </w:pPr>
      <w:r>
        <w:rPr>
          <w:rFonts w:ascii="Arial" w:cs="Arial" w:eastAsia="Arial" w:hAnsi="Arial"/>
          <w:sz w:val="21"/>
          <w:szCs w:val="21"/>
        </w:rPr>
        <w:t xml:space="preserve">Or open </w:t>
      </w:r>
      <w:r>
        <w:rPr>
          <w:rFonts w:ascii="Consolas" w:cs="Consolas" w:eastAsia="Consolas" w:hAnsi="Consolas"/>
          <w:sz w:val="19"/>
          <w:szCs w:val="19"/>
        </w:rPr>
        <w:t xml:space="preserve">vm-web-01</w:t>
      </w:r>
      <w:r>
        <w:rPr>
          <w:rFonts w:ascii="Arial" w:cs="Arial" w:eastAsia="Arial" w:hAnsi="Arial"/>
          <w:sz w:val="21"/>
          <w:szCs w:val="21"/>
        </w:rPr>
        <w:t xml:space="preserve"> → </w:t>
      </w:r>
      <w:r>
        <w:rPr>
          <w:rFonts w:ascii="Arial" w:cs="Arial" w:eastAsia="Arial" w:hAnsi="Arial"/>
          <w:b/>
          <w:bCs/>
          <w:sz w:val="21"/>
          <w:szCs w:val="21"/>
        </w:rPr>
        <w:t xml:space="preserve">Monitoring</w:t>
      </w:r>
      <w:r>
        <w:rPr>
          <w:rFonts w:ascii="Arial" w:cs="Arial" w:eastAsia="Arial" w:hAnsi="Arial"/>
          <w:sz w:val="21"/>
          <w:szCs w:val="21"/>
        </w:rPr>
        <w:t xml:space="preserve"> → </w:t>
      </w:r>
      <w:r>
        <w:rPr>
          <w:rFonts w:ascii="Arial" w:cs="Arial" w:eastAsia="Arial" w:hAnsi="Arial"/>
          <w:b/>
          <w:bCs/>
          <w:sz w:val="21"/>
          <w:szCs w:val="21"/>
        </w:rPr>
        <w:t xml:space="preserve">Insights</w:t>
      </w:r>
      <w:r>
        <w:rPr>
          <w:rFonts w:ascii="Arial" w:cs="Arial" w:eastAsia="Arial" w:hAnsi="Arial"/>
          <w:sz w:val="21"/>
          <w:szCs w:val="21"/>
        </w:rPr>
        <w:t xml:space="preserve">.</w:t>
      </w:r>
    </w:p>
    <w:p>
      <w:pPr>
        <w:spacing w:after="80"/>
      </w:pPr>
    </w:p>
    <w:p>
      <w:pPr>
        <w:pStyle w:val="Heading2"/>
        <w:spacing w:after="120" w:before="280"/>
        <w:outlineLvl w:val="1"/>
      </w:pPr>
      <w:r>
        <w:rPr>
          <w:rFonts w:ascii="Arial" w:cs="Arial" w:eastAsia="Arial" w:hAnsi="Arial"/>
          <w:b/>
          <w:bCs/>
          <w:color w:val="0F6CBD"/>
          <w:sz w:val="25"/>
          <w:szCs w:val="25"/>
        </w:rPr>
        <w:t xml:space="preserve">What you should see</w:t>
      </w:r>
    </w:p>
    <w:p>
      <w:pPr>
        <w:spacing w:after="60" w:before="160"/>
        <w:jc w:val="center"/>
      </w:pPr>
      <w:r>
        <w:drawing>
          <wp:inline distT="0" distB="0" distL="0" distR="0">
            <wp:extent cx="5943600" cy="3362325"/>
            <wp:effectExtent t="0" r="0" b="0" l="0"/>
            <wp:docPr id="1" name="08-vm-insights.png" descr="Figure 10 — VM Insights. A standard Azure Monitor experience, unmodified, reading the same telemetry the workbook reads." title="Figure 10 — VM Insights. A standard Azure Monitor experience, unmodified, reading the same telemetry the workbook re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362325"/>
                    </a:xfrm>
                    <a:prstGeom prst="rect">
                      <a:avLst/>
                    </a:prstGeom>
                  </pic:spPr>
                </pic:pic>
              </a:graphicData>
            </a:graphic>
          </wp:inline>
        </w:drawing>
      </w:r>
    </w:p>
    <w:p>
      <w:pPr>
        <w:spacing w:after="240"/>
        <w:jc w:val="center"/>
      </w:pPr>
      <w:r>
        <w:rPr>
          <w:rFonts w:ascii="Arial" w:cs="Arial" w:eastAsia="Arial" w:hAnsi="Arial"/>
          <w:i/>
          <w:iCs/>
          <w:color w:val="505050"/>
          <w:sz w:val="17"/>
          <w:szCs w:val="17"/>
        </w:rPr>
        <w:t xml:space="preserve">Figure 10 — VM Insights. A standard Azure Monitor experience, unmodified, reading the same telemetry the workbook reads.</w:t>
      </w:r>
    </w:p>
    <w:tbl>
      <w:tblPr>
        <w:tblW w:type="pct" w:w="100%"/>
        <w:tblBorders>
          <w:top w:val="single" w:color="EFF6FC" w:sz="2"/>
          <w:left w:val="single" w:color="0F6CBD" w:sz="18"/>
          <w:bottom w:val="single" w:color="EFF6FC" w:sz="2"/>
          <w:right w:val="single" w:color="EFF6FC" w:sz="2"/>
          <w:insideH w:val="none" w:color="FFFFFF" w:sz="0"/>
          <w:insideV w:val="none" w:color="FFFFFF" w:sz="0"/>
        </w:tblBorders>
      </w:tblPr>
      <w:tblGrid>
        <w:gridCol w:w="9360"/>
      </w:tblGrid>
      <w:tr>
        <w:tc>
          <w:tcPr>
            <w:tcW w:type="dxa" w:w="9360"/>
            <w:shd w:fill="EFF6FC" w:color="auto" w:val="clear"/>
            <w:tcMar>
              <w:top w:type="dxa" w:w="140"/>
              <w:left w:type="dxa" w:w="180"/>
              <w:bottom w:type="dxa" w:w="140"/>
              <w:right w:type="dxa" w:w="180"/>
            </w:tcMar>
          </w:tcPr>
          <w:p>
            <w:pPr>
              <w:spacing w:after="60"/>
            </w:pPr>
            <w:r>
              <w:rPr>
                <w:rFonts w:ascii="Arial" w:cs="Arial" w:eastAsia="Arial" w:hAnsi="Arial"/>
                <w:b/>
                <w:bCs/>
                <w:color w:val="13324B"/>
                <w:sz w:val="20"/>
                <w:szCs w:val="20"/>
              </w:rPr>
              <w:t xml:space="preserve">SAY THIS</w:t>
            </w:r>
          </w:p>
          <w:p>
            <w:pPr>
              <w:spacing w:after="40" w:line="264"/>
            </w:pPr>
            <w:r>
              <w:rPr>
                <w:rFonts w:ascii="Arial" w:cs="Arial" w:eastAsia="Arial" w:hAnsi="Arial"/>
                <w:i/>
                <w:iCs/>
                <w:sz w:val="20"/>
                <w:szCs w:val="20"/>
              </w:rPr>
              <w:t xml:space="preserve">“I have not left the product. This is stock VM Insights, reading the same data the workbook was reading. The workbook is not a separate system with its own copy of the truth — it is a view over the platform you already have.”</w:t>
            </w:r>
          </w:p>
        </w:tc>
      </w:tr>
    </w:tbl>
    <w:p>
      <w:pPr>
        <w:spacing w:after="160"/>
      </w:pPr>
    </w:p>
    <w:tbl>
      <w:tblPr>
        <w:tblW w:type="pct" w:w="100%"/>
        <w:tblBorders>
          <w:top w:val="single" w:color="FFF4CE" w:sz="2"/>
          <w:left w:val="single" w:color="0F6CBD" w:sz="18"/>
          <w:bottom w:val="single" w:color="FFF4CE" w:sz="2"/>
          <w:right w:val="single" w:color="FFF4CE" w:sz="2"/>
          <w:insideH w:val="none" w:color="FFFFFF" w:sz="0"/>
          <w:insideV w:val="none" w:color="FFFFFF" w:sz="0"/>
        </w:tblBorders>
      </w:tblPr>
      <w:tblGrid>
        <w:gridCol w:w="9360"/>
      </w:tblGrid>
      <w:tr>
        <w:tc>
          <w:tcPr>
            <w:tcW w:type="dxa" w:w="9360"/>
            <w:shd w:fill="FFF4CE" w:color="auto" w:val="clear"/>
            <w:tcMar>
              <w:top w:type="dxa" w:w="140"/>
              <w:left w:type="dxa" w:w="180"/>
              <w:bottom w:type="dxa" w:w="140"/>
              <w:right w:type="dxa" w:w="180"/>
            </w:tcMar>
          </w:tcPr>
          <w:p>
            <w:pPr>
              <w:spacing w:after="60"/>
            </w:pPr>
            <w:r>
              <w:rPr>
                <w:rFonts w:ascii="Arial" w:cs="Arial" w:eastAsia="Arial" w:hAnsi="Arial"/>
                <w:b/>
                <w:bCs/>
                <w:color w:val="13324B"/>
                <w:sz w:val="20"/>
                <w:szCs w:val="20"/>
              </w:rPr>
              <w:t xml:space="preserve">REMINDER — THE MAP TAB</w:t>
            </w:r>
          </w:p>
          <w:p>
            <w:pPr>
              <w:spacing w:after="40" w:line="264"/>
            </w:pPr>
            <w:r>
              <w:rPr>
                <w:rFonts w:ascii="Arial" w:cs="Arial" w:eastAsia="Arial" w:hAnsi="Arial"/>
                <w:sz w:val="20"/>
                <w:szCs w:val="20"/>
              </w:rPr>
              <w:t xml:space="preserve">Do not click Map. The Dependency Agent does not support the Ubuntu builds in this estate. Mention it before someone else finds it: service topology is presented in the workbook instead.</w:t>
            </w:r>
          </w:p>
        </w:tc>
      </w:tr>
    </w:tbl>
    <w:p>
      <w:r>
        <w:br w:type="page"/>
      </w:r>
    </w:p>
    <w:p>
      <w:pPr>
        <w:pStyle w:val="Heading1"/>
        <w:pBdr>
          <w:bottom w:val="single" w:color="0F6CBD" w:sz="10" w:space="6"/>
        </w:pBdr>
        <w:spacing w:after="160" w:before="360"/>
        <w:outlineLvl w:val="0"/>
      </w:pPr>
      <w:r>
        <w:rPr>
          <w:rFonts w:ascii="Arial" w:cs="Arial" w:eastAsia="Arial" w:hAnsi="Arial"/>
          <w:b/>
          <w:bCs/>
          <w:color w:val="13324B"/>
          <w:sz w:val="30"/>
          <w:szCs w:val="30"/>
        </w:rPr>
        <w:t xml:space="preserve">Step 9 — Native drill-down: Alerts</w:t>
      </w:r>
    </w:p>
    <w:p>
      <w:pPr>
        <w:pStyle w:val="Heading2"/>
        <w:spacing w:after="120" w:before="280"/>
        <w:outlineLvl w:val="1"/>
      </w:pPr>
      <w:r>
        <w:rPr>
          <w:rFonts w:ascii="Arial" w:cs="Arial" w:eastAsia="Arial" w:hAnsi="Arial"/>
          <w:b/>
          <w:bCs/>
          <w:color w:val="0F6CBD"/>
          <w:sz w:val="25"/>
          <w:szCs w:val="25"/>
        </w:rPr>
        <w:t xml:space="preserve">Where to click</w:t>
      </w:r>
    </w:p>
    <w:p>
      <w:pPr>
        <w:pStyle w:val="ListParagraph"/>
        <w:numPr>
          <w:ilvl w:val="0"/>
          <w:numId w:val="2"/>
        </w:numPr>
        <w:spacing w:after="120" w:line="276"/>
      </w:pPr>
      <w:r>
        <w:rPr>
          <w:rFonts w:ascii="Arial" w:cs="Arial" w:eastAsia="Arial" w:hAnsi="Arial"/>
          <w:sz w:val="21"/>
          <w:szCs w:val="21"/>
        </w:rPr>
        <w:t xml:space="preserve">Portal → </w:t>
      </w:r>
      <w:r>
        <w:rPr>
          <w:rFonts w:ascii="Arial" w:cs="Arial" w:eastAsia="Arial" w:hAnsi="Arial"/>
          <w:b/>
          <w:bCs/>
          <w:sz w:val="21"/>
          <w:szCs w:val="21"/>
        </w:rPr>
        <w:t xml:space="preserve">Monitor</w:t>
      </w:r>
      <w:r>
        <w:rPr>
          <w:rFonts w:ascii="Arial" w:cs="Arial" w:eastAsia="Arial" w:hAnsi="Arial"/>
          <w:sz w:val="21"/>
          <w:szCs w:val="21"/>
        </w:rPr>
        <w:t xml:space="preserve"> → </w:t>
      </w:r>
      <w:r>
        <w:rPr>
          <w:rFonts w:ascii="Arial" w:cs="Arial" w:eastAsia="Arial" w:hAnsi="Arial"/>
          <w:b/>
          <w:bCs/>
          <w:sz w:val="21"/>
          <w:szCs w:val="21"/>
        </w:rPr>
        <w:t xml:space="preserve">Alerts</w:t>
      </w:r>
      <w:r>
        <w:rPr>
          <w:rFonts w:ascii="Arial" w:cs="Arial" w:eastAsia="Arial" w:hAnsi="Arial"/>
          <w:sz w:val="21"/>
          <w:szCs w:val="21"/>
        </w:rPr>
        <w:t xml:space="preserve">.</w:t>
      </w:r>
    </w:p>
    <w:p>
      <w:pPr>
        <w:pStyle w:val="ListParagraph"/>
        <w:numPr>
          <w:ilvl w:val="0"/>
          <w:numId w:val="2"/>
        </w:numPr>
        <w:spacing w:after="120" w:line="276"/>
      </w:pPr>
      <w:r>
        <w:rPr>
          <w:rFonts w:ascii="Arial" w:cs="Arial" w:eastAsia="Arial" w:hAnsi="Arial"/>
          <w:sz w:val="21"/>
          <w:szCs w:val="21"/>
        </w:rPr>
        <w:t xml:space="preserve">Filter to resource group </w:t>
      </w:r>
      <w:r>
        <w:rPr>
          <w:rFonts w:ascii="Consolas" w:cs="Consolas" w:eastAsia="Consolas" w:hAnsi="Consolas"/>
          <w:sz w:val="19"/>
          <w:szCs w:val="19"/>
        </w:rPr>
        <w:t xml:space="preserve">rg-uoi-iaas</w:t>
      </w:r>
      <w:r>
        <w:rPr>
          <w:rFonts w:ascii="Arial" w:cs="Arial" w:eastAsia="Arial" w:hAnsi="Arial"/>
          <w:sz w:val="21"/>
          <w:szCs w:val="21"/>
        </w:rPr>
        <w:t xml:space="preserve">.</w:t>
      </w:r>
    </w:p>
    <w:p>
      <w:pPr>
        <w:pStyle w:val="ListParagraph"/>
        <w:numPr>
          <w:ilvl w:val="0"/>
          <w:numId w:val="2"/>
        </w:numPr>
        <w:spacing w:after="120" w:line="276"/>
      </w:pPr>
      <w:r>
        <w:rPr>
          <w:rFonts w:ascii="Arial" w:cs="Arial" w:eastAsia="Arial" w:hAnsi="Arial"/>
          <w:sz w:val="21"/>
          <w:szCs w:val="21"/>
        </w:rPr>
        <w:t xml:space="preserve">Open one of the alerts named </w:t>
      </w:r>
      <w:r>
        <w:rPr>
          <w:rFonts w:ascii="Arial" w:cs="Arial" w:eastAsia="Arial" w:hAnsi="Arial"/>
          <w:b/>
          <w:bCs/>
          <w:sz w:val="21"/>
          <w:szCs w:val="21"/>
        </w:rPr>
        <w:t xml:space="preserve">“Related estate alerts correlated into an actionable incident”</w:t>
      </w:r>
      <w:r>
        <w:rPr>
          <w:rFonts w:ascii="Arial" w:cs="Arial" w:eastAsia="Arial" w:hAnsi="Arial"/>
          <w:sz w:val="21"/>
          <w:szCs w:val="21"/>
        </w:rPr>
        <w:t xml:space="preserve"> and show its fired history.</w:t>
      </w:r>
    </w:p>
    <w:p>
      <w:pPr>
        <w:spacing w:after="80"/>
      </w:pPr>
    </w:p>
    <w:p>
      <w:pPr>
        <w:pStyle w:val="Heading2"/>
        <w:spacing w:after="120" w:before="280"/>
        <w:outlineLvl w:val="1"/>
      </w:pPr>
      <w:r>
        <w:rPr>
          <w:rFonts w:ascii="Arial" w:cs="Arial" w:eastAsia="Arial" w:hAnsi="Arial"/>
          <w:b/>
          <w:bCs/>
          <w:color w:val="0F6CBD"/>
          <w:sz w:val="25"/>
          <w:szCs w:val="25"/>
        </w:rPr>
        <w:t xml:space="preserve">What you should see</w:t>
      </w:r>
    </w:p>
    <w:p>
      <w:pPr>
        <w:spacing w:after="60" w:before="160"/>
        <w:jc w:val="center"/>
      </w:pPr>
      <w:r>
        <w:drawing>
          <wp:inline distT="0" distB="0" distL="0" distR="0">
            <wp:extent cx="5943600" cy="3362325"/>
            <wp:effectExtent t="0" r="0" b="0" l="0"/>
            <wp:docPr id="1" name="09-alerts.png" descr="Figure 11 — Azure Monitor Alerts, filtered to rg-uoi-iaas. These are genuinely fired Sev1 alerts from a real alert rule — not a static image." title="Figure 11 — Azure Monitor Alerts, filtered to rg-uoi-iaas. These are genuinely fired Sev1 alerts from a real alert rule — not a static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362325"/>
                    </a:xfrm>
                    <a:prstGeom prst="rect">
                      <a:avLst/>
                    </a:prstGeom>
                  </pic:spPr>
                </pic:pic>
              </a:graphicData>
            </a:graphic>
          </wp:inline>
        </w:drawing>
      </w:r>
    </w:p>
    <w:p>
      <w:pPr>
        <w:spacing w:after="240"/>
        <w:jc w:val="center"/>
      </w:pPr>
      <w:r>
        <w:rPr>
          <w:rFonts w:ascii="Arial" w:cs="Arial" w:eastAsia="Arial" w:hAnsi="Arial"/>
          <w:i/>
          <w:iCs/>
          <w:color w:val="505050"/>
          <w:sz w:val="17"/>
          <w:szCs w:val="17"/>
        </w:rPr>
        <w:t xml:space="preserve">Figure 11 — Azure Monitor Alerts, filtered to rg-uoi-iaas. These are genuinely fired Sev1 alerts from a real alert rule — not a static image.</w:t>
      </w:r>
    </w:p>
    <w:tbl>
      <w:tblPr>
        <w:tblW w:type="pct" w:w="100%"/>
        <w:tblBorders>
          <w:top w:val="single" w:color="EFF6FC" w:sz="2"/>
          <w:left w:val="single" w:color="0F6CBD" w:sz="18"/>
          <w:bottom w:val="single" w:color="EFF6FC" w:sz="2"/>
          <w:right w:val="single" w:color="EFF6FC" w:sz="2"/>
          <w:insideH w:val="none" w:color="FFFFFF" w:sz="0"/>
          <w:insideV w:val="none" w:color="FFFFFF" w:sz="0"/>
        </w:tblBorders>
      </w:tblPr>
      <w:tblGrid>
        <w:gridCol w:w="9360"/>
      </w:tblGrid>
      <w:tr>
        <w:tc>
          <w:tcPr>
            <w:tcW w:type="dxa" w:w="9360"/>
            <w:shd w:fill="EFF6FC" w:color="auto" w:val="clear"/>
            <w:tcMar>
              <w:top w:type="dxa" w:w="140"/>
              <w:left w:type="dxa" w:w="180"/>
              <w:bottom w:type="dxa" w:w="140"/>
              <w:right w:type="dxa" w:w="180"/>
            </w:tcMar>
          </w:tcPr>
          <w:p>
            <w:pPr>
              <w:spacing w:after="60"/>
            </w:pPr>
            <w:r>
              <w:rPr>
                <w:rFonts w:ascii="Arial" w:cs="Arial" w:eastAsia="Arial" w:hAnsi="Arial"/>
                <w:b/>
                <w:bCs/>
                <w:color w:val="13324B"/>
                <w:sz w:val="20"/>
                <w:szCs w:val="20"/>
              </w:rPr>
              <w:t xml:space="preserve">SAY THIS</w:t>
            </w:r>
          </w:p>
          <w:p>
            <w:pPr>
              <w:spacing w:after="40" w:line="264"/>
            </w:pPr>
            <w:r>
              <w:rPr>
                <w:rFonts w:ascii="Arial" w:cs="Arial" w:eastAsia="Arial" w:hAnsi="Arial"/>
                <w:i/>
                <w:iCs/>
                <w:sz w:val="20"/>
                <w:szCs w:val="20"/>
              </w:rPr>
              <w:t xml:space="preserve">“These alerts genuinely fired. This is a real Azure Monitor alert rule with a real firing history, in the portal, with timestamps you can inspect. This is not a screenshot in a slide deck.”</w:t>
            </w:r>
          </w:p>
        </w:tc>
      </w:tr>
    </w:tbl>
    <w:p>
      <w:r>
        <w:br w:type="page"/>
      </w:r>
    </w:p>
    <w:p>
      <w:pPr>
        <w:pStyle w:val="Heading1"/>
        <w:pBdr>
          <w:bottom w:val="single" w:color="0F6CBD" w:sz="10" w:space="6"/>
        </w:pBdr>
        <w:spacing w:after="160" w:before="360"/>
        <w:outlineLvl w:val="0"/>
      </w:pPr>
      <w:r>
        <w:rPr>
          <w:rFonts w:ascii="Arial" w:cs="Arial" w:eastAsia="Arial" w:hAnsi="Arial"/>
          <w:b/>
          <w:bCs/>
          <w:color w:val="13324B"/>
          <w:sz w:val="30"/>
          <w:szCs w:val="30"/>
        </w:rPr>
        <w:t xml:space="preserve">Step 10 — Native drill-down: Logs</w:t>
      </w:r>
    </w:p>
    <w:tbl>
      <w:tblPr>
        <w:tblW w:type="pct" w:w="100%"/>
        <w:tblBorders>
          <w:top w:val="single" w:color="E7F6EC" w:sz="2"/>
          <w:left w:val="single" w:color="0F6CBD" w:sz="18"/>
          <w:bottom w:val="single" w:color="E7F6EC" w:sz="2"/>
          <w:right w:val="single" w:color="E7F6EC" w:sz="2"/>
          <w:insideH w:val="none" w:color="FFFFFF" w:sz="0"/>
          <w:insideV w:val="none" w:color="FFFFFF" w:sz="0"/>
        </w:tblBorders>
      </w:tblPr>
      <w:tblGrid>
        <w:gridCol w:w="9360"/>
      </w:tblGrid>
      <w:tr>
        <w:tc>
          <w:tcPr>
            <w:tcW w:type="dxa" w:w="9360"/>
            <w:shd w:fill="E7F6EC" w:color="auto" w:val="clear"/>
            <w:tcMar>
              <w:top w:type="dxa" w:w="140"/>
              <w:left w:type="dxa" w:w="180"/>
              <w:bottom w:type="dxa" w:w="140"/>
              <w:right w:type="dxa" w:w="180"/>
            </w:tcMar>
          </w:tcPr>
          <w:p>
            <w:pPr>
              <w:spacing w:after="60"/>
            </w:pPr>
            <w:r>
              <w:rPr>
                <w:rFonts w:ascii="Arial" w:cs="Arial" w:eastAsia="Arial" w:hAnsi="Arial"/>
                <w:b/>
                <w:bCs/>
                <w:color w:val="13324B"/>
                <w:sz w:val="20"/>
                <w:szCs w:val="20"/>
              </w:rPr>
              <w:t xml:space="preserve">THE STRONGEST CREDIBILITY MOVE AVAILABLE</w:t>
            </w:r>
          </w:p>
          <w:p>
            <w:pPr>
              <w:spacing w:after="40" w:line="264"/>
            </w:pPr>
            <w:r>
              <w:rPr>
                <w:rFonts w:ascii="Arial" w:cs="Arial" w:eastAsia="Arial" w:hAnsi="Arial"/>
                <w:sz w:val="20"/>
                <w:szCs w:val="20"/>
              </w:rPr>
              <w:t xml:space="preserve">Running ad-hoc KQL live is the single most convincing thing you can do, because the audience can ask for anything and watch you answer it against the real workspace. If you rehearse one thing, rehearse this.</w:t>
            </w:r>
          </w:p>
        </w:tc>
      </w:tr>
    </w:tbl>
    <w:p>
      <w:pPr>
        <w:spacing w:after="160"/>
      </w:pPr>
    </w:p>
    <w:p>
      <w:pPr>
        <w:pStyle w:val="Heading2"/>
        <w:spacing w:after="120" w:before="280"/>
        <w:outlineLvl w:val="1"/>
      </w:pPr>
      <w:r>
        <w:rPr>
          <w:rFonts w:ascii="Arial" w:cs="Arial" w:eastAsia="Arial" w:hAnsi="Arial"/>
          <w:b/>
          <w:bCs/>
          <w:color w:val="0F6CBD"/>
          <w:sz w:val="25"/>
          <w:szCs w:val="25"/>
        </w:rPr>
        <w:t xml:space="preserve">Where to click</w:t>
      </w:r>
    </w:p>
    <w:p>
      <w:pPr>
        <w:pStyle w:val="ListParagraph"/>
        <w:numPr>
          <w:ilvl w:val="0"/>
          <w:numId w:val="2"/>
        </w:numPr>
        <w:spacing w:after="120" w:line="276"/>
      </w:pPr>
      <w:r>
        <w:rPr>
          <w:rFonts w:ascii="Arial" w:cs="Arial" w:eastAsia="Arial" w:hAnsi="Arial"/>
          <w:sz w:val="21"/>
          <w:szCs w:val="21"/>
        </w:rPr>
        <w:t xml:space="preserve">Portal → </w:t>
      </w:r>
      <w:r>
        <w:rPr>
          <w:rFonts w:ascii="Arial" w:cs="Arial" w:eastAsia="Arial" w:hAnsi="Arial"/>
          <w:b/>
          <w:bCs/>
          <w:sz w:val="21"/>
          <w:szCs w:val="21"/>
        </w:rPr>
        <w:t xml:space="preserve">Monitor</w:t>
      </w:r>
      <w:r>
        <w:rPr>
          <w:rFonts w:ascii="Arial" w:cs="Arial" w:eastAsia="Arial" w:hAnsi="Arial"/>
          <w:sz w:val="21"/>
          <w:szCs w:val="21"/>
        </w:rPr>
        <w:t xml:space="preserve"> → </w:t>
      </w:r>
      <w:r>
        <w:rPr>
          <w:rFonts w:ascii="Arial" w:cs="Arial" w:eastAsia="Arial" w:hAnsi="Arial"/>
          <w:b/>
          <w:bCs/>
          <w:sz w:val="21"/>
          <w:szCs w:val="21"/>
        </w:rPr>
        <w:t xml:space="preserve">Logs</w:t>
      </w:r>
      <w:r>
        <w:rPr>
          <w:rFonts w:ascii="Arial" w:cs="Arial" w:eastAsia="Arial" w:hAnsi="Arial"/>
          <w:sz w:val="21"/>
          <w:szCs w:val="21"/>
        </w:rPr>
        <w:t xml:space="preserve">, scoped to workspace </w:t>
      </w:r>
      <w:r>
        <w:rPr>
          <w:rFonts w:ascii="Consolas" w:cs="Consolas" w:eastAsia="Consolas" w:hAnsi="Consolas"/>
          <w:sz w:val="19"/>
          <w:szCs w:val="19"/>
        </w:rPr>
        <w:t xml:space="preserve">log-uoi</w:t>
      </w:r>
      <w:r>
        <w:rPr>
          <w:rFonts w:ascii="Arial" w:cs="Arial" w:eastAsia="Arial" w:hAnsi="Arial"/>
          <w:sz w:val="21"/>
          <w:szCs w:val="21"/>
        </w:rPr>
        <w:t xml:space="preserve">.</w:t>
      </w:r>
    </w:p>
    <w:p>
      <w:pPr>
        <w:pStyle w:val="ListParagraph"/>
        <w:numPr>
          <w:ilvl w:val="0"/>
          <w:numId w:val="2"/>
        </w:numPr>
        <w:spacing w:after="120" w:line="276"/>
      </w:pPr>
      <w:r>
        <w:rPr>
          <w:rFonts w:ascii="Arial" w:cs="Arial" w:eastAsia="Arial" w:hAnsi="Arial"/>
          <w:sz w:val="21"/>
          <w:szCs w:val="21"/>
        </w:rPr>
        <w:t xml:space="preserve">Run the queries below, live.</w:t>
      </w:r>
    </w:p>
    <w:p>
      <w:pPr>
        <w:spacing w:after="80"/>
      </w:pPr>
    </w:p>
    <w:p>
      <w:pPr>
        <w:pStyle w:val="Heading2"/>
        <w:spacing w:after="120" w:before="280"/>
        <w:outlineLvl w:val="1"/>
      </w:pPr>
      <w:r>
        <w:rPr>
          <w:rFonts w:ascii="Arial" w:cs="Arial" w:eastAsia="Arial" w:hAnsi="Arial"/>
          <w:b/>
          <w:bCs/>
          <w:color w:val="0F6CBD"/>
          <w:sz w:val="25"/>
          <w:szCs w:val="25"/>
        </w:rPr>
        <w:t xml:space="preserve">What you should see</w:t>
      </w:r>
    </w:p>
    <w:p>
      <w:pPr>
        <w:spacing w:after="60" w:before="160"/>
        <w:jc w:val="center"/>
      </w:pPr>
      <w:r>
        <w:drawing>
          <wp:inline distT="0" distB="0" distL="0" distR="0">
            <wp:extent cx="5943600" cy="3362325"/>
            <wp:effectExtent t="0" r="0" b="0" l="0"/>
            <wp:docPr id="1" name="10-logs.png" descr="Figure 12 — Log Analytics. Ad-hoc KQL against the live log-uoi workspace, where the audience can ask for anything." title="Figure 12 — Log Analytics. Ad-hoc KQL against the live log-uoi workspace, where the audience can ask for anyt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362325"/>
                    </a:xfrm>
                    <a:prstGeom prst="rect">
                      <a:avLst/>
                    </a:prstGeom>
                  </pic:spPr>
                </pic:pic>
              </a:graphicData>
            </a:graphic>
          </wp:inline>
        </w:drawing>
      </w:r>
    </w:p>
    <w:p>
      <w:pPr>
        <w:spacing w:after="240"/>
        <w:jc w:val="center"/>
      </w:pPr>
      <w:r>
        <w:rPr>
          <w:rFonts w:ascii="Arial" w:cs="Arial" w:eastAsia="Arial" w:hAnsi="Arial"/>
          <w:i/>
          <w:iCs/>
          <w:color w:val="505050"/>
          <w:sz w:val="17"/>
          <w:szCs w:val="17"/>
        </w:rPr>
        <w:t xml:space="preserve">Figure 12 — Log Analytics. Ad-hoc KQL against the live log-uoi workspace, where the audience can ask for anything.</w:t>
      </w:r>
    </w:p>
    <w:p>
      <w:pPr>
        <w:pStyle w:val="Heading2"/>
        <w:spacing w:after="120" w:before="280"/>
        <w:outlineLvl w:val="1"/>
      </w:pPr>
      <w:r>
        <w:rPr>
          <w:rFonts w:ascii="Arial" w:cs="Arial" w:eastAsia="Arial" w:hAnsi="Arial"/>
          <w:b/>
          <w:bCs/>
          <w:color w:val="0F6CBD"/>
          <w:sz w:val="25"/>
          <w:szCs w:val="25"/>
        </w:rPr>
        <w:t xml:space="preserve">Query 1 — prove the correlation number</w:t>
      </w:r>
    </w:p>
    <w:tbl>
      <w:tblPr>
        <w:tblW w:type="pct" w:w="100%"/>
        <w:tblBorders>
          <w:top w:val="single" w:color="D1D1D1" w:sz="2"/>
          <w:left w:val="single" w:color="D1D1D1" w:sz="2"/>
          <w:bottom w:val="single" w:color="D1D1D1" w:sz="2"/>
          <w:right w:val="single" w:color="D1D1D1" w:sz="2"/>
          <w:insideH w:val="none" w:color="FFFFFF" w:sz="0"/>
          <w:insideV w:val="none" w:color="FFFFFF" w:sz="0"/>
        </w:tblBorders>
      </w:tblPr>
      <w:tblGrid>
        <w:gridCol w:w="9360"/>
      </w:tblGrid>
      <w:tr>
        <w:tc>
          <w:tcPr>
            <w:tcW w:type="dxa" w:w="9360"/>
            <w:shd w:fill="F5F5F5" w:color="auto" w:val="clear"/>
            <w:tcMar>
              <w:top w:type="dxa" w:w="120"/>
              <w:left w:type="dxa" w:w="160"/>
              <w:bottom w:type="dxa" w:w="120"/>
              <w:right w:type="dxa" w:w="160"/>
            </w:tcMar>
          </w:tcPr>
          <w:p>
            <w:pPr>
              <w:spacing w:after="20" w:line="240"/>
            </w:pPr>
            <w:r>
              <w:rPr>
                <w:rFonts w:ascii="Consolas" w:cs="Consolas" w:eastAsia="Consolas" w:hAnsi="Consolas"/>
                <w:sz w:val="18"/>
                <w:szCs w:val="18"/>
              </w:rPr>
              <w:t xml:space="preserve">UoiEstateAlert_CL</w:t>
            </w:r>
          </w:p>
          <w:p>
            <w:pPr>
              <w:spacing w:after="20" w:line="240"/>
            </w:pPr>
            <w:r>
              <w:rPr>
                <w:rFonts w:ascii="Consolas" w:cs="Consolas" w:eastAsia="Consolas" w:hAnsi="Consolas"/>
                <w:sz w:val="18"/>
                <w:szCs w:val="18"/>
              </w:rPr>
              <w:t xml:space="preserve">| where IsSynthetic == true</w:t>
            </w:r>
          </w:p>
          <w:p>
            <w:pPr>
              <w:spacing w:after="20" w:line="240"/>
            </w:pPr>
            <w:r>
              <w:rPr>
                <w:rFonts w:ascii="Consolas" w:cs="Consolas" w:eastAsia="Consolas" w:hAnsi="Consolas"/>
                <w:sz w:val="18"/>
                <w:szCs w:val="18"/>
              </w:rPr>
              <w:t xml:space="preserve">| summarize RelatedAlerts = dcount(AlertId) by IncidentId</w:t>
            </w:r>
          </w:p>
        </w:tc>
      </w:tr>
    </w:tbl>
    <w:p>
      <w:pPr>
        <w:spacing w:after="120"/>
      </w:pPr>
    </w:p>
    <w:p>
      <w:pPr>
        <w:spacing w:after="140" w:line="276"/>
      </w:pPr>
      <w:r>
        <w:rPr>
          <w:rFonts w:ascii="Arial" w:cs="Arial" w:eastAsia="Arial" w:hAnsi="Arial"/>
          <w:sz w:val="21"/>
          <w:szCs w:val="21"/>
        </w:rPr>
        <w:t xml:space="preserve">This returns the headline number from the raw data, in front of the audience. Note the </w:t>
      </w:r>
      <w:r>
        <w:rPr>
          <w:rFonts w:ascii="Consolas" w:cs="Consolas" w:eastAsia="Consolas" w:hAnsi="Consolas"/>
          <w:sz w:val="19"/>
          <w:szCs w:val="19"/>
        </w:rPr>
        <w:t xml:space="preserve">IsSynthetic == true</w:t>
      </w:r>
      <w:r>
        <w:rPr>
          <w:rFonts w:ascii="Arial" w:cs="Arial" w:eastAsia="Arial" w:hAnsi="Arial"/>
          <w:sz w:val="21"/>
          <w:szCs w:val="21"/>
        </w:rPr>
        <w:t xml:space="preserve"> filter — the labelling is enforced in the data, not just written on a slide. Point at it.</w:t>
      </w:r>
    </w:p>
    <w:p>
      <w:pPr>
        <w:pStyle w:val="Heading2"/>
        <w:spacing w:after="120" w:before="280"/>
        <w:outlineLvl w:val="1"/>
      </w:pPr>
      <w:r>
        <w:rPr>
          <w:rFonts w:ascii="Arial" w:cs="Arial" w:eastAsia="Arial" w:hAnsi="Arial"/>
          <w:b/>
          <w:bCs/>
          <w:color w:val="0F6CBD"/>
          <w:sz w:val="25"/>
          <w:szCs w:val="25"/>
        </w:rPr>
        <w:t xml:space="preserve">Query 2 — prove the telemetry is real</w:t>
      </w:r>
    </w:p>
    <w:tbl>
      <w:tblPr>
        <w:tblW w:type="pct" w:w="100%"/>
        <w:tblBorders>
          <w:top w:val="single" w:color="D1D1D1" w:sz="2"/>
          <w:left w:val="single" w:color="D1D1D1" w:sz="2"/>
          <w:bottom w:val="single" w:color="D1D1D1" w:sz="2"/>
          <w:right w:val="single" w:color="D1D1D1" w:sz="2"/>
          <w:insideH w:val="none" w:color="FFFFFF" w:sz="0"/>
          <w:insideV w:val="none" w:color="FFFFFF" w:sz="0"/>
        </w:tblBorders>
      </w:tblPr>
      <w:tblGrid>
        <w:gridCol w:w="9360"/>
      </w:tblGrid>
      <w:tr>
        <w:tc>
          <w:tcPr>
            <w:tcW w:type="dxa" w:w="9360"/>
            <w:shd w:fill="F5F5F5" w:color="auto" w:val="clear"/>
            <w:tcMar>
              <w:top w:type="dxa" w:w="120"/>
              <w:left w:type="dxa" w:w="160"/>
              <w:bottom w:type="dxa" w:w="120"/>
              <w:right w:type="dxa" w:w="160"/>
            </w:tcMar>
          </w:tcPr>
          <w:p>
            <w:pPr>
              <w:spacing w:after="20" w:line="240"/>
            </w:pPr>
            <w:r>
              <w:rPr>
                <w:rFonts w:ascii="Consolas" w:cs="Consolas" w:eastAsia="Consolas" w:hAnsi="Consolas"/>
                <w:sz w:val="18"/>
                <w:szCs w:val="18"/>
              </w:rPr>
              <w:t xml:space="preserve">InsightsMetrics</w:t>
            </w:r>
          </w:p>
          <w:p>
            <w:pPr>
              <w:spacing w:after="20" w:line="240"/>
            </w:pPr>
            <w:r>
              <w:rPr>
                <w:rFonts w:ascii="Consolas" w:cs="Consolas" w:eastAsia="Consolas" w:hAnsi="Consolas"/>
                <w:sz w:val="18"/>
                <w:szCs w:val="18"/>
              </w:rPr>
              <w:t xml:space="preserve">| where Namespace == 'Processor' and Name == 'UtilizationPercentage'</w:t>
            </w:r>
          </w:p>
          <w:p>
            <w:pPr>
              <w:spacing w:after="20" w:line="240"/>
            </w:pPr>
            <w:r>
              <w:rPr>
                <w:rFonts w:ascii="Consolas" w:cs="Consolas" w:eastAsia="Consolas" w:hAnsi="Consolas"/>
                <w:sz w:val="18"/>
                <w:szCs w:val="18"/>
              </w:rPr>
              <w:t xml:space="preserve">| summarize avg(Val) by Computer, bin(TimeGenerated, 5m)</w:t>
            </w:r>
          </w:p>
          <w:p>
            <w:pPr>
              <w:spacing w:after="20" w:line="240"/>
            </w:pPr>
            <w:r>
              <w:rPr>
                <w:rFonts w:ascii="Consolas" w:cs="Consolas" w:eastAsia="Consolas" w:hAnsi="Consolas"/>
                <w:sz w:val="18"/>
                <w:szCs w:val="18"/>
              </w:rPr>
              <w:t xml:space="preserve">| render timechart</w:t>
            </w:r>
          </w:p>
        </w:tc>
      </w:tr>
    </w:tbl>
    <w:p>
      <w:pPr>
        <w:spacing w:after="120"/>
      </w:pPr>
    </w:p>
    <w:p>
      <w:pPr>
        <w:spacing w:after="140" w:line="276"/>
      </w:pPr>
      <w:r>
        <w:rPr>
          <w:rFonts w:ascii="Arial" w:cs="Arial" w:eastAsia="Arial" w:hAnsi="Arial"/>
          <w:sz w:val="21"/>
          <w:szCs w:val="21"/>
        </w:rPr>
        <w:t xml:space="preserve">This reads the standard Azure Monitor Agent table. There is no synthetic filter here because none is needed — this data was emitted by the running machines.</w:t>
      </w:r>
    </w:p>
    <w:p>
      <w:pPr>
        <w:pStyle w:val="Heading2"/>
        <w:spacing w:after="120" w:before="280"/>
        <w:outlineLvl w:val="1"/>
      </w:pPr>
      <w:r>
        <w:rPr>
          <w:rFonts w:ascii="Arial" w:cs="Arial" w:eastAsia="Arial" w:hAnsi="Arial"/>
          <w:b/>
          <w:bCs/>
          <w:color w:val="0F6CBD"/>
          <w:sz w:val="25"/>
          <w:szCs w:val="25"/>
        </w:rPr>
        <w:t xml:space="preserve">Optional — answer "how does the data get here?"</w:t>
      </w:r>
    </w:p>
    <w:p>
      <w:pPr>
        <w:spacing w:after="140" w:line="276"/>
      </w:pPr>
      <w:r>
        <w:rPr>
          <w:rFonts w:ascii="Arial" w:cs="Arial" w:eastAsia="Arial" w:hAnsi="Arial"/>
          <w:sz w:val="21"/>
          <w:szCs w:val="21"/>
        </w:rPr>
        <w:t xml:space="preserve">Portal → </w:t>
      </w:r>
      <w:r>
        <w:rPr>
          <w:rFonts w:ascii="Arial" w:cs="Arial" w:eastAsia="Arial" w:hAnsi="Arial"/>
          <w:b/>
          <w:bCs/>
          <w:sz w:val="21"/>
          <w:szCs w:val="21"/>
        </w:rPr>
        <w:t xml:space="preserve">Monitor</w:t>
      </w:r>
      <w:r>
        <w:rPr>
          <w:rFonts w:ascii="Arial" w:cs="Arial" w:eastAsia="Arial" w:hAnsi="Arial"/>
          <w:sz w:val="21"/>
          <w:szCs w:val="21"/>
        </w:rPr>
        <w:t xml:space="preserve"> → </w:t>
      </w:r>
      <w:r>
        <w:rPr>
          <w:rFonts w:ascii="Arial" w:cs="Arial" w:eastAsia="Arial" w:hAnsi="Arial"/>
          <w:b/>
          <w:bCs/>
          <w:sz w:val="21"/>
          <w:szCs w:val="21"/>
        </w:rPr>
        <w:t xml:space="preserve">Data Collection Rules</w:t>
      </w:r>
      <w:r>
        <w:rPr>
          <w:rFonts w:ascii="Arial" w:cs="Arial" w:eastAsia="Arial" w:hAnsi="Arial"/>
          <w:sz w:val="21"/>
          <w:szCs w:val="21"/>
        </w:rPr>
        <w:t xml:space="preserve">. Show </w:t>
      </w:r>
      <w:r>
        <w:rPr>
          <w:rFonts w:ascii="Consolas" w:cs="Consolas" w:eastAsia="Consolas" w:hAnsi="Consolas"/>
          <w:sz w:val="19"/>
          <w:szCs w:val="19"/>
        </w:rPr>
        <w:t xml:space="preserve">dcr-vminsights-uoi</w:t>
      </w:r>
      <w:r>
        <w:rPr>
          <w:rFonts w:ascii="Arial" w:cs="Arial" w:eastAsia="Arial" w:hAnsi="Arial"/>
          <w:sz w:val="21"/>
          <w:szCs w:val="21"/>
        </w:rPr>
        <w:t xml:space="preserve">, </w:t>
      </w:r>
      <w:r>
        <w:rPr>
          <w:rFonts w:ascii="Consolas" w:cs="Consolas" w:eastAsia="Consolas" w:hAnsi="Consolas"/>
          <w:sz w:val="19"/>
          <w:szCs w:val="19"/>
        </w:rPr>
        <w:t xml:space="preserve">dcr-syslog-uoi</w:t>
      </w:r>
      <w:r>
        <w:rPr>
          <w:rFonts w:ascii="Arial" w:cs="Arial" w:eastAsia="Arial" w:hAnsi="Arial"/>
          <w:sz w:val="21"/>
          <w:szCs w:val="21"/>
        </w:rPr>
        <w:t xml:space="preserve"> and </w:t>
      </w:r>
      <w:r>
        <w:rPr>
          <w:rFonts w:ascii="Consolas" w:cs="Consolas" w:eastAsia="Consolas" w:hAnsi="Consolas"/>
          <w:sz w:val="19"/>
          <w:szCs w:val="19"/>
        </w:rPr>
        <w:t xml:space="preserve">dcr-ingest-uoi</w:t>
      </w:r>
      <w:r>
        <w:rPr>
          <w:rFonts w:ascii="Arial" w:cs="Arial" w:eastAsia="Arial" w:hAnsi="Arial"/>
          <w:sz w:val="21"/>
          <w:szCs w:val="21"/>
        </w:rPr>
        <w:t xml:space="preserve">. This answers the ingestion question with a resource rather than an architecture diagram.</w:t>
      </w:r>
    </w:p>
    <w:p>
      <w:r>
        <w:br w:type="page"/>
      </w:r>
    </w:p>
    <w:p>
      <w:pPr>
        <w:pStyle w:val="Heading1"/>
        <w:pBdr>
          <w:bottom w:val="single" w:color="0F6CBD" w:sz="10" w:space="6"/>
        </w:pBdr>
        <w:spacing w:after="160" w:before="360"/>
        <w:outlineLvl w:val="0"/>
      </w:pPr>
      <w:r>
        <w:rPr>
          <w:rFonts w:ascii="Arial" w:cs="Arial" w:eastAsia="Arial" w:hAnsi="Arial"/>
          <w:b/>
          <w:bCs/>
          <w:color w:val="13324B"/>
          <w:sz w:val="30"/>
          <w:szCs w:val="30"/>
        </w:rPr>
        <w:t xml:space="preserve">Step 11 — Ask the Observability agent</w:t>
      </w:r>
    </w:p>
    <w:tbl>
      <w:tblPr>
        <w:tblW w:type="pct" w:w="100%"/>
        <w:tblBorders>
          <w:top w:val="single" w:color="E7F6EC" w:sz="2"/>
          <w:left w:val="single" w:color="0F6CBD" w:sz="18"/>
          <w:bottom w:val="single" w:color="E7F6EC" w:sz="2"/>
          <w:right w:val="single" w:color="E7F6EC" w:sz="2"/>
          <w:insideH w:val="none" w:color="FFFFFF" w:sz="0"/>
          <w:insideV w:val="none" w:color="FFFFFF" w:sz="0"/>
        </w:tblBorders>
      </w:tblPr>
      <w:tblGrid>
        <w:gridCol w:w="9360"/>
      </w:tblGrid>
      <w:tr>
        <w:tc>
          <w:tcPr>
            <w:tcW w:type="dxa" w:w="9360"/>
            <w:shd w:fill="E7F6EC" w:color="auto" w:val="clear"/>
            <w:tcMar>
              <w:top w:type="dxa" w:w="140"/>
              <w:left w:type="dxa" w:w="180"/>
              <w:bottom w:type="dxa" w:w="140"/>
              <w:right w:type="dxa" w:w="180"/>
            </w:tcMar>
          </w:tcPr>
          <w:p>
            <w:pPr>
              <w:spacing w:after="60"/>
            </w:pPr>
            <w:r>
              <w:rPr>
                <w:rFonts w:ascii="Arial" w:cs="Arial" w:eastAsia="Arial" w:hAnsi="Arial"/>
                <w:b/>
                <w:bCs/>
                <w:color w:val="13324B"/>
                <w:sz w:val="20"/>
                <w:szCs w:val="20"/>
              </w:rPr>
              <w:t xml:space="preserve">NOTHING TO DEPLOY — THIS SHIPS IN THE PORTAL</w:t>
            </w:r>
          </w:p>
          <w:p>
            <w:pPr>
              <w:spacing w:after="40" w:line="264"/>
            </w:pPr>
            <w:r>
              <w:rPr>
                <w:rFonts w:ascii="Arial" w:cs="Arial" w:eastAsia="Arial" w:hAnsi="Arial"/>
                <w:b/>
                <w:bCs/>
                <w:sz w:val="20"/>
                <w:szCs w:val="20"/>
              </w:rPr>
              <w:t xml:space="preserve">There is no Azure OpenAI resource in this demonstration, no model deployment, no key and no endpoint to manage. </w:t>
            </w:r>
            <w:r>
              <w:rPr>
                <w:rFonts w:ascii="Arial" w:cs="Arial" w:eastAsia="Arial" w:hAnsi="Arial"/>
                <w:sz w:val="20"/>
                <w:szCs w:val="20"/>
              </w:rPr>
              <w:t xml:space="preserve">The agent is built into the Logs blade. It is the same argument as the rest of the demonstration: the capability is native to the platform the workloads already run on.</w:t>
            </w:r>
          </w:p>
        </w:tc>
      </w:tr>
    </w:tbl>
    <w:p>
      <w:pPr>
        <w:spacing w:after="160"/>
      </w:pPr>
    </w:p>
    <w:p>
      <w:pPr>
        <w:pStyle w:val="Heading2"/>
        <w:spacing w:after="120" w:before="280"/>
        <w:outlineLvl w:val="1"/>
      </w:pPr>
      <w:r>
        <w:rPr>
          <w:rFonts w:ascii="Arial" w:cs="Arial" w:eastAsia="Arial" w:hAnsi="Arial"/>
          <w:b/>
          <w:bCs/>
          <w:color w:val="0F6CBD"/>
          <w:sz w:val="25"/>
          <w:szCs w:val="25"/>
        </w:rPr>
        <w:t xml:space="preserve">Where to click</w:t>
      </w:r>
    </w:p>
    <w:p>
      <w:pPr>
        <w:pStyle w:val="ListParagraph"/>
        <w:numPr>
          <w:ilvl w:val="0"/>
          <w:numId w:val="2"/>
        </w:numPr>
        <w:spacing w:after="120" w:line="276"/>
      </w:pPr>
      <w:r>
        <w:rPr>
          <w:rFonts w:ascii="Arial" w:cs="Arial" w:eastAsia="Arial" w:hAnsi="Arial"/>
          <w:sz w:val="21"/>
          <w:szCs w:val="21"/>
        </w:rPr>
        <w:t xml:space="preserve">Stay in </w:t>
      </w:r>
      <w:r>
        <w:rPr>
          <w:rFonts w:ascii="Arial" w:cs="Arial" w:eastAsia="Arial" w:hAnsi="Arial"/>
          <w:b/>
          <w:bCs/>
          <w:sz w:val="21"/>
          <w:szCs w:val="21"/>
        </w:rPr>
        <w:t xml:space="preserve">Monitor</w:t>
      </w:r>
      <w:r>
        <w:rPr>
          <w:rFonts w:ascii="Arial" w:cs="Arial" w:eastAsia="Arial" w:hAnsi="Arial"/>
          <w:sz w:val="21"/>
          <w:szCs w:val="21"/>
        </w:rPr>
        <w:t xml:space="preserve"> → </w:t>
      </w:r>
      <w:r>
        <w:rPr>
          <w:rFonts w:ascii="Arial" w:cs="Arial" w:eastAsia="Arial" w:hAnsi="Arial"/>
          <w:b/>
          <w:bCs/>
          <w:sz w:val="21"/>
          <w:szCs w:val="21"/>
        </w:rPr>
        <w:t xml:space="preserve">Logs</w:t>
      </w:r>
      <w:r>
        <w:rPr>
          <w:rFonts w:ascii="Arial" w:cs="Arial" w:eastAsia="Arial" w:hAnsi="Arial"/>
          <w:sz w:val="21"/>
          <w:szCs w:val="21"/>
        </w:rPr>
        <w:t xml:space="preserve"> on workspace </w:t>
      </w:r>
      <w:r>
        <w:rPr>
          <w:rFonts w:ascii="Consolas" w:cs="Consolas" w:eastAsia="Consolas" w:hAnsi="Consolas"/>
          <w:sz w:val="19"/>
          <w:szCs w:val="19"/>
        </w:rPr>
        <w:t xml:space="preserve">log-uoi</w:t>
      </w:r>
      <w:r>
        <w:rPr>
          <w:rFonts w:ascii="Arial" w:cs="Arial" w:eastAsia="Arial" w:hAnsi="Arial"/>
          <w:sz w:val="21"/>
          <w:szCs w:val="21"/>
        </w:rPr>
        <w:t xml:space="preserve">.</w:t>
      </w:r>
    </w:p>
    <w:p>
      <w:pPr>
        <w:pStyle w:val="ListParagraph"/>
        <w:numPr>
          <w:ilvl w:val="0"/>
          <w:numId w:val="2"/>
        </w:numPr>
        <w:spacing w:after="120" w:line="276"/>
      </w:pPr>
      <w:r>
        <w:rPr>
          <w:rFonts w:ascii="Arial" w:cs="Arial" w:eastAsia="Arial" w:hAnsi="Arial"/>
          <w:sz w:val="21"/>
          <w:szCs w:val="21"/>
        </w:rPr>
        <w:t xml:space="preserve">Click </w:t>
      </w:r>
      <w:r>
        <w:rPr>
          <w:rFonts w:ascii="Arial" w:cs="Arial" w:eastAsia="Arial" w:hAnsi="Arial"/>
          <w:b/>
          <w:bCs/>
          <w:sz w:val="21"/>
          <w:szCs w:val="21"/>
        </w:rPr>
        <w:t xml:space="preserve">Observability agent</w:t>
      </w:r>
      <w:r>
        <w:rPr>
          <w:rFonts w:ascii="Arial" w:cs="Arial" w:eastAsia="Arial" w:hAnsi="Arial"/>
          <w:sz w:val="21"/>
          <w:szCs w:val="21"/>
        </w:rPr>
        <w:t xml:space="preserve"> in the query toolbar. A chat pane opens on the right.</w:t>
      </w:r>
    </w:p>
    <w:p>
      <w:pPr>
        <w:spacing w:after="80"/>
      </w:pPr>
    </w:p>
    <w:p>
      <w:pPr>
        <w:pStyle w:val="Heading2"/>
        <w:spacing w:after="120" w:before="280"/>
        <w:outlineLvl w:val="1"/>
      </w:pPr>
      <w:r>
        <w:rPr>
          <w:rFonts w:ascii="Arial" w:cs="Arial" w:eastAsia="Arial" w:hAnsi="Arial"/>
          <w:b/>
          <w:bCs/>
          <w:color w:val="0F6CBD"/>
          <w:sz w:val="25"/>
          <w:szCs w:val="25"/>
        </w:rPr>
        <w:t xml:space="preserve">What you should see</w:t>
      </w:r>
    </w:p>
    <w:p>
      <w:pPr>
        <w:spacing w:after="60" w:before="160"/>
        <w:jc w:val="center"/>
      </w:pPr>
      <w:r>
        <w:drawing>
          <wp:inline distT="0" distB="0" distL="0" distR="0">
            <wp:extent cx="5943600" cy="3362325"/>
            <wp:effectExtent t="0" r="0" b="0" l="0"/>
            <wp:docPr id="1" name="agent5-final.png" descr="Figure 14 — The Observability agent answering in the Logs blade. The results grid on the left independently returns 150 for the same incident; the agent agrees, names the earliest signal, and ends with “No root cause inferred.” Note the “AI-generated content may be incorrect” label the portal adds." title="Figure 14 — The Observability agent answering in the Logs blade. The results grid on the left independently returns 150 for the same incident; the agent agrees, names the earliest signal, and ends with “No root cause inferred.” Note the “AI-generated content may be incorrect” label the portal ad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362325"/>
                    </a:xfrm>
                    <a:prstGeom prst="rect">
                      <a:avLst/>
                    </a:prstGeom>
                  </pic:spPr>
                </pic:pic>
              </a:graphicData>
            </a:graphic>
          </wp:inline>
        </w:drawing>
      </w:r>
    </w:p>
    <w:p>
      <w:pPr>
        <w:spacing w:after="240"/>
        <w:jc w:val="center"/>
      </w:pPr>
      <w:r>
        <w:rPr>
          <w:rFonts w:ascii="Arial" w:cs="Arial" w:eastAsia="Arial" w:hAnsi="Arial"/>
          <w:i/>
          <w:iCs/>
          <w:color w:val="505050"/>
          <w:sz w:val="17"/>
          <w:szCs w:val="17"/>
        </w:rPr>
        <w:t xml:space="preserve">Figure 14 — The Observability agent answering in the Logs blade. The results grid on the left independently returns 150 for the same incident; the agent agrees, names the earliest signal, and ends with “No root cause inferred.” Note the “AI-generated content may be incorrect” label the portal adds.</w:t>
      </w:r>
    </w:p>
    <w:p>
      <w:pPr>
        <w:pStyle w:val="Heading2"/>
        <w:spacing w:after="120" w:before="280"/>
        <w:outlineLvl w:val="1"/>
      </w:pPr>
      <w:r>
        <w:rPr>
          <w:rFonts w:ascii="Arial" w:cs="Arial" w:eastAsia="Arial" w:hAnsi="Arial"/>
          <w:b/>
          <w:bCs/>
          <w:color w:val="0F6CBD"/>
          <w:sz w:val="25"/>
          <w:szCs w:val="25"/>
        </w:rPr>
        <w:t xml:space="preserve">Use this exact prompt</w:t>
      </w:r>
    </w:p>
    <w:p>
      <w:pPr>
        <w:spacing w:after="140" w:line="276"/>
      </w:pPr>
      <w:r>
        <w:rPr>
          <w:rFonts w:ascii="Arial" w:cs="Arial" w:eastAsia="Arial" w:hAnsi="Arial"/>
          <w:sz w:val="21"/>
          <w:szCs w:val="21"/>
        </w:rPr>
        <w:t xml:space="preserve">Do not improvise this one. The wording carries two protections — read the warnings below before you use it.</w:t>
      </w:r>
    </w:p>
    <w:tbl>
      <w:tblPr>
        <w:tblW w:type="pct" w:w="100%"/>
        <w:tblBorders>
          <w:top w:val="single" w:color="D1D1D1" w:sz="2"/>
          <w:left w:val="single" w:color="D1D1D1" w:sz="2"/>
          <w:bottom w:val="single" w:color="D1D1D1" w:sz="2"/>
          <w:right w:val="single" w:color="D1D1D1" w:sz="2"/>
          <w:insideH w:val="none" w:color="FFFFFF" w:sz="0"/>
          <w:insideV w:val="none" w:color="FFFFFF" w:sz="0"/>
        </w:tblBorders>
      </w:tblPr>
      <w:tblGrid>
        <w:gridCol w:w="9360"/>
      </w:tblGrid>
      <w:tr>
        <w:tc>
          <w:tcPr>
            <w:tcW w:type="dxa" w:w="9360"/>
            <w:shd w:fill="F5F5F5" w:color="auto" w:val="clear"/>
            <w:tcMar>
              <w:top w:type="dxa" w:w="120"/>
              <w:left w:type="dxa" w:w="160"/>
              <w:bottom w:type="dxa" w:w="120"/>
              <w:right w:type="dxa" w:w="160"/>
            </w:tcMar>
          </w:tcPr>
          <w:p>
            <w:pPr>
              <w:spacing w:after="20" w:line="240"/>
            </w:pPr>
            <w:r>
              <w:rPr>
                <w:rFonts w:ascii="Consolas" w:cs="Consolas" w:eastAsia="Consolas" w:hAnsi="Consolas"/>
                <w:sz w:val="18"/>
                <w:szCs w:val="18"/>
              </w:rPr>
              <w:t xml:space="preserve">For incident INC-2026-0916-001 in table UoiEstateAlert_CL over the</w:t>
            </w:r>
          </w:p>
          <w:p>
            <w:pPr>
              <w:spacing w:after="20" w:line="240"/>
            </w:pPr>
            <w:r>
              <w:rPr>
                <w:rFonts w:ascii="Consolas" w:cs="Consolas" w:eastAsia="Consolas" w:hAnsi="Consolas"/>
                <w:sz w:val="18"/>
                <w:szCs w:val="18"/>
              </w:rPr>
              <w:t xml:space="preserve">last 7 days: count DISTINCT AlertId (rows may be ingested more than</w:t>
            </w:r>
          </w:p>
          <w:p>
            <w:pPr>
              <w:spacing w:after="20" w:line="240"/>
            </w:pPr>
            <w:r>
              <w:rPr>
                <w:rFonts w:ascii="Consolas" w:cs="Consolas" w:eastAsia="Consolas" w:hAnsi="Consolas"/>
                <w:sz w:val="18"/>
                <w:szCs w:val="18"/>
              </w:rPr>
              <w:t xml:space="preserve">once), and name the single earliest signal. Keep the answer to a few</w:t>
            </w:r>
          </w:p>
          <w:p>
            <w:pPr>
              <w:spacing w:after="20" w:line="240"/>
            </w:pPr>
            <w:r>
              <w:rPr>
                <w:rFonts w:ascii="Consolas" w:cs="Consolas" w:eastAsia="Consolas" w:hAnsi="Consolas"/>
                <w:sz w:val="18"/>
                <w:szCs w:val="18"/>
              </w:rPr>
              <w:t xml:space="preserve">short lines. Synthetic demo data. Do not assert a root cause.</w:t>
            </w:r>
          </w:p>
        </w:tc>
      </w:tr>
    </w:tbl>
    <w:p>
      <w:pPr>
        <w:spacing w:after="160"/>
      </w:pPr>
    </w:p>
    <w:p>
      <w:pPr>
        <w:pStyle w:val="Heading2"/>
        <w:spacing w:after="120" w:before="280"/>
        <w:outlineLvl w:val="1"/>
      </w:pPr>
      <w:r>
        <w:rPr>
          <w:rFonts w:ascii="Arial" w:cs="Arial" w:eastAsia="Arial" w:hAnsi="Arial"/>
          <w:b/>
          <w:bCs/>
          <w:color w:val="0F6CBD"/>
          <w:sz w:val="25"/>
          <w:szCs w:val="25"/>
        </w:rPr>
        <w:t xml:space="preserve">Warning one — the agent can contradict your headline</w:t>
      </w:r>
    </w:p>
    <w:tbl>
      <w:tblPr>
        <w:tblW w:type="pct" w:w="100%"/>
        <w:tblBorders>
          <w:top w:val="single" w:color="FFF4CE" w:sz="2"/>
          <w:left w:val="single" w:color="0F6CBD" w:sz="18"/>
          <w:bottom w:val="single" w:color="FFF4CE" w:sz="2"/>
          <w:right w:val="single" w:color="FFF4CE" w:sz="2"/>
          <w:insideH w:val="none" w:color="FFFFFF" w:sz="0"/>
          <w:insideV w:val="none" w:color="FFFFFF" w:sz="0"/>
        </w:tblBorders>
      </w:tblPr>
      <w:tblGrid>
        <w:gridCol w:w="9360"/>
      </w:tblGrid>
      <w:tr>
        <w:tc>
          <w:tcPr>
            <w:tcW w:type="dxa" w:w="9360"/>
            <w:shd w:fill="FFF4CE" w:color="auto" w:val="clear"/>
            <w:tcMar>
              <w:top w:type="dxa" w:w="140"/>
              <w:left w:type="dxa" w:w="180"/>
              <w:bottom w:type="dxa" w:w="140"/>
              <w:right w:type="dxa" w:w="180"/>
            </w:tcMar>
          </w:tcPr>
          <w:p>
            <w:pPr>
              <w:spacing w:after="60"/>
            </w:pPr>
            <w:r>
              <w:rPr>
                <w:rFonts w:ascii="Arial" w:cs="Arial" w:eastAsia="Arial" w:hAnsi="Arial"/>
                <w:b/>
                <w:bCs/>
                <w:color w:val="13324B"/>
                <w:sz w:val="20"/>
                <w:szCs w:val="20"/>
              </w:rPr>
              <w:t xml:space="preserve">THIS IS THE ONE THAT WILL EMBARRASS YOU</w:t>
            </w:r>
          </w:p>
          <w:p>
            <w:pPr>
              <w:spacing w:after="40" w:line="264"/>
            </w:pPr>
            <w:r>
              <w:rPr>
                <w:rFonts w:ascii="Arial" w:cs="Arial" w:eastAsia="Arial" w:hAnsi="Arial"/>
                <w:sz w:val="20"/>
                <w:szCs w:val="20"/>
              </w:rPr>
              <w:t xml:space="preserve">Tested on the live workspace: asked without the DISTINCT instruction, the agent answered </w:t>
            </w:r>
            <w:r>
              <w:rPr>
                <w:rFonts w:ascii="Arial" w:cs="Arial" w:eastAsia="Arial" w:hAnsi="Arial"/>
                <w:b/>
                <w:bCs/>
                <w:sz w:val="20"/>
                <w:szCs w:val="20"/>
              </w:rPr>
              <w:t xml:space="preserve">“Related alerts: 300”</w:t>
            </w:r>
            <w:r>
              <w:rPr>
                <w:rFonts w:ascii="Arial" w:cs="Arial" w:eastAsia="Arial" w:hAnsi="Arial"/>
                <w:sz w:val="20"/>
                <w:szCs w:val="20"/>
              </w:rPr>
              <w:t xml:space="preserve"> while the workbook on the previous slide said </w:t>
            </w:r>
            <w:r>
              <w:rPr>
                <w:rFonts w:ascii="Arial" w:cs="Arial" w:eastAsia="Arial" w:hAnsi="Arial"/>
                <w:b/>
                <w:bCs/>
                <w:sz w:val="20"/>
                <w:szCs w:val="20"/>
              </w:rPr>
              <w:t xml:space="preserve">150</w:t>
            </w:r>
            <w:r>
              <w:rPr>
                <w:rFonts w:ascii="Arial" w:cs="Arial" w:eastAsia="Arial" w:hAnsi="Arial"/>
                <w:sz w:val="20"/>
                <w:szCs w:val="20"/>
              </w:rPr>
              <w:t xml:space="preserve">.</w:t>
            </w:r>
          </w:p>
          <w:p>
            <w:pPr>
              <w:spacing w:after="40" w:line="264"/>
            </w:pPr>
            <w:r>
              <w:rPr>
                <w:rFonts w:ascii="Arial" w:cs="Arial" w:eastAsia="Arial" w:hAnsi="Arial"/>
                <w:sz w:val="20"/>
                <w:szCs w:val="20"/>
              </w:rPr>
              <w:t xml:space="preserve">The agent was not wrong. It counted rows. The seeder had been run twice, so the table held two ingestion batches of 150. The workbook de-duplicates on AlertId and scopes to the newest batch; the agent knows neither rule unless you tell it.</w:t>
            </w:r>
          </w:p>
          <w:p>
            <w:pPr>
              <w:spacing w:after="40" w:line="264"/>
            </w:pPr>
            <w:r>
              <w:rPr>
                <w:rFonts w:ascii="Arial" w:cs="Arial" w:eastAsia="Arial" w:hAnsi="Arial"/>
                <w:b/>
                <w:bCs/>
                <w:sz w:val="20"/>
                <w:szCs w:val="20"/>
              </w:rPr>
              <w:t xml:space="preserve">Two defences, use both: </w:t>
            </w:r>
            <w:r>
              <w:rPr>
                <w:rFonts w:ascii="Arial" w:cs="Arial" w:eastAsia="Arial" w:hAnsi="Arial"/>
                <w:sz w:val="20"/>
                <w:szCs w:val="20"/>
              </w:rPr>
              <w:t xml:space="preserve">keep “count DISTINCT AlertId” in the prompt, and seed exactly once on demonstration day.</w:t>
            </w:r>
          </w:p>
        </w:tc>
      </w:tr>
    </w:tbl>
    <w:p>
      <w:pPr>
        <w:spacing w:after="160"/>
      </w:pPr>
    </w:p>
    <w:p>
      <w:pPr>
        <w:pStyle w:val="Heading2"/>
        <w:spacing w:after="120" w:before="280"/>
        <w:outlineLvl w:val="1"/>
      </w:pPr>
      <w:r>
        <w:rPr>
          <w:rFonts w:ascii="Arial" w:cs="Arial" w:eastAsia="Arial" w:hAnsi="Arial"/>
          <w:b/>
          <w:bCs/>
          <w:color w:val="0F6CBD"/>
          <w:sz w:val="25"/>
          <w:szCs w:val="25"/>
        </w:rPr>
        <w:t xml:space="preserve">Warning two — give it time</w:t>
      </w:r>
    </w:p>
    <w:p>
      <w:pPr>
        <w:spacing w:after="140" w:line="276"/>
      </w:pPr>
      <w:r>
        <w:rPr>
          <w:rFonts w:ascii="Arial" w:cs="Arial" w:eastAsia="Arial" w:hAnsi="Arial"/>
          <w:sz w:val="21"/>
          <w:szCs w:val="21"/>
        </w:rPr>
        <w:t xml:space="preserve">The agent reasons, writes KQL, runs it, then reconsiders. The scripted prompt above returned in about </w:t>
      </w:r>
      <w:r>
        <w:rPr>
          <w:rFonts w:ascii="Arial" w:cs="Arial" w:eastAsia="Arial" w:hAnsi="Arial"/>
          <w:b/>
          <w:bCs/>
          <w:sz w:val="21"/>
          <w:szCs w:val="21"/>
        </w:rPr>
        <w:t xml:space="preserve">a minute and a quarter</w:t>
      </w:r>
      <w:r>
        <w:rPr>
          <w:rFonts w:ascii="Arial" w:cs="Arial" w:eastAsia="Arial" w:hAnsi="Arial"/>
          <w:sz w:val="21"/>
          <w:szCs w:val="21"/>
        </w:rPr>
        <w:t xml:space="preserve">. A broader, multi-part question took several minutes in testing. Keep the prompt tight, and either narrate the previous slide while it works or ask it before the meeting and return to a finished answer. Do not ask it cold with nothing to say.</w:t>
      </w:r>
    </w:p>
    <w:p>
      <w:pPr>
        <w:spacing w:after="120"/>
      </w:pPr>
    </w:p>
    <w:p>
      <w:pPr>
        <w:pStyle w:val="Heading2"/>
        <w:spacing w:after="120" w:before="280"/>
        <w:outlineLvl w:val="1"/>
      </w:pPr>
      <w:r>
        <w:rPr>
          <w:rFonts w:ascii="Arial" w:cs="Arial" w:eastAsia="Arial" w:hAnsi="Arial"/>
          <w:b/>
          <w:bCs/>
          <w:color w:val="0F6CBD"/>
          <w:sz w:val="25"/>
          <w:szCs w:val="25"/>
        </w:rPr>
        <w:t xml:space="preserve">Verified result</w:t>
      </w:r>
    </w:p>
    <w:p>
      <w:pPr>
        <w:spacing w:after="140" w:line="276"/>
      </w:pPr>
      <w:r>
        <w:rPr>
          <w:rFonts w:ascii="Arial" w:cs="Arial" w:eastAsia="Arial" w:hAnsi="Arial"/>
          <w:sz w:val="21"/>
          <w:szCs w:val="21"/>
        </w:rPr>
        <w:t xml:space="preserve">Run against the live workspace while preparing this document, the agent returned: 150 distinct AlertId values, earliest signal ALRT-0001 on vm-sql-01 for Document Archive, storage latency on the data tier exceeding 400 ms sustained — and closed with “No root cause inferred.” That matches the workbook headline exactly.</w:t>
      </w:r>
    </w:p>
    <w:p>
      <w:pPr>
        <w:spacing w:after="120"/>
      </w:pPr>
    </w:p>
    <w:p>
      <w:pPr>
        <w:pStyle w:val="Heading2"/>
        <w:spacing w:after="120" w:before="280"/>
        <w:outlineLvl w:val="1"/>
      </w:pPr>
      <w:r>
        <w:rPr>
          <w:rFonts w:ascii="Arial" w:cs="Arial" w:eastAsia="Arial" w:hAnsi="Arial"/>
          <w:b/>
          <w:bCs/>
          <w:color w:val="0F6CBD"/>
          <w:sz w:val="25"/>
          <w:szCs w:val="25"/>
        </w:rPr>
        <w:t xml:space="preserve">Why this lands</w:t>
      </w:r>
    </w:p>
    <w:p>
      <w:pPr>
        <w:pStyle w:val="ListParagraph"/>
        <w:numPr>
          <w:ilvl w:val="0"/>
          <w:numId w:val="3"/>
        </w:numPr>
        <w:spacing w:after="90" w:line="276"/>
      </w:pPr>
      <w:r>
        <w:rPr>
          <w:rFonts w:ascii="Arial" w:cs="Arial" w:eastAsia="Arial" w:hAnsi="Arial"/>
          <w:b/>
          <w:bCs/>
          <w:sz w:val="21"/>
          <w:szCs w:val="21"/>
        </w:rPr>
        <w:t xml:space="preserve">It shows its work. </w:t>
      </w:r>
      <w:r>
        <w:rPr>
          <w:rFonts w:ascii="Arial" w:cs="Arial" w:eastAsia="Arial" w:hAnsi="Arial"/>
          <w:sz w:val="21"/>
          <w:szCs w:val="21"/>
        </w:rPr>
        <w:t xml:space="preserve">Every query it runs is displayed, with the workspace resource ID and the time window. An audience can read the KQL and check it. That is a very different trust proposition from a black box.</w:t>
      </w:r>
    </w:p>
    <w:p>
      <w:pPr>
        <w:pStyle w:val="ListParagraph"/>
        <w:numPr>
          <w:ilvl w:val="0"/>
          <w:numId w:val="3"/>
        </w:numPr>
        <w:spacing w:after="90" w:line="276"/>
      </w:pPr>
      <w:r>
        <w:rPr>
          <w:rFonts w:ascii="Arial" w:cs="Arial" w:eastAsia="Arial" w:hAnsi="Arial"/>
          <w:b/>
          <w:bCs/>
          <w:sz w:val="21"/>
          <w:szCs w:val="21"/>
        </w:rPr>
        <w:t xml:space="preserve">It respects the instruction not to assert a root cause. </w:t>
      </w:r>
      <w:r>
        <w:rPr>
          <w:rFonts w:ascii="Arial" w:cs="Arial" w:eastAsia="Arial" w:hAnsi="Arial"/>
          <w:sz w:val="21"/>
          <w:szCs w:val="21"/>
        </w:rPr>
        <w:t xml:space="preserve">In testing it ended with “I’m not attributing a root cause from this summary”. Keep that sentence in the prompt and the AI layer stays inside the same discipline as the rest of the demonstration.</w:t>
      </w:r>
    </w:p>
    <w:p>
      <w:pPr>
        <w:pStyle w:val="ListParagraph"/>
        <w:numPr>
          <w:ilvl w:val="0"/>
          <w:numId w:val="3"/>
        </w:numPr>
        <w:spacing w:after="90" w:line="276"/>
      </w:pPr>
      <w:r>
        <w:rPr>
          <w:rFonts w:ascii="Arial" w:cs="Arial" w:eastAsia="Arial" w:hAnsi="Arial"/>
          <w:b/>
          <w:bCs/>
          <w:sz w:val="21"/>
          <w:szCs w:val="21"/>
        </w:rPr>
        <w:t xml:space="preserve">The portal labels it for you. </w:t>
      </w:r>
      <w:r>
        <w:rPr>
          <w:rFonts w:ascii="Arial" w:cs="Arial" w:eastAsia="Arial" w:hAnsi="Arial"/>
          <w:sz w:val="21"/>
          <w:szCs w:val="21"/>
        </w:rPr>
        <w:t xml:space="preserve">The pane carries “AI-generated content may be incorrect”. Point at it rather than hoping nobody reads it — it reinforces the honesty posture the whole demonstration is built on.</w:t>
      </w:r>
    </w:p>
    <w:p>
      <w:pPr>
        <w:spacing w:after="120"/>
      </w:pPr>
    </w:p>
    <w:tbl>
      <w:tblPr>
        <w:tblW w:type="pct" w:w="100%"/>
        <w:tblBorders>
          <w:top w:val="single" w:color="EFF6FC" w:sz="2"/>
          <w:left w:val="single" w:color="0F6CBD" w:sz="18"/>
          <w:bottom w:val="single" w:color="EFF6FC" w:sz="2"/>
          <w:right w:val="single" w:color="EFF6FC" w:sz="2"/>
          <w:insideH w:val="none" w:color="FFFFFF" w:sz="0"/>
          <w:insideV w:val="none" w:color="FFFFFF" w:sz="0"/>
        </w:tblBorders>
      </w:tblPr>
      <w:tblGrid>
        <w:gridCol w:w="9360"/>
      </w:tblGrid>
      <w:tr>
        <w:tc>
          <w:tcPr>
            <w:tcW w:type="dxa" w:w="9360"/>
            <w:shd w:fill="EFF6FC" w:color="auto" w:val="clear"/>
            <w:tcMar>
              <w:top w:type="dxa" w:w="140"/>
              <w:left w:type="dxa" w:w="180"/>
              <w:bottom w:type="dxa" w:w="140"/>
              <w:right w:type="dxa" w:w="180"/>
            </w:tcMar>
          </w:tcPr>
          <w:p>
            <w:pPr>
              <w:spacing w:after="60"/>
            </w:pPr>
            <w:r>
              <w:rPr>
                <w:rFonts w:ascii="Arial" w:cs="Arial" w:eastAsia="Arial" w:hAnsi="Arial"/>
                <w:b/>
                <w:bCs/>
                <w:color w:val="13324B"/>
                <w:sz w:val="20"/>
                <w:szCs w:val="20"/>
              </w:rPr>
              <w:t xml:space="preserve">SAY THIS</w:t>
            </w:r>
          </w:p>
          <w:p>
            <w:pPr>
              <w:spacing w:after="40" w:line="264"/>
            </w:pPr>
            <w:r>
              <w:rPr>
                <w:rFonts w:ascii="Arial" w:cs="Arial" w:eastAsia="Arial" w:hAnsi="Arial"/>
                <w:i/>
                <w:iCs/>
                <w:sz w:val="20"/>
                <w:szCs w:val="20"/>
              </w:rPr>
              <w:t xml:space="preserve">“I have not deployed a model, and there is no AI service in this resource group. This agent is part of Azure Monitor. Notice that it shows me every query it ran, and notice that it declined to assert a root cause — because I asked it not to. The correlation you saw earlier is deterministic KQL you can audit. This is the layer that helps a responder interpret it.”</w:t>
            </w:r>
          </w:p>
        </w:tc>
      </w:tr>
    </w:tbl>
    <w:p>
      <w:pPr>
        <w:spacing w:after="160"/>
      </w:pPr>
    </w:p>
    <w:p>
      <w:pPr>
        <w:pStyle w:val="Heading2"/>
        <w:spacing w:after="120" w:before="280"/>
        <w:outlineLvl w:val="1"/>
      </w:pPr>
      <w:r>
        <w:rPr>
          <w:rFonts w:ascii="Arial" w:cs="Arial" w:eastAsia="Arial" w:hAnsi="Arial"/>
          <w:b/>
          <w:bCs/>
          <w:color w:val="0F6CBD"/>
          <w:sz w:val="25"/>
          <w:szCs w:val="25"/>
        </w:rPr>
        <w:t xml:space="preserve">Optional — built-in machine learning in KQL</w:t>
      </w:r>
    </w:p>
    <w:p>
      <w:pPr>
        <w:spacing w:after="140" w:line="276"/>
      </w:pPr>
      <w:r>
        <w:rPr>
          <w:rFonts w:ascii="Arial" w:cs="Arial" w:eastAsia="Arial" w:hAnsi="Arial"/>
          <w:sz w:val="21"/>
          <w:szCs w:val="21"/>
        </w:rPr>
        <w:t xml:space="preserve">If the audience is technical, these are worth 60 seconds. They are built-in Log Analytics functions, require no additional service, and were verified against this estate.</w:t>
      </w:r>
    </w:p>
    <w:tbl>
      <w:tblPr>
        <w:tblW w:type="pct" w:w="100%"/>
        <w:tblBorders>
          <w:top w:val="single" w:color="D1D1D1" w:sz="2"/>
          <w:left w:val="single" w:color="D1D1D1" w:sz="2"/>
          <w:bottom w:val="single" w:color="D1D1D1" w:sz="2"/>
          <w:right w:val="single" w:color="D1D1D1" w:sz="2"/>
          <w:insideH w:val="none" w:color="FFFFFF" w:sz="0"/>
          <w:insideV w:val="none" w:color="FFFFFF" w:sz="0"/>
        </w:tblBorders>
      </w:tblPr>
      <w:tblGrid>
        <w:gridCol w:w="9360"/>
      </w:tblGrid>
      <w:tr>
        <w:tc>
          <w:tcPr>
            <w:tcW w:type="dxa" w:w="9360"/>
            <w:shd w:fill="F5F5F5" w:color="auto" w:val="clear"/>
            <w:tcMar>
              <w:top w:type="dxa" w:w="120"/>
              <w:left w:type="dxa" w:w="160"/>
              <w:bottom w:type="dxa" w:w="120"/>
              <w:right w:type="dxa" w:w="160"/>
            </w:tcMar>
          </w:tcPr>
          <w:p>
            <w:pPr>
              <w:spacing w:after="20" w:line="240"/>
            </w:pPr>
            <w:r>
              <w:rPr>
                <w:rFonts w:ascii="Consolas" w:cs="Consolas" w:eastAsia="Consolas" w:hAnsi="Consolas"/>
                <w:sz w:val="18"/>
                <w:szCs w:val="18"/>
              </w:rPr>
              <w:t xml:space="preserve">// Unsupervised pattern discovery across the alert set</w:t>
            </w:r>
          </w:p>
          <w:p>
            <w:pPr>
              <w:spacing w:after="20" w:line="240"/>
            </w:pPr>
            <w:r>
              <w:rPr>
                <w:rFonts w:ascii="Consolas" w:cs="Consolas" w:eastAsia="Consolas" w:hAnsi="Consolas"/>
                <w:sz w:val="18"/>
                <w:szCs w:val="18"/>
              </w:rPr>
              <w:t xml:space="preserve">UoiEstateAlert_CL</w:t>
            </w:r>
          </w:p>
          <w:p>
            <w:pPr>
              <w:spacing w:after="20" w:line="240"/>
            </w:pPr>
            <w:r>
              <w:rPr>
                <w:rFonts w:ascii="Consolas" w:cs="Consolas" w:eastAsia="Consolas" w:hAnsi="Consolas"/>
                <w:sz w:val="18"/>
                <w:szCs w:val="18"/>
              </w:rPr>
              <w:t xml:space="preserve">| where IsSynthetic == true</w:t>
            </w:r>
          </w:p>
          <w:p>
            <w:pPr>
              <w:spacing w:after="20" w:line="240"/>
            </w:pPr>
            <w:r>
              <w:rPr>
                <w:rFonts w:ascii="Consolas" w:cs="Consolas" w:eastAsia="Consolas" w:hAnsi="Consolas"/>
                <w:sz w:val="18"/>
                <w:szCs w:val="18"/>
              </w:rPr>
              <w:t xml:space="preserve">| project Service, Tier, Severity, Component</w:t>
            </w:r>
          </w:p>
          <w:p>
            <w:pPr>
              <w:spacing w:after="20" w:line="240"/>
            </w:pPr>
            <w:r>
              <w:rPr>
                <w:rFonts w:ascii="Consolas" w:cs="Consolas" w:eastAsia="Consolas" w:hAnsi="Consolas"/>
                <w:sz w:val="18"/>
                <w:szCs w:val="18"/>
              </w:rPr>
              <w:t xml:space="preserve">| evaluate autocluster()</w:t>
            </w:r>
          </w:p>
        </w:tc>
      </w:tr>
    </w:tbl>
    <w:p>
      <w:pPr>
        <w:spacing w:after="120"/>
      </w:pPr>
    </w:p>
    <w:p>
      <w:pPr>
        <w:spacing w:after="140" w:line="276"/>
      </w:pPr>
      <w:r>
        <w:rPr>
          <w:rFonts w:ascii="Arial" w:cs="Arial" w:eastAsia="Arial" w:hAnsi="Arial"/>
          <w:sz w:val="21"/>
          <w:szCs w:val="21"/>
        </w:rPr>
        <w:t xml:space="preserve">Verified result: six discovered segments, including a 35-alert vm-app-02 / Sev2 / app-tier segment, found without being told what to look for.</w:t>
      </w:r>
    </w:p>
    <w:tbl>
      <w:tblPr>
        <w:tblW w:type="pct" w:w="100%"/>
        <w:tblBorders>
          <w:top w:val="single" w:color="D1D1D1" w:sz="2"/>
          <w:left w:val="single" w:color="D1D1D1" w:sz="2"/>
          <w:bottom w:val="single" w:color="D1D1D1" w:sz="2"/>
          <w:right w:val="single" w:color="D1D1D1" w:sz="2"/>
          <w:insideH w:val="none" w:color="FFFFFF" w:sz="0"/>
          <w:insideV w:val="none" w:color="FFFFFF" w:sz="0"/>
        </w:tblBorders>
      </w:tblPr>
      <w:tblGrid>
        <w:gridCol w:w="9360"/>
      </w:tblGrid>
      <w:tr>
        <w:tc>
          <w:tcPr>
            <w:tcW w:type="dxa" w:w="9360"/>
            <w:shd w:fill="F5F5F5" w:color="auto" w:val="clear"/>
            <w:tcMar>
              <w:top w:type="dxa" w:w="120"/>
              <w:left w:type="dxa" w:w="160"/>
              <w:bottom w:type="dxa" w:w="120"/>
              <w:right w:type="dxa" w:w="160"/>
            </w:tcMar>
          </w:tcPr>
          <w:p>
            <w:pPr>
              <w:spacing w:after="20" w:line="240"/>
            </w:pPr>
            <w:r>
              <w:rPr>
                <w:rFonts w:ascii="Consolas" w:cs="Consolas" w:eastAsia="Consolas" w:hAnsi="Consolas"/>
                <w:sz w:val="18"/>
                <w:szCs w:val="18"/>
              </w:rPr>
              <w:t xml:space="preserve">// Anomaly detection on real CPU telemetry</w:t>
            </w:r>
          </w:p>
          <w:p>
            <w:pPr>
              <w:spacing w:after="20" w:line="240"/>
            </w:pPr>
            <w:r>
              <w:rPr>
                <w:rFonts w:ascii="Consolas" w:cs="Consolas" w:eastAsia="Consolas" w:hAnsi="Consolas"/>
                <w:sz w:val="18"/>
                <w:szCs w:val="18"/>
              </w:rPr>
              <w:t xml:space="preserve">InsightsMetrics</w:t>
            </w:r>
          </w:p>
          <w:p>
            <w:pPr>
              <w:spacing w:after="20" w:line="240"/>
            </w:pPr>
            <w:r>
              <w:rPr>
                <w:rFonts w:ascii="Consolas" w:cs="Consolas" w:eastAsia="Consolas" w:hAnsi="Consolas"/>
                <w:sz w:val="18"/>
                <w:szCs w:val="18"/>
              </w:rPr>
              <w:t xml:space="preserve">| where Namespace == 'Processor' and Name == 'UtilizationPercentage'</w:t>
            </w:r>
          </w:p>
          <w:p>
            <w:pPr>
              <w:spacing w:after="20" w:line="240"/>
            </w:pPr>
            <w:r>
              <w:rPr>
                <w:rFonts w:ascii="Consolas" w:cs="Consolas" w:eastAsia="Consolas" w:hAnsi="Consolas"/>
                <w:sz w:val="18"/>
                <w:szCs w:val="18"/>
              </w:rPr>
              <w:t xml:space="preserve">| make-series CPU=avg(Val) default=0 on TimeGenerated</w:t>
            </w:r>
          </w:p>
          <w:p>
            <w:pPr>
              <w:spacing w:after="20" w:line="240"/>
            </w:pPr>
            <w:r>
              <w:rPr>
                <w:rFonts w:ascii="Consolas" w:cs="Consolas" w:eastAsia="Consolas" w:hAnsi="Consolas"/>
                <w:sz w:val="18"/>
                <w:szCs w:val="18"/>
              </w:rPr>
              <w:t xml:space="preserve">    from ago(2d) to now() step 15m by Computer</w:t>
            </w:r>
          </w:p>
          <w:p>
            <w:pPr>
              <w:spacing w:after="20" w:line="240"/>
            </w:pPr>
            <w:r>
              <w:rPr>
                <w:rFonts w:ascii="Consolas" w:cs="Consolas" w:eastAsia="Consolas" w:hAnsi="Consolas"/>
                <w:sz w:val="18"/>
                <w:szCs w:val="18"/>
              </w:rPr>
              <w:t xml:space="preserve">| extend (anom, score, baseline) = series_decompose_anomalies(CPU, 2.0)</w:t>
            </w:r>
          </w:p>
          <w:p>
            <w:pPr>
              <w:spacing w:after="20" w:line="240"/>
            </w:pPr>
            <w:r>
              <w:rPr>
                <w:rFonts w:ascii="Consolas" w:cs="Consolas" w:eastAsia="Consolas" w:hAnsi="Consolas"/>
                <w:sz w:val="18"/>
                <w:szCs w:val="18"/>
              </w:rPr>
              <w:t xml:space="preserve">| render anomalychart with(anomalycolumns=anom)</w:t>
            </w:r>
          </w:p>
        </w:tc>
      </w:tr>
    </w:tbl>
    <w:p>
      <w:pPr>
        <w:spacing w:after="120"/>
      </w:pPr>
    </w:p>
    <w:p>
      <w:pPr>
        <w:spacing w:after="140" w:line="276"/>
      </w:pPr>
      <w:r>
        <w:rPr>
          <w:rFonts w:ascii="Arial" w:cs="Arial" w:eastAsia="Arial" w:hAnsi="Arial"/>
          <w:sz w:val="21"/>
          <w:szCs w:val="21"/>
        </w:rPr>
        <w:t xml:space="preserve">Verified result: genuine load excursions on the real virtual machines — CPU peaks of 50–74% against a ~3% average. </w:t>
      </w:r>
      <w:r>
        <w:rPr>
          <w:rFonts w:ascii="Arial" w:cs="Arial" w:eastAsia="Arial" w:hAnsi="Arial"/>
          <w:b/>
          <w:bCs/>
          <w:sz w:val="21"/>
          <w:szCs w:val="21"/>
        </w:rPr>
        <w:t xml:space="preserve">Be precise about what this shows: </w:t>
      </w:r>
      <w:r>
        <w:rPr>
          <w:rFonts w:ascii="Arial" w:cs="Arial" w:eastAsia="Arial" w:hAnsi="Arial"/>
          <w:sz w:val="21"/>
          <w:szCs w:val="21"/>
        </w:rPr>
        <w:t xml:space="preserve">it is anomaly detection on real telemetry. It did not detect the synthetic incident, which lives in a different table. Do not conflate the two.</w:t>
      </w:r>
    </w:p>
    <w:p>
      <w:r>
        <w:br w:type="page"/>
      </w:r>
    </w:p>
    <w:p>
      <w:pPr>
        <w:pStyle w:val="Heading1"/>
        <w:pBdr>
          <w:bottom w:val="single" w:color="0F6CBD" w:sz="10" w:space="6"/>
        </w:pBdr>
        <w:spacing w:after="160" w:before="360"/>
        <w:outlineLvl w:val="0"/>
      </w:pPr>
      <w:r>
        <w:rPr>
          <w:rFonts w:ascii="Arial" w:cs="Arial" w:eastAsia="Arial" w:hAnsi="Arial"/>
          <w:b/>
          <w:bCs/>
          <w:color w:val="13324B"/>
          <w:sz w:val="30"/>
          <w:szCs w:val="30"/>
        </w:rPr>
        <w:t xml:space="preserve">Step 12 — The approval gate</w:t>
      </w:r>
    </w:p>
    <w:p>
      <w:pPr>
        <w:spacing w:after="140" w:line="276"/>
      </w:pPr>
      <w:r>
        <w:rPr>
          <w:rFonts w:ascii="Arial" w:cs="Arial" w:eastAsia="Arial" w:hAnsi="Arial"/>
          <w:sz w:val="21"/>
          <w:szCs w:val="21"/>
        </w:rPr>
        <w:t xml:space="preserve">Approximately 5 minutes. Run this live — it is the strongest trust moment in the demonstration.</w:t>
      </w:r>
    </w:p>
    <w:tbl>
      <w:tblPr>
        <w:tblW w:type="pct" w:w="100%"/>
        <w:tblBorders>
          <w:top w:val="single" w:color="E7F6EC" w:sz="2"/>
          <w:left w:val="single" w:color="0F6CBD" w:sz="18"/>
          <w:bottom w:val="single" w:color="E7F6EC" w:sz="2"/>
          <w:right w:val="single" w:color="E7F6EC" w:sz="2"/>
          <w:insideH w:val="none" w:color="FFFFFF" w:sz="0"/>
          <w:insideV w:val="none" w:color="FFFFFF" w:sz="0"/>
        </w:tblBorders>
      </w:tblPr>
      <w:tblGrid>
        <w:gridCol w:w="9360"/>
      </w:tblGrid>
      <w:tr>
        <w:tc>
          <w:tcPr>
            <w:tcW w:type="dxa" w:w="9360"/>
            <w:shd w:fill="E7F6EC" w:color="auto" w:val="clear"/>
            <w:tcMar>
              <w:top w:type="dxa" w:w="140"/>
              <w:left w:type="dxa" w:w="180"/>
              <w:bottom w:type="dxa" w:w="140"/>
              <w:right w:type="dxa" w:w="180"/>
            </w:tcMar>
          </w:tcPr>
          <w:p>
            <w:pPr>
              <w:spacing w:after="60"/>
            </w:pPr>
            <w:r>
              <w:rPr>
                <w:rFonts w:ascii="Arial" w:cs="Arial" w:eastAsia="Arial" w:hAnsi="Arial"/>
                <w:b/>
                <w:bCs/>
                <w:color w:val="13324B"/>
                <w:sz w:val="20"/>
                <w:szCs w:val="20"/>
              </w:rPr>
              <w:t xml:space="preserve">THERE IS NO AUTONOMOUS REMEDIATION</w:t>
            </w:r>
          </w:p>
          <w:p>
            <w:pPr>
              <w:spacing w:after="40" w:line="264"/>
            </w:pPr>
            <w:r>
              <w:rPr>
                <w:rFonts w:ascii="Arial" w:cs="Arial" w:eastAsia="Arial" w:hAnsi="Arial"/>
                <w:b/>
                <w:bCs/>
                <w:sz w:val="20"/>
                <w:szCs w:val="20"/>
              </w:rPr>
              <w:t xml:space="preserve">The gate is enforced in code, not promised in a slide. The runbook fails closed: absent an explicit approval decision, it does nothing.</w:t>
            </w:r>
          </w:p>
          <w:p>
            <w:pPr>
              <w:spacing w:after="40" w:line="264"/>
            </w:pPr>
            <w:r>
              <w:rPr>
                <w:rFonts w:ascii="Arial" w:cs="Arial" w:eastAsia="Arial" w:hAnsi="Arial"/>
                <w:sz w:val="20"/>
                <w:szCs w:val="20"/>
              </w:rPr>
              <w:t xml:space="preserve">The runbook simulates remediation. It does not modify the virtual machines in either path.</w:t>
            </w:r>
          </w:p>
        </w:tc>
      </w:tr>
    </w:tbl>
    <w:p>
      <w:pPr>
        <w:spacing w:after="160"/>
      </w:pPr>
    </w:p>
    <w:p>
      <w:pPr>
        <w:pStyle w:val="Heading2"/>
        <w:spacing w:after="120" w:before="280"/>
        <w:outlineLvl w:val="1"/>
      </w:pPr>
      <w:r>
        <w:rPr>
          <w:rFonts w:ascii="Arial" w:cs="Arial" w:eastAsia="Arial" w:hAnsi="Arial"/>
          <w:b/>
          <w:bCs/>
          <w:color w:val="0F6CBD"/>
          <w:sz w:val="25"/>
          <w:szCs w:val="25"/>
        </w:rPr>
        <w:t xml:space="preserve">Where to click</w:t>
      </w:r>
    </w:p>
    <w:p>
      <w:pPr>
        <w:pStyle w:val="ListParagraph"/>
        <w:numPr>
          <w:ilvl w:val="0"/>
          <w:numId w:val="2"/>
        </w:numPr>
        <w:spacing w:after="120" w:line="276"/>
      </w:pPr>
      <w:r>
        <w:rPr>
          <w:rFonts w:ascii="Arial" w:cs="Arial" w:eastAsia="Arial" w:hAnsi="Arial"/>
          <w:sz w:val="21"/>
          <w:szCs w:val="21"/>
        </w:rPr>
        <w:t xml:space="preserve">Portal → </w:t>
      </w:r>
      <w:r>
        <w:rPr>
          <w:rFonts w:ascii="Arial" w:cs="Arial" w:eastAsia="Arial" w:hAnsi="Arial"/>
          <w:b/>
          <w:bCs/>
          <w:sz w:val="21"/>
          <w:szCs w:val="21"/>
        </w:rPr>
        <w:t xml:space="preserve">Automation Accounts</w:t>
      </w:r>
      <w:r>
        <w:rPr>
          <w:rFonts w:ascii="Arial" w:cs="Arial" w:eastAsia="Arial" w:hAnsi="Arial"/>
          <w:sz w:val="21"/>
          <w:szCs w:val="21"/>
        </w:rPr>
        <w:t xml:space="preserve"> → </w:t>
      </w:r>
      <w:r>
        <w:rPr>
          <w:rFonts w:ascii="Consolas" w:cs="Consolas" w:eastAsia="Consolas" w:hAnsi="Consolas"/>
          <w:sz w:val="19"/>
          <w:szCs w:val="19"/>
        </w:rPr>
        <w:t xml:space="preserve">aa-uoi</w:t>
      </w:r>
      <w:r>
        <w:rPr>
          <w:rFonts w:ascii="Arial" w:cs="Arial" w:eastAsia="Arial" w:hAnsi="Arial"/>
          <w:sz w:val="21"/>
          <w:szCs w:val="21"/>
        </w:rPr>
        <w:t xml:space="preserve"> → </w:t>
      </w:r>
      <w:r>
        <w:rPr>
          <w:rFonts w:ascii="Arial" w:cs="Arial" w:eastAsia="Arial" w:hAnsi="Arial"/>
          <w:b/>
          <w:bCs/>
          <w:sz w:val="21"/>
          <w:szCs w:val="21"/>
        </w:rPr>
        <w:t xml:space="preserve">Runbooks</w:t>
      </w:r>
      <w:r>
        <w:rPr>
          <w:rFonts w:ascii="Arial" w:cs="Arial" w:eastAsia="Arial" w:hAnsi="Arial"/>
          <w:sz w:val="21"/>
          <w:szCs w:val="21"/>
        </w:rPr>
        <w:t xml:space="preserve">.</w:t>
      </w:r>
    </w:p>
    <w:p>
      <w:pPr>
        <w:pStyle w:val="ListParagraph"/>
        <w:numPr>
          <w:ilvl w:val="0"/>
          <w:numId w:val="2"/>
        </w:numPr>
        <w:spacing w:after="120" w:line="276"/>
      </w:pPr>
      <w:r>
        <w:rPr>
          <w:rFonts w:ascii="Arial" w:cs="Arial" w:eastAsia="Arial" w:hAnsi="Arial"/>
          <w:sz w:val="21"/>
          <w:szCs w:val="21"/>
        </w:rPr>
        <w:t xml:space="preserve">Open </w:t>
      </w:r>
      <w:r>
        <w:rPr>
          <w:rFonts w:ascii="Arial" w:cs="Arial" w:eastAsia="Arial" w:hAnsi="Arial"/>
          <w:b/>
          <w:bCs/>
          <w:sz w:val="21"/>
          <w:szCs w:val="21"/>
        </w:rPr>
        <w:t xml:space="preserve">Invoke-ApprovedRemediation</w:t>
      </w:r>
      <w:r>
        <w:rPr>
          <w:rFonts w:ascii="Arial" w:cs="Arial" w:eastAsia="Arial" w:hAnsi="Arial"/>
          <w:sz w:val="21"/>
          <w:szCs w:val="21"/>
        </w:rPr>
        <w:t xml:space="preserve">.</w:t>
      </w:r>
    </w:p>
    <w:p>
      <w:pPr>
        <w:spacing w:after="80"/>
      </w:pPr>
    </w:p>
    <w:p>
      <w:pPr>
        <w:pStyle w:val="Heading2"/>
        <w:spacing w:after="120" w:before="280"/>
        <w:outlineLvl w:val="1"/>
      </w:pPr>
      <w:r>
        <w:rPr>
          <w:rFonts w:ascii="Arial" w:cs="Arial" w:eastAsia="Arial" w:hAnsi="Arial"/>
          <w:b/>
          <w:bCs/>
          <w:color w:val="0F6CBD"/>
          <w:sz w:val="25"/>
          <w:szCs w:val="25"/>
        </w:rPr>
        <w:t xml:space="preserve">What you should see</w:t>
      </w:r>
    </w:p>
    <w:p>
      <w:pPr>
        <w:spacing w:after="60" w:before="160"/>
        <w:jc w:val="center"/>
      </w:pPr>
      <w:r>
        <w:drawing>
          <wp:inline distT="0" distB="0" distL="0" distR="0">
            <wp:extent cx="5943600" cy="3362325"/>
            <wp:effectExtent t="0" r="0" b="0" l="0"/>
            <wp:docPr id="1" name="11-runbooks.png" descr="Figure 13 — Automation account aa-uoi. The Invoke-ApprovedRemediation runbook — a real Azure Automation artifact, not a described control." title="Figure 13 — Automation account aa-uoi. The Invoke-ApprovedRemediation runbook — a real Azure Automation artifact, not a described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362325"/>
                    </a:xfrm>
                    <a:prstGeom prst="rect">
                      <a:avLst/>
                    </a:prstGeom>
                  </pic:spPr>
                </pic:pic>
              </a:graphicData>
            </a:graphic>
          </wp:inline>
        </w:drawing>
      </w:r>
    </w:p>
    <w:p>
      <w:pPr>
        <w:spacing w:after="240"/>
        <w:jc w:val="center"/>
      </w:pPr>
      <w:r>
        <w:rPr>
          <w:rFonts w:ascii="Arial" w:cs="Arial" w:eastAsia="Arial" w:hAnsi="Arial"/>
          <w:i/>
          <w:iCs/>
          <w:color w:val="505050"/>
          <w:sz w:val="17"/>
          <w:szCs w:val="17"/>
        </w:rPr>
        <w:t xml:space="preserve">Figure 13 — Automation account aa-uoi. The Invoke-ApprovedRemediation runbook — a real Azure Automation artifact, not a described control.</w:t>
      </w:r>
    </w:p>
    <w:p>
      <w:pPr>
        <w:pStyle w:val="Heading2"/>
        <w:spacing w:after="120" w:before="280"/>
        <w:outlineLvl w:val="1"/>
      </w:pPr>
      <w:r>
        <w:rPr>
          <w:rFonts w:ascii="Arial" w:cs="Arial" w:eastAsia="Arial" w:hAnsi="Arial"/>
          <w:b/>
          <w:bCs/>
          <w:color w:val="0F6CBD"/>
          <w:sz w:val="25"/>
          <w:szCs w:val="25"/>
        </w:rPr>
        <w:t xml:space="preserve">Run it twice — the refusal first</w:t>
      </w:r>
    </w:p>
    <w:tbl>
      <w:tblPr>
        <w:tblW w:type="pct" w:w="100%"/>
        <w:tblBorders>
          <w:top w:val="single" w:color="EFF6FC" w:sz="2"/>
          <w:left w:val="single" w:color="0F6CBD" w:sz="18"/>
          <w:bottom w:val="single" w:color="EFF6FC" w:sz="2"/>
          <w:right w:val="single" w:color="EFF6FC" w:sz="2"/>
          <w:insideH w:val="none" w:color="FFFFFF" w:sz="0"/>
          <w:insideV w:val="none" w:color="FFFFFF" w:sz="0"/>
        </w:tblBorders>
      </w:tblPr>
      <w:tblGrid>
        <w:gridCol w:w="9360"/>
      </w:tblGrid>
      <w:tr>
        <w:tc>
          <w:tcPr>
            <w:tcW w:type="dxa" w:w="9360"/>
            <w:shd w:fill="EFF6FC" w:color="auto" w:val="clear"/>
            <w:tcMar>
              <w:top w:type="dxa" w:w="140"/>
              <w:left w:type="dxa" w:w="180"/>
              <w:bottom w:type="dxa" w:w="140"/>
              <w:right w:type="dxa" w:w="180"/>
            </w:tcMar>
          </w:tcPr>
          <w:p>
            <w:pPr>
              <w:spacing w:after="60"/>
            </w:pPr>
            <w:r>
              <w:rPr>
                <w:rFonts w:ascii="Arial" w:cs="Arial" w:eastAsia="Arial" w:hAnsi="Arial"/>
                <w:b/>
                <w:bCs/>
                <w:color w:val="13324B"/>
                <w:sz w:val="20"/>
                <w:szCs w:val="20"/>
              </w:rPr>
              <w:t xml:space="preserve">ORDER MATTERS</w:t>
            </w:r>
          </w:p>
          <w:p>
            <w:pPr>
              <w:spacing w:after="40" w:line="264"/>
            </w:pPr>
            <w:r>
              <w:rPr>
                <w:rFonts w:ascii="Arial" w:cs="Arial" w:eastAsia="Arial" w:hAnsi="Arial"/>
                <w:sz w:val="20"/>
                <w:szCs w:val="20"/>
              </w:rPr>
              <w:t xml:space="preserve">Demonstrate the refusal before the approval. An audience that has seen the system decline to act believes the approval gate. An audience that has only seen it succeed assumes the gate is decorative.</w:t>
            </w:r>
          </w:p>
        </w:tc>
      </w:tr>
    </w:tbl>
    <w:p>
      <w:pPr>
        <w:spacing w:after="160"/>
      </w:pPr>
    </w:p>
    <w:p>
      <w:pPr>
        <w:pStyle w:val="ListParagraph"/>
        <w:numPr>
          <w:ilvl w:val="0"/>
          <w:numId w:val="2"/>
        </w:numPr>
        <w:spacing w:after="120" w:line="276"/>
      </w:pPr>
      <w:r>
        <w:rPr>
          <w:rFonts w:ascii="Arial" w:cs="Arial" w:eastAsia="Arial" w:hAnsi="Arial"/>
          <w:sz w:val="21"/>
          <w:szCs w:val="21"/>
        </w:rPr>
        <w:t xml:space="preserve">Click </w:t>
      </w:r>
      <w:r>
        <w:rPr>
          <w:rFonts w:ascii="Arial" w:cs="Arial" w:eastAsia="Arial" w:hAnsi="Arial"/>
          <w:b/>
          <w:bCs/>
          <w:sz w:val="21"/>
          <w:szCs w:val="21"/>
        </w:rPr>
        <w:t xml:space="preserve">Start</w:t>
      </w:r>
      <w:r>
        <w:rPr>
          <w:rFonts w:ascii="Arial" w:cs="Arial" w:eastAsia="Arial" w:hAnsi="Arial"/>
          <w:sz w:val="21"/>
          <w:szCs w:val="21"/>
        </w:rPr>
        <w:t xml:space="preserve">. Set </w:t>
      </w:r>
      <w:r>
        <w:rPr>
          <w:rFonts w:ascii="Consolas" w:cs="Consolas" w:eastAsia="Consolas" w:hAnsi="Consolas"/>
          <w:sz w:val="19"/>
          <w:szCs w:val="19"/>
        </w:rPr>
        <w:t xml:space="preserve">ApprovalDecision</w:t>
      </w:r>
      <w:r>
        <w:rPr>
          <w:rFonts w:ascii="Arial" w:cs="Arial" w:eastAsia="Arial" w:hAnsi="Arial"/>
          <w:sz w:val="21"/>
          <w:szCs w:val="21"/>
        </w:rPr>
        <w:t xml:space="preserve"> = </w:t>
      </w:r>
      <w:r>
        <w:rPr>
          <w:rFonts w:ascii="Arial" w:cs="Arial" w:eastAsia="Arial" w:hAnsi="Arial"/>
          <w:b/>
          <w:bCs/>
          <w:sz w:val="21"/>
          <w:szCs w:val="21"/>
        </w:rPr>
        <w:t xml:space="preserve">Reject</w:t>
      </w:r>
      <w:r>
        <w:rPr>
          <w:rFonts w:ascii="Arial" w:cs="Arial" w:eastAsia="Arial" w:hAnsi="Arial"/>
          <w:sz w:val="21"/>
          <w:szCs w:val="21"/>
        </w:rPr>
        <w:t xml:space="preserve"> and </w:t>
      </w:r>
      <w:r>
        <w:rPr>
          <w:rFonts w:ascii="Consolas" w:cs="Consolas" w:eastAsia="Consolas" w:hAnsi="Consolas"/>
          <w:sz w:val="19"/>
          <w:szCs w:val="19"/>
        </w:rPr>
        <w:t xml:space="preserve">ApprovedBy</w:t>
      </w:r>
      <w:r>
        <w:rPr>
          <w:rFonts w:ascii="Arial" w:cs="Arial" w:eastAsia="Arial" w:hAnsi="Arial"/>
          <w:sz w:val="21"/>
          <w:szCs w:val="21"/>
        </w:rPr>
        <w:t xml:space="preserve"> = your name. The runbook records the refusal, changes nothing, and stops.</w:t>
      </w:r>
    </w:p>
    <w:p>
      <w:pPr>
        <w:pStyle w:val="ListParagraph"/>
        <w:numPr>
          <w:ilvl w:val="0"/>
          <w:numId w:val="2"/>
        </w:numPr>
        <w:spacing w:after="120" w:line="276"/>
      </w:pPr>
      <w:r>
        <w:rPr>
          <w:rFonts w:ascii="Arial" w:cs="Arial" w:eastAsia="Arial" w:hAnsi="Arial"/>
          <w:sz w:val="21"/>
          <w:szCs w:val="21"/>
        </w:rPr>
        <w:t xml:space="preserve">Click </w:t>
      </w:r>
      <w:r>
        <w:rPr>
          <w:rFonts w:ascii="Arial" w:cs="Arial" w:eastAsia="Arial" w:hAnsi="Arial"/>
          <w:b/>
          <w:bCs/>
          <w:sz w:val="21"/>
          <w:szCs w:val="21"/>
        </w:rPr>
        <w:t xml:space="preserve">Start</w:t>
      </w:r>
      <w:r>
        <w:rPr>
          <w:rFonts w:ascii="Arial" w:cs="Arial" w:eastAsia="Arial" w:hAnsi="Arial"/>
          <w:sz w:val="21"/>
          <w:szCs w:val="21"/>
        </w:rPr>
        <w:t xml:space="preserve"> again. Set </w:t>
      </w:r>
      <w:r>
        <w:rPr>
          <w:rFonts w:ascii="Consolas" w:cs="Consolas" w:eastAsia="Consolas" w:hAnsi="Consolas"/>
          <w:sz w:val="19"/>
          <w:szCs w:val="19"/>
        </w:rPr>
        <w:t xml:space="preserve">ApprovalDecision</w:t>
      </w:r>
      <w:r>
        <w:rPr>
          <w:rFonts w:ascii="Arial" w:cs="Arial" w:eastAsia="Arial" w:hAnsi="Arial"/>
          <w:sz w:val="21"/>
          <w:szCs w:val="21"/>
        </w:rPr>
        <w:t xml:space="preserve"> = </w:t>
      </w:r>
      <w:r>
        <w:rPr>
          <w:rFonts w:ascii="Arial" w:cs="Arial" w:eastAsia="Arial" w:hAnsi="Arial"/>
          <w:b/>
          <w:bCs/>
          <w:sz w:val="21"/>
          <w:szCs w:val="21"/>
        </w:rPr>
        <w:t xml:space="preserve">Approve</w:t>
      </w:r>
      <w:r>
        <w:rPr>
          <w:rFonts w:ascii="Arial" w:cs="Arial" w:eastAsia="Arial" w:hAnsi="Arial"/>
          <w:sz w:val="21"/>
          <w:szCs w:val="21"/>
        </w:rPr>
        <w:t xml:space="preserve"> and </w:t>
      </w:r>
      <w:r>
        <w:rPr>
          <w:rFonts w:ascii="Consolas" w:cs="Consolas" w:eastAsia="Consolas" w:hAnsi="Consolas"/>
          <w:sz w:val="19"/>
          <w:szCs w:val="19"/>
        </w:rPr>
        <w:t xml:space="preserve">ApprovedBy</w:t>
      </w:r>
      <w:r>
        <w:rPr>
          <w:rFonts w:ascii="Arial" w:cs="Arial" w:eastAsia="Arial" w:hAnsi="Arial"/>
          <w:sz w:val="21"/>
          <w:szCs w:val="21"/>
        </w:rPr>
        <w:t xml:space="preserve"> = your name. It walks the simulated remediation steps and writes an audit record.</w:t>
      </w:r>
    </w:p>
    <w:p>
      <w:pPr>
        <w:pStyle w:val="ListParagraph"/>
        <w:numPr>
          <w:ilvl w:val="0"/>
          <w:numId w:val="2"/>
        </w:numPr>
        <w:spacing w:after="120" w:line="276"/>
      </w:pPr>
      <w:r>
        <w:rPr>
          <w:rFonts w:ascii="Arial" w:cs="Arial" w:eastAsia="Arial" w:hAnsi="Arial"/>
          <w:sz w:val="21"/>
          <w:szCs w:val="21"/>
        </w:rPr>
        <w:t xml:space="preserve">Return to the workbook, </w:t>
      </w:r>
      <w:r>
        <w:rPr>
          <w:rFonts w:ascii="Arial" w:cs="Arial" w:eastAsia="Arial" w:hAnsi="Arial"/>
          <w:b/>
          <w:bCs/>
          <w:sz w:val="21"/>
          <w:szCs w:val="21"/>
        </w:rPr>
        <w:t xml:space="preserve">Tab 5 — Response</w:t>
      </w:r>
      <w:r>
        <w:rPr>
          <w:rFonts w:ascii="Arial" w:cs="Arial" w:eastAsia="Arial" w:hAnsi="Arial"/>
          <w:sz w:val="21"/>
          <w:szCs w:val="21"/>
        </w:rPr>
        <w:t xml:space="preserve">, and show the audit trail now containing both entries.</w:t>
      </w:r>
    </w:p>
    <w:p>
      <w:pPr>
        <w:spacing w:after="120"/>
      </w:pPr>
    </w:p>
    <w:p>
      <w:pPr>
        <w:spacing w:after="140" w:line="276"/>
      </w:pPr>
      <w:r>
        <w:rPr>
          <w:rFonts w:ascii="Arial" w:cs="Arial" w:eastAsia="Arial" w:hAnsi="Arial"/>
          <w:sz w:val="21"/>
          <w:szCs w:val="21"/>
        </w:rPr>
        <w:t xml:space="preserve">Both paths write to </w:t>
      </w:r>
      <w:r>
        <w:rPr>
          <w:rFonts w:ascii="Consolas" w:cs="Consolas" w:eastAsia="Consolas" w:hAnsi="Consolas"/>
          <w:sz w:val="19"/>
          <w:szCs w:val="19"/>
        </w:rPr>
        <w:t xml:space="preserve">UoiRemediationAudit_CL</w:t>
      </w:r>
      <w:r>
        <w:rPr>
          <w:rFonts w:ascii="Arial" w:cs="Arial" w:eastAsia="Arial" w:hAnsi="Arial"/>
          <w:sz w:val="21"/>
          <w:szCs w:val="21"/>
        </w:rPr>
        <w:t xml:space="preserve">. The refusal is audited just as carefully as the approval — that is the point.</w:t>
      </w:r>
    </w:p>
    <w:p>
      <w:pPr>
        <w:spacing w:after="120"/>
      </w:pPr>
    </w:p>
    <w:tbl>
      <w:tblPr>
        <w:tblW w:type="pct" w:w="100%"/>
        <w:tblBorders>
          <w:top w:val="single" w:color="EFF6FC" w:sz="2"/>
          <w:left w:val="single" w:color="0F6CBD" w:sz="18"/>
          <w:bottom w:val="single" w:color="EFF6FC" w:sz="2"/>
          <w:right w:val="single" w:color="EFF6FC" w:sz="2"/>
          <w:insideH w:val="none" w:color="FFFFFF" w:sz="0"/>
          <w:insideV w:val="none" w:color="FFFFFF" w:sz="0"/>
        </w:tblBorders>
      </w:tblPr>
      <w:tblGrid>
        <w:gridCol w:w="9360"/>
      </w:tblGrid>
      <w:tr>
        <w:tc>
          <w:tcPr>
            <w:tcW w:type="dxa" w:w="9360"/>
            <w:shd w:fill="EFF6FC" w:color="auto" w:val="clear"/>
            <w:tcMar>
              <w:top w:type="dxa" w:w="140"/>
              <w:left w:type="dxa" w:w="180"/>
              <w:bottom w:type="dxa" w:w="140"/>
              <w:right w:type="dxa" w:w="180"/>
            </w:tcMar>
          </w:tcPr>
          <w:p>
            <w:pPr>
              <w:spacing w:after="60"/>
            </w:pPr>
            <w:r>
              <w:rPr>
                <w:rFonts w:ascii="Arial" w:cs="Arial" w:eastAsia="Arial" w:hAnsi="Arial"/>
                <w:b/>
                <w:bCs/>
                <w:color w:val="13324B"/>
                <w:sz w:val="20"/>
                <w:szCs w:val="20"/>
              </w:rPr>
              <w:t xml:space="preserve">SAY THIS</w:t>
            </w:r>
          </w:p>
          <w:p>
            <w:pPr>
              <w:spacing w:after="40" w:line="264"/>
            </w:pPr>
            <w:r>
              <w:rPr>
                <w:rFonts w:ascii="Arial" w:cs="Arial" w:eastAsia="Arial" w:hAnsi="Arial"/>
                <w:i/>
                <w:iCs/>
                <w:sz w:val="20"/>
                <w:szCs w:val="20"/>
              </w:rPr>
              <w:t xml:space="preserve">“The system proposes. A human decides. Both the approval and the refusal are audited. There is no path through this design where the platform changes your estate because it inferred that it should.”</w:t>
            </w:r>
          </w:p>
        </w:tc>
      </w:tr>
    </w:tbl>
    <w:p>
      <w:r>
        <w:br w:type="page"/>
      </w:r>
    </w:p>
    <w:p>
      <w:pPr>
        <w:pStyle w:val="Heading1"/>
        <w:pBdr>
          <w:bottom w:val="single" w:color="0F6CBD" w:sz="10" w:space="6"/>
        </w:pBdr>
        <w:spacing w:after="160" w:before="360"/>
        <w:outlineLvl w:val="0"/>
      </w:pPr>
      <w:r>
        <w:rPr>
          <w:rFonts w:ascii="Arial" w:cs="Arial" w:eastAsia="Arial" w:hAnsi="Arial"/>
          <w:b/>
          <w:bCs/>
          <w:color w:val="13324B"/>
          <w:sz w:val="30"/>
          <w:szCs w:val="30"/>
        </w:rPr>
        <w:t xml:space="preserve">Questions you will be asked</w:t>
      </w:r>
    </w:p>
    <w:p>
      <w:pPr>
        <w:pStyle w:val="Heading2"/>
        <w:spacing w:after="120" w:before="280"/>
        <w:outlineLvl w:val="1"/>
      </w:pPr>
      <w:r>
        <w:rPr>
          <w:rFonts w:ascii="Arial" w:cs="Arial" w:eastAsia="Arial" w:hAnsi="Arial"/>
          <w:b/>
          <w:bCs/>
          <w:color w:val="0F6CBD"/>
          <w:sz w:val="25"/>
          <w:szCs w:val="25"/>
        </w:rPr>
        <w:t xml:space="preserve">“Is this real, or a mock-up?”</w:t>
      </w:r>
    </w:p>
    <w:p>
      <w:pPr>
        <w:spacing w:after="140" w:line="276"/>
      </w:pPr>
      <w:r>
        <w:rPr>
          <w:rFonts w:ascii="Arial" w:cs="Arial" w:eastAsia="Arial" w:hAnsi="Arial"/>
          <w:sz w:val="21"/>
          <w:szCs w:val="21"/>
        </w:rPr>
        <w:t xml:space="preserve">The virtual machines and their telemetry are real. The business and financial layer is synthetic and labelled as such in the data itself, not just in the presentation. Then open Logs and query it live — the answer is more convincing demonstrated than asserted.</w:t>
      </w:r>
    </w:p>
    <w:p>
      <w:pPr>
        <w:pStyle w:val="Heading2"/>
        <w:spacing w:after="120" w:before="280"/>
        <w:outlineLvl w:val="1"/>
      </w:pPr>
      <w:r>
        <w:rPr>
          <w:rFonts w:ascii="Arial" w:cs="Arial" w:eastAsia="Arial" w:hAnsi="Arial"/>
          <w:b/>
          <w:bCs/>
          <w:color w:val="0F6CBD"/>
          <w:sz w:val="25"/>
          <w:szCs w:val="25"/>
        </w:rPr>
        <w:t xml:space="preserve">“Does correlation prove root cause?”</w:t>
      </w:r>
    </w:p>
    <w:p>
      <w:pPr>
        <w:spacing w:after="140" w:line="276"/>
      </w:pPr>
      <w:r>
        <w:rPr>
          <w:rFonts w:ascii="Arial" w:cs="Arial" w:eastAsia="Arial" w:hAnsi="Arial"/>
          <w:sz w:val="21"/>
          <w:szCs w:val="21"/>
        </w:rPr>
        <w:t xml:space="preserve">No. Correlation establishes that signals are related and collapses triage volume. It points a responder at the earliest related signal. Determining causation remains a human judgement, and this demonstration is careful not to claim otherwise.</w:t>
      </w:r>
    </w:p>
    <w:p>
      <w:pPr>
        <w:pStyle w:val="Heading2"/>
        <w:spacing w:after="120" w:before="280"/>
        <w:outlineLvl w:val="1"/>
      </w:pPr>
      <w:r>
        <w:rPr>
          <w:rFonts w:ascii="Arial" w:cs="Arial" w:eastAsia="Arial" w:hAnsi="Arial"/>
          <w:b/>
          <w:bCs/>
          <w:color w:val="0F6CBD"/>
          <w:sz w:val="25"/>
          <w:szCs w:val="25"/>
        </w:rPr>
        <w:t xml:space="preserve">“Can it fix things automatically?”</w:t>
      </w:r>
    </w:p>
    <w:p>
      <w:pPr>
        <w:spacing w:after="140" w:line="276"/>
      </w:pPr>
      <w:r>
        <w:rPr>
          <w:rFonts w:ascii="Arial" w:cs="Arial" w:eastAsia="Arial" w:hAnsi="Arial"/>
          <w:sz w:val="21"/>
          <w:szCs w:val="21"/>
        </w:rPr>
        <w:t xml:space="preserve">It is deliberately built not to. Remediation requires an explicit human approval decision, and both approvals and refusals are audited. If autonomy is what the customer wants, that is a separate conversation with a separate risk profile.</w:t>
      </w:r>
    </w:p>
    <w:p>
      <w:pPr>
        <w:pStyle w:val="Heading2"/>
        <w:spacing w:after="120" w:before="280"/>
        <w:outlineLvl w:val="1"/>
      </w:pPr>
      <w:r>
        <w:rPr>
          <w:rFonts w:ascii="Arial" w:cs="Arial" w:eastAsia="Arial" w:hAnsi="Arial"/>
          <w:b/>
          <w:bCs/>
          <w:color w:val="0F6CBD"/>
          <w:sz w:val="25"/>
          <w:szCs w:val="25"/>
        </w:rPr>
        <w:t xml:space="preserve">“Why not keep using what we already have?”</w:t>
      </w:r>
    </w:p>
    <w:p>
      <w:pPr>
        <w:spacing w:after="140" w:line="276"/>
      </w:pPr>
      <w:r>
        <w:rPr>
          <w:rFonts w:ascii="Arial" w:cs="Arial" w:eastAsia="Arial" w:hAnsi="Arial"/>
          <w:sz w:val="21"/>
          <w:szCs w:val="21"/>
        </w:rPr>
        <w:t xml:space="preserve">Nothing here says the existing investment was wrong. The argument is consolidation: estate-wide correlation available natively where the workloads already run, with one less integration boundary to maintain and one less place for the data to diverge.</w:t>
      </w:r>
    </w:p>
    <w:p>
      <w:pPr>
        <w:pStyle w:val="Heading2"/>
        <w:spacing w:after="120" w:before="280"/>
        <w:outlineLvl w:val="1"/>
      </w:pPr>
      <w:r>
        <w:rPr>
          <w:rFonts w:ascii="Arial" w:cs="Arial" w:eastAsia="Arial" w:hAnsi="Arial"/>
          <w:b/>
          <w:bCs/>
          <w:color w:val="0F6CBD"/>
          <w:sz w:val="25"/>
          <w:szCs w:val="25"/>
        </w:rPr>
        <w:t xml:space="preserve">“Where did the 150 alerts come from?”</w:t>
      </w:r>
    </w:p>
    <w:p>
      <w:pPr>
        <w:spacing w:after="140" w:line="276"/>
      </w:pPr>
      <w:r>
        <w:rPr>
          <w:rFonts w:ascii="Arial" w:cs="Arial" w:eastAsia="Arial" w:hAnsi="Arial"/>
          <w:sz w:val="21"/>
          <w:szCs w:val="21"/>
        </w:rPr>
        <w:t xml:space="preserve">They are synthetic, generated by </w:t>
      </w:r>
      <w:r>
        <w:rPr>
          <w:rFonts w:ascii="Consolas" w:cs="Consolas" w:eastAsia="Consolas" w:hAnsi="Consolas"/>
          <w:sz w:val="19"/>
          <w:szCs w:val="19"/>
        </w:rPr>
        <w:t xml:space="preserve">seed-estate.py</w:t>
      </w:r>
      <w:r>
        <w:rPr>
          <w:rFonts w:ascii="Arial" w:cs="Arial" w:eastAsia="Arial" w:hAnsi="Arial"/>
          <w:sz w:val="21"/>
          <w:szCs w:val="21"/>
        </w:rPr>
        <w:t xml:space="preserve"> with a fixed random seed so the demonstration is reproducible, and ingested through a real Data Collection Rule into a real Log Analytics custom table. The correlation itself is performed by real KQL against that table. The pipeline is genuine; the alert content is manufactured and labelled.</w:t>
      </w:r>
    </w:p>
    <w:p>
      <w:pPr>
        <w:pStyle w:val="Heading2"/>
        <w:spacing w:after="120" w:before="280"/>
        <w:outlineLvl w:val="1"/>
      </w:pPr>
      <w:r>
        <w:rPr>
          <w:rFonts w:ascii="Arial" w:cs="Arial" w:eastAsia="Arial" w:hAnsi="Arial"/>
          <w:b/>
          <w:bCs/>
          <w:color w:val="0F6CBD"/>
          <w:sz w:val="25"/>
          <w:szCs w:val="25"/>
        </w:rPr>
        <w:t xml:space="preserve">“Where is the AI in this?”</w:t>
      </w:r>
    </w:p>
    <w:p>
      <w:pPr>
        <w:spacing w:after="140" w:line="276"/>
      </w:pPr>
      <w:r>
        <w:rPr>
          <w:rFonts w:ascii="Arial" w:cs="Arial" w:eastAsia="Arial" w:hAnsi="Arial"/>
          <w:sz w:val="21"/>
          <w:szCs w:val="21"/>
        </w:rPr>
        <w:t xml:space="preserve">Two places, and it is worth being precise about both. The correlation itself is deterministic KQL — no model, fully auditable, and it gives the same answer every time. That is a feature, not a gap. The AI layer sits on top: the Observability agent in the Logs blade, which interprets the incident, writes its own queries and shows you every one it ran. There is no Azure OpenAI resource deployed here.</w:t>
      </w:r>
    </w:p>
    <w:p>
      <w:pPr>
        <w:pStyle w:val="Heading2"/>
        <w:spacing w:after="120" w:before="280"/>
        <w:outlineLvl w:val="1"/>
      </w:pPr>
      <w:r>
        <w:rPr>
          <w:rFonts w:ascii="Arial" w:cs="Arial" w:eastAsia="Arial" w:hAnsi="Arial"/>
          <w:b/>
          <w:bCs/>
          <w:color w:val="0F6CBD"/>
          <w:sz w:val="25"/>
          <w:szCs w:val="25"/>
        </w:rPr>
        <w:t xml:space="preserve">“Can we trust what the agent says?”</w:t>
      </w:r>
    </w:p>
    <w:p>
      <w:pPr>
        <w:spacing w:after="140" w:line="276"/>
      </w:pPr>
      <w:r>
        <w:rPr>
          <w:rFonts w:ascii="Arial" w:cs="Arial" w:eastAsia="Arial" w:hAnsi="Arial"/>
          <w:sz w:val="21"/>
          <w:szCs w:val="21"/>
        </w:rPr>
        <w:t xml:space="preserve">Treat it as a fast analyst, not an oracle. It shows every query it runs, so its work is checkable. The portal labels its output as possibly incorrect, and so should you. In testing it also produced a materially wrong count when the question was loosely worded — which is exactly why the prompt in Step 11 is scripted rather than improvised.</w:t>
      </w:r>
    </w:p>
    <w:p>
      <w:pPr>
        <w:pStyle w:val="Heading2"/>
        <w:spacing w:after="120" w:before="280"/>
        <w:outlineLvl w:val="1"/>
      </w:pPr>
      <w:r>
        <w:rPr>
          <w:rFonts w:ascii="Arial" w:cs="Arial" w:eastAsia="Arial" w:hAnsi="Arial"/>
          <w:b/>
          <w:bCs/>
          <w:color w:val="0F6CBD"/>
          <w:sz w:val="25"/>
          <w:szCs w:val="25"/>
        </w:rPr>
        <w:t xml:space="preserve">“What does this cost to run?”</w:t>
      </w:r>
    </w:p>
    <w:p>
      <w:pPr>
        <w:spacing w:after="140" w:line="276"/>
      </w:pPr>
      <w:r>
        <w:rPr>
          <w:rFonts w:ascii="Arial" w:cs="Arial" w:eastAsia="Arial" w:hAnsi="Arial"/>
          <w:sz w:val="21"/>
          <w:szCs w:val="21"/>
        </w:rPr>
        <w:t xml:space="preserve">This demonstration estate is $17.28 a day in compute — six Standard_D2ls_v7 virtual machines at $0.12 an hour — and is deallocated between sessions. That figure describes this demonstration environment only and says nothing about production sizing, which would be driven by the workloads being monitored rather than by six idle simulation hosts.</w:t>
      </w:r>
    </w:p>
    <w:p>
      <w:r>
        <w:br w:type="page"/>
      </w:r>
    </w:p>
    <w:p>
      <w:pPr>
        <w:pStyle w:val="Heading1"/>
        <w:pBdr>
          <w:bottom w:val="single" w:color="0F6CBD" w:sz="10" w:space="6"/>
        </w:pBdr>
        <w:spacing w:after="160" w:before="360"/>
        <w:outlineLvl w:val="0"/>
      </w:pPr>
      <w:r>
        <w:rPr>
          <w:rFonts w:ascii="Arial" w:cs="Arial" w:eastAsia="Arial" w:hAnsi="Arial"/>
          <w:b/>
          <w:bCs/>
          <w:color w:val="13324B"/>
          <w:sz w:val="30"/>
          <w:szCs w:val="30"/>
        </w:rPr>
        <w:t xml:space="preserve">Deliberate scope and known limitations</w:t>
      </w:r>
    </w:p>
    <w:p>
      <w:pPr>
        <w:spacing w:after="140" w:line="276"/>
      </w:pPr>
      <w:r>
        <w:rPr>
          <w:rFonts w:ascii="Arial" w:cs="Arial" w:eastAsia="Arial" w:hAnsi="Arial"/>
          <w:sz w:val="21"/>
          <w:szCs w:val="21"/>
        </w:rPr>
        <w:t xml:space="preserve">Disclose these rather than hoping they do not come up. A presenter who names the edges of the demonstration is trusted about everything inside them.</w:t>
      </w:r>
    </w:p>
    <w:p>
      <w:pPr>
        <w:pStyle w:val="Heading2"/>
        <w:spacing w:after="120" w:before="280"/>
        <w:outlineLvl w:val="1"/>
      </w:pPr>
      <w:r>
        <w:rPr>
          <w:rFonts w:ascii="Arial" w:cs="Arial" w:eastAsia="Arial" w:hAnsi="Arial"/>
          <w:b/>
          <w:bCs/>
          <w:color w:val="0F6CBD"/>
          <w:sz w:val="25"/>
          <w:szCs w:val="25"/>
        </w:rPr>
        <w:t xml:space="preserve">Not included — documented as production extensions, not built</w:t>
      </w:r>
    </w:p>
    <w:p>
      <w:pPr>
        <w:pStyle w:val="ListParagraph"/>
        <w:numPr>
          <w:ilvl w:val="0"/>
          <w:numId w:val="3"/>
        </w:numPr>
        <w:spacing w:after="90" w:line="276"/>
      </w:pPr>
      <w:r>
        <w:rPr>
          <w:rFonts w:ascii="Arial" w:cs="Arial" w:eastAsia="Arial" w:hAnsi="Arial"/>
          <w:sz w:val="21"/>
          <w:szCs w:val="21"/>
        </w:rPr>
        <w:t xml:space="preserve">AKS, Azure SQL, Azure AI Search, Event Hubs and Service Bus.</w:t>
      </w:r>
    </w:p>
    <w:p>
      <w:pPr>
        <w:pStyle w:val="ListParagraph"/>
        <w:numPr>
          <w:ilvl w:val="0"/>
          <w:numId w:val="3"/>
        </w:numPr>
        <w:spacing w:after="90" w:line="276"/>
      </w:pPr>
      <w:r>
        <w:rPr>
          <w:rFonts w:ascii="Arial" w:cs="Arial" w:eastAsia="Arial" w:hAnsi="Arial"/>
          <w:sz w:val="21"/>
          <w:szCs w:val="21"/>
        </w:rPr>
        <w:t xml:space="preserve">Any real Datadog tenant or real on-premises infrastructure.</w:t>
      </w:r>
    </w:p>
    <w:p>
      <w:pPr>
        <w:pStyle w:val="ListParagraph"/>
        <w:numPr>
          <w:ilvl w:val="0"/>
          <w:numId w:val="3"/>
        </w:numPr>
        <w:spacing w:after="90" w:line="276"/>
      </w:pPr>
      <w:r>
        <w:rPr>
          <w:rFonts w:ascii="Arial" w:cs="Arial" w:eastAsia="Arial" w:hAnsi="Arial"/>
          <w:b/>
          <w:bCs/>
          <w:sz w:val="21"/>
          <w:szCs w:val="21"/>
        </w:rPr>
        <w:t xml:space="preserve">A deployed Azure OpenAI resource. </w:t>
      </w:r>
      <w:r>
        <w:rPr>
          <w:rFonts w:ascii="Arial" w:cs="Arial" w:eastAsia="Arial" w:hAnsi="Arial"/>
          <w:sz w:val="21"/>
          <w:szCs w:val="21"/>
        </w:rPr>
        <w:t xml:space="preserve">There is no model deployment, key or endpoint in this estate. The AI in Step 11 is the Observability agent built into the Logs blade, which you consume rather than provision. Everything else in the demonstration works with no AI service at all.</w:t>
      </w:r>
    </w:p>
    <w:p>
      <w:pPr>
        <w:pStyle w:val="ListParagraph"/>
        <w:numPr>
          <w:ilvl w:val="0"/>
          <w:numId w:val="3"/>
        </w:numPr>
        <w:spacing w:after="90" w:line="276"/>
      </w:pPr>
      <w:r>
        <w:rPr>
          <w:rFonts w:ascii="Arial" w:cs="Arial" w:eastAsia="Arial" w:hAnsi="Arial"/>
          <w:sz w:val="21"/>
          <w:szCs w:val="21"/>
        </w:rPr>
        <w:t xml:space="preserve">VM Insights Map and service dependency topology — the Dependency Agent does not support the Ubuntu builds in this estate.</w:t>
      </w:r>
    </w:p>
    <w:p>
      <w:pPr>
        <w:pStyle w:val="Heading2"/>
        <w:spacing w:after="120" w:before="280"/>
        <w:outlineLvl w:val="1"/>
      </w:pPr>
      <w:r>
        <w:rPr>
          <w:rFonts w:ascii="Arial" w:cs="Arial" w:eastAsia="Arial" w:hAnsi="Arial"/>
          <w:b/>
          <w:bCs/>
          <w:color w:val="0F6CBD"/>
          <w:sz w:val="25"/>
          <w:szCs w:val="25"/>
        </w:rPr>
        <w:t xml:space="preserve">Operational limitations that affect the demonstration itself</w:t>
      </w:r>
    </w:p>
    <w:p>
      <w:pPr>
        <w:pStyle w:val="ListParagraph"/>
        <w:numPr>
          <w:ilvl w:val="0"/>
          <w:numId w:val="3"/>
        </w:numPr>
        <w:spacing w:after="90" w:line="276"/>
      </w:pPr>
      <w:r>
        <w:rPr>
          <w:rFonts w:ascii="Arial" w:cs="Arial" w:eastAsia="Arial" w:hAnsi="Arial"/>
          <w:b/>
          <w:bCs/>
          <w:sz w:val="21"/>
          <w:szCs w:val="21"/>
        </w:rPr>
        <w:t xml:space="preserve">Ingestion latency of roughly 10 minutes. </w:t>
      </w:r>
      <w:r>
        <w:rPr>
          <w:rFonts w:ascii="Arial" w:cs="Arial" w:eastAsia="Arial" w:hAnsi="Arial"/>
          <w:sz w:val="21"/>
          <w:szCs w:val="21"/>
        </w:rPr>
        <w:t xml:space="preserve">After the virtual machines start, and after a newly created custom table receives its first rows. Zero rows immediately after a successful upload is latency, not failure.</w:t>
      </w:r>
    </w:p>
    <w:p>
      <w:pPr>
        <w:pStyle w:val="ListParagraph"/>
        <w:numPr>
          <w:ilvl w:val="0"/>
          <w:numId w:val="3"/>
        </w:numPr>
        <w:spacing w:after="90" w:line="276"/>
      </w:pPr>
      <w:r>
        <w:rPr>
          <w:rFonts w:ascii="Arial" w:cs="Arial" w:eastAsia="Arial" w:hAnsi="Arial"/>
          <w:b/>
          <w:bCs/>
          <w:sz w:val="21"/>
          <w:szCs w:val="21"/>
        </w:rPr>
        <w:t xml:space="preserve">The synthetic layer ages out. </w:t>
      </w:r>
      <w:r>
        <w:rPr>
          <w:rFonts w:ascii="Arial" w:cs="Arial" w:eastAsia="Arial" w:hAnsi="Arial"/>
          <w:sz w:val="21"/>
          <w:szCs w:val="21"/>
        </w:rPr>
        <w:t xml:space="preserve">It is timestamped at seeding time and spans about 45 minutes. Against the workbook’s 24-hour default, data seeded yesterday will be gone. Re-seed on the day you present.</w:t>
      </w:r>
    </w:p>
    <w:p>
      <w:pPr>
        <w:pStyle w:val="ListParagraph"/>
        <w:numPr>
          <w:ilvl w:val="0"/>
          <w:numId w:val="3"/>
        </w:numPr>
        <w:spacing w:after="90" w:line="276"/>
      </w:pPr>
      <w:r>
        <w:rPr>
          <w:rFonts w:ascii="Arial" w:cs="Arial" w:eastAsia="Arial" w:hAnsi="Arial"/>
          <w:b/>
          <w:bCs/>
          <w:sz w:val="21"/>
          <w:szCs w:val="21"/>
        </w:rPr>
        <w:t xml:space="preserve">Log Analytics does not delete data promptly. </w:t>
      </w:r>
      <w:r>
        <w:rPr>
          <w:rFonts w:ascii="Arial" w:cs="Arial" w:eastAsia="Arial" w:hAnsi="Arial"/>
          <w:sz w:val="21"/>
          <w:szCs w:val="21"/>
        </w:rPr>
        <w:t xml:space="preserve">Rather than relying on deletion, every seeded query scopes itself to the newest ingestion batch, so repeated seeding cannot inflate the headline number. The audit query deliberately does not do this, so remediation history is retained across runs.</w:t>
      </w:r>
    </w:p>
    <w:p>
      <w:pPr>
        <w:spacing w:after="160"/>
      </w:pPr>
    </w:p>
    <w:p>
      <w:pPr>
        <w:pStyle w:val="Heading2"/>
        <w:spacing w:after="120" w:before="280"/>
        <w:outlineLvl w:val="1"/>
      </w:pPr>
      <w:r>
        <w:rPr>
          <w:rFonts w:ascii="Arial" w:cs="Arial" w:eastAsia="Arial" w:hAnsi="Arial"/>
          <w:b/>
          <w:bCs/>
          <w:color w:val="0F6CBD"/>
          <w:sz w:val="25"/>
          <w:szCs w:val="25"/>
        </w:rPr>
        <w:t xml:space="preserve">Final reminder on language</w:t>
      </w:r>
    </w:p>
    <w:tbl>
      <w:tblPr>
        <w:tblW w:type="pct" w:w="100%"/>
        <w:tblBorders>
          <w:top w:val="single" w:color="D1D1D1" w:sz="2"/>
          <w:left w:val="single" w:color="D1D1D1" w:sz="2"/>
          <w:bottom w:val="single" w:color="D1D1D1" w:sz="2"/>
          <w:right w:val="single" w:color="D1D1D1" w:sz="2"/>
          <w:insideH w:val="single" w:color="D1D1D1" w:sz="2"/>
          <w:insideV w:val="single" w:color="D1D1D1" w:sz="2"/>
        </w:tblBorders>
      </w:tblPr>
      <w:tblGrid>
        <w:gridCol w:w="4200"/>
        <w:gridCol w:w="5160"/>
      </w:tblGrid>
      <w:tr>
        <w:trPr>
          <w:tblHeader/>
        </w:trPr>
        <w:tc>
          <w:tcPr>
            <w:tcW w:type="dxa" w:w="4200"/>
            <w:shd w:fill="0F6CBD"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Do not say</w:t>
            </w:r>
          </w:p>
        </w:tc>
        <w:tc>
          <w:tcPr>
            <w:tcW w:type="dxa" w:w="5160"/>
            <w:shd w:fill="0F6CBD"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Say instead</w:t>
            </w:r>
          </w:p>
        </w:tc>
      </w:tr>
      <w:tr>
        <w:tc>
          <w:tcPr>
            <w:tcW w:type="dxa" w:w="4200"/>
            <w:shd w:fill="FFFFFF" w:color="auto" w:val="clear"/>
            <w:tcMar>
              <w:top w:type="dxa" w:w="90"/>
              <w:left w:type="dxa" w:w="120"/>
              <w:bottom w:type="dxa" w:w="90"/>
              <w:right w:type="dxa" w:w="120"/>
            </w:tcMar>
          </w:tcPr>
          <w:p>
            <w:pPr>
              <w:spacing w:after="0" w:line="260"/>
            </w:pPr>
            <w:r>
              <w:rPr>
                <w:rFonts w:ascii="Arial" w:cs="Arial" w:eastAsia="Arial" w:hAnsi="Arial"/>
                <w:sz w:val="19"/>
                <w:szCs w:val="19"/>
              </w:rPr>
              <w:t xml:space="preserve">“150 false positives”</w:t>
            </w:r>
          </w:p>
        </w:tc>
        <w:tc>
          <w:tcPr>
            <w:tcW w:type="dxa" w:w="5160"/>
            <w:shd w:fill="FFFFFF" w:color="auto" w:val="clear"/>
            <w:tcMar>
              <w:top w:type="dxa" w:w="90"/>
              <w:left w:type="dxa" w:w="120"/>
              <w:bottom w:type="dxa" w:w="90"/>
              <w:right w:type="dxa" w:w="120"/>
            </w:tcMar>
          </w:tcPr>
          <w:p>
            <w:pPr>
              <w:spacing w:after="0" w:line="260"/>
            </w:pPr>
            <w:r>
              <w:rPr>
                <w:rFonts w:ascii="Arial" w:cs="Arial" w:eastAsia="Arial" w:hAnsi="Arial"/>
                <w:sz w:val="19"/>
                <w:szCs w:val="19"/>
              </w:rPr>
              <w:t xml:space="preserve">“150 related alerts correlated into 1 actionable incident”</w:t>
            </w:r>
          </w:p>
        </w:tc>
      </w:tr>
      <w:tr>
        <w:tc>
          <w:tcPr>
            <w:tcW w:type="dxa" w:w="4200"/>
            <w:shd w:fill="F7F9FB" w:color="auto" w:val="clear"/>
            <w:tcMar>
              <w:top w:type="dxa" w:w="90"/>
              <w:left w:type="dxa" w:w="120"/>
              <w:bottom w:type="dxa" w:w="90"/>
              <w:right w:type="dxa" w:w="120"/>
            </w:tcMar>
          </w:tcPr>
          <w:p>
            <w:pPr>
              <w:spacing w:after="0" w:line="260"/>
            </w:pPr>
            <w:r>
              <w:rPr>
                <w:rFonts w:ascii="Arial" w:cs="Arial" w:eastAsia="Arial" w:hAnsi="Arial"/>
                <w:sz w:val="19"/>
                <w:szCs w:val="19"/>
              </w:rPr>
              <w:t xml:space="preserve">“Correlation shows this caused it”</w:t>
            </w:r>
          </w:p>
        </w:tc>
        <w:tc>
          <w:tcPr>
            <w:tcW w:type="dxa" w:w="5160"/>
            <w:shd w:fill="F7F9FB" w:color="auto" w:val="clear"/>
            <w:tcMar>
              <w:top w:type="dxa" w:w="90"/>
              <w:left w:type="dxa" w:w="120"/>
              <w:bottom w:type="dxa" w:w="90"/>
              <w:right w:type="dxa" w:w="120"/>
            </w:tcMar>
          </w:tcPr>
          <w:p>
            <w:pPr>
              <w:spacing w:after="0" w:line="260"/>
            </w:pPr>
            <w:r>
              <w:rPr>
                <w:rFonts w:ascii="Arial" w:cs="Arial" w:eastAsia="Arial" w:hAnsi="Arial"/>
                <w:sz w:val="19"/>
                <w:szCs w:val="19"/>
              </w:rPr>
              <w:t xml:space="preserve">“Correlation shows these signals are related; causation is a human judgement”</w:t>
            </w:r>
          </w:p>
        </w:tc>
      </w:tr>
      <w:tr>
        <w:tc>
          <w:tcPr>
            <w:tcW w:type="dxa" w:w="4200"/>
            <w:shd w:fill="FFFFFF" w:color="auto" w:val="clear"/>
            <w:tcMar>
              <w:top w:type="dxa" w:w="90"/>
              <w:left w:type="dxa" w:w="120"/>
              <w:bottom w:type="dxa" w:w="90"/>
              <w:right w:type="dxa" w:w="120"/>
            </w:tcMar>
          </w:tcPr>
          <w:p>
            <w:pPr>
              <w:spacing w:after="0" w:line="260"/>
            </w:pPr>
            <w:r>
              <w:rPr>
                <w:rFonts w:ascii="Arial" w:cs="Arial" w:eastAsia="Arial" w:hAnsi="Arial"/>
                <w:sz w:val="19"/>
                <w:szCs w:val="19"/>
              </w:rPr>
              <w:t xml:space="preserve">“Adopting Datadog was a mistake”</w:t>
            </w:r>
          </w:p>
        </w:tc>
        <w:tc>
          <w:tcPr>
            <w:tcW w:type="dxa" w:w="5160"/>
            <w:shd w:fill="FFFFFF" w:color="auto" w:val="clear"/>
            <w:tcMar>
              <w:top w:type="dxa" w:w="90"/>
              <w:left w:type="dxa" w:w="120"/>
              <w:bottom w:type="dxa" w:w="90"/>
              <w:right w:type="dxa" w:w="120"/>
            </w:tcMar>
          </w:tcPr>
          <w:p>
            <w:pPr>
              <w:spacing w:after="0" w:line="260"/>
            </w:pPr>
            <w:r>
              <w:rPr>
                <w:rFonts w:ascii="Arial" w:cs="Arial" w:eastAsia="Arial" w:hAnsi="Arial"/>
                <w:sz w:val="19"/>
                <w:szCs w:val="19"/>
              </w:rPr>
              <w:t xml:space="preserve">“It solved the problem they had; the question now is consolidation”</w:t>
            </w:r>
          </w:p>
        </w:tc>
      </w:tr>
      <w:tr>
        <w:tc>
          <w:tcPr>
            <w:tcW w:type="dxa" w:w="4200"/>
            <w:shd w:fill="F7F9FB" w:color="auto" w:val="clear"/>
            <w:tcMar>
              <w:top w:type="dxa" w:w="90"/>
              <w:left w:type="dxa" w:w="120"/>
              <w:bottom w:type="dxa" w:w="90"/>
              <w:right w:type="dxa" w:w="120"/>
            </w:tcMar>
          </w:tcPr>
          <w:p>
            <w:pPr>
              <w:spacing w:after="0" w:line="260"/>
            </w:pPr>
            <w:r>
              <w:rPr>
                <w:rFonts w:ascii="Arial" w:cs="Arial" w:eastAsia="Arial" w:hAnsi="Arial"/>
                <w:sz w:val="19"/>
                <w:szCs w:val="19"/>
              </w:rPr>
              <w:t xml:space="preserve">“This is what an outage costs you”</w:t>
            </w:r>
          </w:p>
        </w:tc>
        <w:tc>
          <w:tcPr>
            <w:tcW w:type="dxa" w:w="5160"/>
            <w:shd w:fill="F7F9FB" w:color="auto" w:val="clear"/>
            <w:tcMar>
              <w:top w:type="dxa" w:w="90"/>
              <w:left w:type="dxa" w:w="120"/>
              <w:bottom w:type="dxa" w:w="90"/>
              <w:right w:type="dxa" w:w="120"/>
            </w:tcMar>
          </w:tcPr>
          <w:p>
            <w:pPr>
              <w:spacing w:after="0" w:line="260"/>
            </w:pPr>
            <w:r>
              <w:rPr>
                <w:rFonts w:ascii="Arial" w:cs="Arial" w:eastAsia="Arial" w:hAnsi="Arial"/>
                <w:sz w:val="19"/>
                <w:szCs w:val="19"/>
              </w:rPr>
              <w:t xml:space="preserve">“Illustrative sample data, not a customer estimate”</w:t>
            </w:r>
          </w:p>
        </w:tc>
      </w:tr>
      <w:tr>
        <w:tc>
          <w:tcPr>
            <w:tcW w:type="dxa" w:w="4200"/>
            <w:shd w:fill="FFFFFF" w:color="auto" w:val="clear"/>
            <w:tcMar>
              <w:top w:type="dxa" w:w="90"/>
              <w:left w:type="dxa" w:w="120"/>
              <w:bottom w:type="dxa" w:w="90"/>
              <w:right w:type="dxa" w:w="120"/>
            </w:tcMar>
          </w:tcPr>
          <w:p>
            <w:pPr>
              <w:spacing w:after="0" w:line="260"/>
            </w:pPr>
            <w:r>
              <w:rPr>
                <w:rFonts w:ascii="Arial" w:cs="Arial" w:eastAsia="Arial" w:hAnsi="Arial"/>
                <w:sz w:val="19"/>
                <w:szCs w:val="19"/>
              </w:rPr>
              <w:t xml:space="preserve">“It remediates automatically”</w:t>
            </w:r>
          </w:p>
        </w:tc>
        <w:tc>
          <w:tcPr>
            <w:tcW w:type="dxa" w:w="5160"/>
            <w:shd w:fill="FFFFFF" w:color="auto" w:val="clear"/>
            <w:tcMar>
              <w:top w:type="dxa" w:w="90"/>
              <w:left w:type="dxa" w:w="120"/>
              <w:bottom w:type="dxa" w:w="90"/>
              <w:right w:type="dxa" w:w="120"/>
            </w:tcMar>
          </w:tcPr>
          <w:p>
            <w:pPr>
              <w:spacing w:after="0" w:line="260"/>
            </w:pPr>
            <w:r>
              <w:rPr>
                <w:rFonts w:ascii="Arial" w:cs="Arial" w:eastAsia="Arial" w:hAnsi="Arial"/>
                <w:sz w:val="19"/>
                <w:szCs w:val="19"/>
              </w:rPr>
              <w:t xml:space="preserve">“It proposes; a human approves; both decisions are audited”</w:t>
            </w:r>
          </w:p>
        </w:tc>
      </w:tr>
      <w:tr>
        <w:tc>
          <w:tcPr>
            <w:tcW w:type="dxa" w:w="4200"/>
            <w:shd w:fill="F7F9FB" w:color="auto" w:val="clear"/>
            <w:tcMar>
              <w:top w:type="dxa" w:w="90"/>
              <w:left w:type="dxa" w:w="120"/>
              <w:bottom w:type="dxa" w:w="90"/>
              <w:right w:type="dxa" w:w="120"/>
            </w:tcMar>
          </w:tcPr>
          <w:p>
            <w:pPr>
              <w:spacing w:after="0" w:line="260"/>
            </w:pPr>
            <w:r>
              <w:rPr>
                <w:rFonts w:ascii="Arial" w:cs="Arial" w:eastAsia="Arial" w:hAnsi="Arial"/>
                <w:sz w:val="19"/>
                <w:szCs w:val="19"/>
              </w:rPr>
              <w:t xml:space="preserve">“The AI found the root cause”</w:t>
            </w:r>
          </w:p>
        </w:tc>
        <w:tc>
          <w:tcPr>
            <w:tcW w:type="dxa" w:w="5160"/>
            <w:shd w:fill="F7F9FB" w:color="auto" w:val="clear"/>
            <w:tcMar>
              <w:top w:type="dxa" w:w="90"/>
              <w:left w:type="dxa" w:w="120"/>
              <w:bottom w:type="dxa" w:w="90"/>
              <w:right w:type="dxa" w:w="120"/>
            </w:tcMar>
          </w:tcPr>
          <w:p>
            <w:pPr>
              <w:spacing w:after="0" w:line="260"/>
            </w:pPr>
            <w:r>
              <w:rPr>
                <w:rFonts w:ascii="Arial" w:cs="Arial" w:eastAsia="Arial" w:hAnsi="Arial"/>
                <w:sz w:val="19"/>
                <w:szCs w:val="19"/>
              </w:rPr>
              <w:t xml:space="preserve">“The agent summarised the evidence; it was asked not to infer a cause”</w:t>
            </w:r>
          </w:p>
        </w:tc>
      </w:tr>
      <w:tr>
        <w:tc>
          <w:tcPr>
            <w:tcW w:type="dxa" w:w="4200"/>
            <w:shd w:fill="FFFFFF" w:color="auto" w:val="clear"/>
            <w:tcMar>
              <w:top w:type="dxa" w:w="90"/>
              <w:left w:type="dxa" w:w="120"/>
              <w:bottom w:type="dxa" w:w="90"/>
              <w:right w:type="dxa" w:w="120"/>
            </w:tcMar>
          </w:tcPr>
          <w:p>
            <w:pPr>
              <w:spacing w:after="0" w:line="260"/>
            </w:pPr>
            <w:r>
              <w:rPr>
                <w:rFonts w:ascii="Arial" w:cs="Arial" w:eastAsia="Arial" w:hAnsi="Arial"/>
                <w:sz w:val="19"/>
                <w:szCs w:val="19"/>
              </w:rPr>
              <w:t xml:space="preserve">“We deployed AI for this”</w:t>
            </w:r>
          </w:p>
        </w:tc>
        <w:tc>
          <w:tcPr>
            <w:tcW w:type="dxa" w:w="5160"/>
            <w:shd w:fill="FFFFFF" w:color="auto" w:val="clear"/>
            <w:tcMar>
              <w:top w:type="dxa" w:w="90"/>
              <w:left w:type="dxa" w:w="120"/>
              <w:bottom w:type="dxa" w:w="90"/>
              <w:right w:type="dxa" w:w="120"/>
            </w:tcMar>
          </w:tcPr>
          <w:p>
            <w:pPr>
              <w:spacing w:after="0" w:line="260"/>
            </w:pPr>
            <w:r>
              <w:rPr>
                <w:rFonts w:ascii="Arial" w:cs="Arial" w:eastAsia="Arial" w:hAnsi="Arial"/>
                <w:sz w:val="19"/>
                <w:szCs w:val="19"/>
              </w:rPr>
              <w:t xml:space="preserve">“The agent is built into Azure Monitor; nothing was deployed”</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05050"/>
        <w:sz w:val="17"/>
        <w:szCs w:val="17"/>
      </w:rPr>
      <w:t xml:space="preserve">Unified Operational Intelligence  —  Synthetic Demo Data  —  Page </w:t>
    </w:r>
    <w:r>
      <w:rPr>
        <w:rFonts w:ascii="Arial" w:cs="Arial" w:eastAsia="Arial" w:hAnsi="Arial"/>
        <w:color w:val="50505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rPr>
        <w:b/>
        <w:bCs/>
        <w:color w:val="0F6CBD"/>
      </w:rPr>
    </w:lvl>
  </w:abstractNum>
  <w:abstractNum w:abstractNumId="3" w15:restartNumberingAfterBreak="0">
    <w:multiLevelType w:val="hybridMultilevel"/>
    <w:lvl w:ilvl="0" w15:tentative="1">
      <w:start w:val="1"/>
      <w:numFmt w:val="bullet"/>
      <w:lvlText w:val="•"/>
      <w:lvlJc w:val="start"/>
      <w:pPr>
        <w:ind w:left="576" w:hanging="288"/>
      </w:pPr>
      <w:rPr>
        <w:color w:val="0F6CBD"/>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2cf7b5b6f236dc5d3a456e2c614fb81c80cdcfa.png"/><Relationship Id="rId9" Type="http://schemas.openxmlformats.org/officeDocument/2006/relationships/image" Target="media/e6a05659c31f069110182ba0c718d546744f331d.png"/><Relationship Id="rId10" Type="http://schemas.openxmlformats.org/officeDocument/2006/relationships/image" Target="media/54e67abfcfde2695f33ceafd774814a10318d0cf.png"/><Relationship Id="rId11" Type="http://schemas.openxmlformats.org/officeDocument/2006/relationships/image" Target="media/fb45a06871737ea16cd19c2020a7735e997f755e.png"/><Relationship Id="rId12" Type="http://schemas.openxmlformats.org/officeDocument/2006/relationships/image" Target="media/14c9d1147fe440cd870833475a567c6bff86cce0.png"/><Relationship Id="rId13" Type="http://schemas.openxmlformats.org/officeDocument/2006/relationships/image" Target="media/8d65b9b387b623ece13232b96c0fde1b5b7c1b12.png"/><Relationship Id="rId14" Type="http://schemas.openxmlformats.org/officeDocument/2006/relationships/image" Target="media/c47fa081e01faf5551302ebcc6c9fdf59ab2277f.png"/><Relationship Id="rId15" Type="http://schemas.openxmlformats.org/officeDocument/2006/relationships/image" Target="media/bc7e48d7d76c12f9020cf15ffc7531519cbbe5a4.png"/><Relationship Id="rId16" Type="http://schemas.openxmlformats.org/officeDocument/2006/relationships/image" Target="media/062aac9ad9d3cc224332503ab9948fd89c2d87fc.png"/><Relationship Id="rId17" Type="http://schemas.openxmlformats.org/officeDocument/2006/relationships/image" Target="media/f02cc3a53d5bbd082c25de069617dcf079f6e4ab.png"/><Relationship Id="rId18" Type="http://schemas.openxmlformats.org/officeDocument/2006/relationships/image" Target="media/304b8817af8aac5cdb6a63506eda492f45bdf9f4.png"/><Relationship Id="rId19" Type="http://schemas.openxmlformats.org/officeDocument/2006/relationships/image" Target="media/9abcc174ed00ca06c5698cc2505b6a7d40a2f2c4.png"/><Relationship Id="rId20" Type="http://schemas.openxmlformats.org/officeDocument/2006/relationships/image" Target="media/f148c5d3e48e76c7618618df29124883822e4bdd.png"/><Relationship Id="rId21" Type="http://schemas.openxmlformats.org/officeDocument/2006/relationships/image" Target="media/450e1989fb647bd9c1ee7cb22ef7ae56fc480416.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Operational Intelligence — Azure Portal Demonstration Walkthrough</dc:title>
  <dc:creator>Unified Operational Intelligence</dc:creator>
  <dc:description>Step-by-step presenter walkthrough with live Azure Portal screenshots. Contains synthetic demo data and illustrative sample financials.</dc:description>
  <cp:lastModifiedBy>Un-named</cp:lastModifiedBy>
  <cp:revision>1</cp:revision>
  <dcterms:created xsi:type="dcterms:W3CDTF">2026-09-17T14:46:05.412Z</dcterms:created>
  <dcterms:modified xsi:type="dcterms:W3CDTF">2026-09-17T14:46:05.413Z</dcterms:modified>
</cp:coreProperties>
</file>

<file path=docProps/custom.xml><?xml version="1.0" encoding="utf-8"?>
<Properties xmlns="http://schemas.openxmlformats.org/officeDocument/2006/custom-properties" xmlns:vt="http://schemas.openxmlformats.org/officeDocument/2006/docPropsVTypes"/>
</file>