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Informe de Cierre</w:t>
      </w:r>
    </w:p>
    <w:p>
      <w:pPr>
        <w:spacing w:after="40"/>
      </w:pPr>
      <w:r>
        <w:rPr>
          <w:b/>
          <w:bCs/>
          <w:color w:val="555555"/>
          <w:sz w:val="26"/>
          <w:szCs w:val="26"/>
        </w:rPr>
        <w:t xml:space="preserve">Fase 4: Backtest Real del Modelo y Búsqueda Exploratoria de Patrones</w:t>
      </w:r>
    </w:p>
    <w:p>
      <w:pPr>
        <w:spacing w:after="200"/>
      </w:pPr>
      <w:r>
        <w:rPr>
          <w:i/>
          <w:iCs/>
          <w:color w:val="777777"/>
          <w:sz w:val="22"/>
          <w:szCs w:val="22"/>
        </w:rPr>
        <w:t xml:space="preserve">Proyecto Contecto — Análisis Cuantitativo de Fútbol para Apuestas Deportivas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color="auto" w:val="clear"/>
            <w:tcMar>
              <w:top w:type="dxa" w:w="80"/>
              <w:left w:type="dxa" w:w="120"/>
              <w:bottom w:type="dxa" w:w="80"/>
              <w:right w:type="dxa" w:w="120"/>
            </w:tcMar>
            <w:vAlign w:val="center"/>
          </w:tcPr>
          <w:p>
            <w:r>
              <w:rPr>
                <w:b/>
                <w:bCs/>
                <w:color w:val="FFFFFF"/>
              </w:rPr>
              <w:t xml:space="preserve">Fecha</w:t>
            </w:r>
          </w:p>
        </w:tc>
        <w:tc>
          <w:tcPr>
            <w:tcW w:type="dxa" w:w="6850"/>
            <w:shd w:fill="1F3864" w:color="auto" w:val="clear"/>
            <w:tcMar>
              <w:top w:type="dxa" w:w="80"/>
              <w:left w:type="dxa" w:w="120"/>
              <w:bottom w:type="dxa" w:w="80"/>
              <w:right w:type="dxa" w:w="120"/>
            </w:tcMar>
            <w:vAlign w:val="center"/>
          </w:tcPr>
          <w:p>
            <w:r>
              <w:rPr>
                <w:b/>
                <w:bCs/>
                <w:color w:val="FFFFFF"/>
              </w:rPr>
              <w:t xml:space="preserve">Alcance de este informe</w:t>
            </w:r>
          </w:p>
        </w:tc>
      </w:tr>
      <w:tr>
        <w:tc>
          <w:tcPr>
            <w:tcW w:type="dxa" w:w="2500"/>
            <w:tcMar>
              <w:top w:type="dxa" w:w="80"/>
              <w:left w:type="dxa" w:w="120"/>
              <w:bottom w:type="dxa" w:w="80"/>
              <w:right w:type="dxa" w:w="120"/>
            </w:tcMar>
            <w:vAlign w:val="center"/>
          </w:tcPr>
          <w:p>
            <w:r>
              <w:rPr>
                <w:color w:val="000000"/>
              </w:rPr>
              <w:t xml:space="preserve">Agosto de 2026</w:t>
            </w:r>
          </w:p>
        </w:tc>
        <w:tc>
          <w:tcPr>
            <w:tcW w:type="dxa" w:w="6850"/>
            <w:tcMar>
              <w:top w:type="dxa" w:w="80"/>
              <w:left w:type="dxa" w:w="120"/>
              <w:bottom w:type="dxa" w:w="80"/>
              <w:right w:type="dxa" w:w="120"/>
            </w:tcMar>
            <w:vAlign w:val="center"/>
          </w:tcPr>
          <w:p>
            <w:r>
              <w:rPr>
                <w:color w:val="000000"/>
              </w:rPr>
              <w:t xml:space="preserve">Backtest out-of-sample del modelo Dixon-Coles + 4 hipótesis exploratorias probadas contra el mercado</w:t>
            </w:r>
          </w:p>
        </w:tc>
      </w:tr>
    </w:tbl>
    <w:p>
      <w:pPr>
        <w:pBdr>
          <w:bottom w:val="single" w:color="999999" w:sz="6" w:space="1"/>
        </w:pBdr>
        <w:spacing w:after="200"/>
      </w:pPr>
    </w:p>
    <w:p>
      <w:pPr>
        <w:pStyle w:val="Heading1"/>
        <w:spacing w:after="150" w:before="300"/>
      </w:pPr>
      <w:r>
        <w:t xml:space="preserve">1. Resumen ejecutivo</w:t>
      </w:r>
    </w:p>
    <w:p>
      <w:pPr>
        <w:spacing w:after="160"/>
      </w:pPr>
      <w:r>
        <w:t xml:space="preserve">Esta fase tuvo dos partes. Primero, se completó el backtest real del modelo Dixon-Coles (entrenado con 2021/22–2024/25) contra la temporada 2025/26, nunca vista por el modelo — el resultado fue una pérdida sistemática y significativa en las 4 ligas. Segundo, ante esa conclusión, se pivotó a una búsqueda exploratoria de patrones de mercado más simples (independientes del modelo), usando la base de datos histórica y una disciplina estricta de validación train/test. Se probaron 4 hipótesis distintas; ninguna sobrevivió la prueba out-of-sample real.</w:t>
      </w:r>
    </w:p>
    <w:p>
      <w:pPr>
        <w:spacing w:after="160"/>
      </w:pPr>
      <w:r>
        <w:t xml:space="preserve">El hallazgo principal no es una estrategia rentable — es la confirmación, con evidencia sólida y repetida, de que las 4 ligas objetivo se comportan como mercados eficientes frente a los métodos simples que tenemos disponibles sin datos de xG.</w:t>
      </w:r>
    </w:p>
    <w:p>
      <w:pPr>
        <w:pStyle w:val="Heading1"/>
        <w:spacing w:after="150" w:before="300"/>
      </w:pPr>
      <w:r>
        <w:t xml:space="preserve">2. Backtest real del modelo Dixon-Coles</w:t>
      </w:r>
    </w:p>
    <w:p>
      <w:pPr>
        <w:pStyle w:val="Heading2"/>
        <w:spacing w:after="120" w:before="250"/>
      </w:pPr>
      <w:r>
        <w:t xml:space="preserve">2.1 Resultado consolidado (train 2021/22–2024/25, test 2025/26)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color="auto" w:val="clear"/>
            <w:tcMar>
              <w:top w:type="dxa" w:w="80"/>
              <w:left w:type="dxa" w:w="120"/>
              <w:bottom w:type="dxa" w:w="80"/>
              <w:right w:type="dxa" w:w="120"/>
            </w:tcMar>
            <w:vAlign w:val="center"/>
          </w:tcPr>
          <w:p>
            <w:r>
              <w:rPr>
                <w:b/>
                <w:bCs/>
                <w:color w:val="FFFFFF"/>
              </w:rPr>
              <w:t xml:space="preserve">Métrica</w:t>
            </w:r>
          </w:p>
        </w:tc>
        <w:tc>
          <w:tcPr>
            <w:tcW w:type="dxa" w:w="4675"/>
            <w:shd w:fill="1F3864" w:color="auto" w:val="clear"/>
            <w:tcMar>
              <w:top w:type="dxa" w:w="80"/>
              <w:left w:type="dxa" w:w="120"/>
              <w:bottom w:type="dxa" w:w="80"/>
              <w:right w:type="dxa" w:w="120"/>
            </w:tcMar>
            <w:vAlign w:val="center"/>
          </w:tcPr>
          <w:p>
            <w:r>
              <w:rPr>
                <w:b/>
                <w:bCs/>
                <w:color w:val="FFFFFF"/>
              </w:rPr>
              <w:t xml:space="preserve">Valor</w:t>
            </w:r>
          </w:p>
        </w:tc>
      </w:tr>
      <w:tr>
        <w:tc>
          <w:tcPr>
            <w:tcW w:type="dxa" w:w="4675"/>
            <w:tcMar>
              <w:top w:type="dxa" w:w="80"/>
              <w:left w:type="dxa" w:w="120"/>
              <w:bottom w:type="dxa" w:w="80"/>
              <w:right w:type="dxa" w:w="120"/>
            </w:tcMar>
            <w:vAlign w:val="center"/>
          </w:tcPr>
          <w:p>
            <w:r>
              <w:rPr>
                <w:color w:val="000000"/>
              </w:rPr>
              <w:t xml:space="preserve">Apuestas EV&gt;0 encontradas (4 ligas)</w:t>
            </w:r>
          </w:p>
        </w:tc>
        <w:tc>
          <w:tcPr>
            <w:tcW w:type="dxa" w:w="4675"/>
            <w:tcMar>
              <w:top w:type="dxa" w:w="80"/>
              <w:left w:type="dxa" w:w="120"/>
              <w:bottom w:type="dxa" w:w="80"/>
              <w:right w:type="dxa" w:w="120"/>
            </w:tcMar>
            <w:vAlign w:val="center"/>
          </w:tcPr>
          <w:p>
            <w:r>
              <w:rPr>
                <w:color w:val="000000"/>
              </w:rPr>
              <w:t xml:space="preserve">1.184 (supera el umbral n≥500)</w:t>
            </w:r>
          </w:p>
        </w:tc>
      </w:tr>
      <w:tr>
        <w:tc>
          <w:tcPr>
            <w:tcW w:type="dxa" w:w="4675"/>
            <w:shd w:fill="F2F2F2" w:color="auto" w:val="clear"/>
            <w:tcMar>
              <w:top w:type="dxa" w:w="80"/>
              <w:left w:type="dxa" w:w="120"/>
              <w:bottom w:type="dxa" w:w="80"/>
              <w:right w:type="dxa" w:w="120"/>
            </w:tcMar>
            <w:vAlign w:val="center"/>
          </w:tcPr>
          <w:p>
            <w:r>
              <w:rPr>
                <w:color w:val="000000"/>
              </w:rPr>
              <w:t xml:space="preserve">Tasa de acierto predicha por el modelo</w:t>
            </w:r>
          </w:p>
        </w:tc>
        <w:tc>
          <w:tcPr>
            <w:tcW w:type="dxa" w:w="4675"/>
            <w:shd w:fill="F2F2F2" w:color="auto" w:val="clear"/>
            <w:tcMar>
              <w:top w:type="dxa" w:w="80"/>
              <w:left w:type="dxa" w:w="120"/>
              <w:bottom w:type="dxa" w:w="80"/>
              <w:right w:type="dxa" w:w="120"/>
            </w:tcMar>
            <w:vAlign w:val="center"/>
          </w:tcPr>
          <w:p>
            <w:r>
              <w:rPr>
                <w:color w:val="000000"/>
              </w:rPr>
              <w:t xml:space="preserve">38.3%</w:t>
            </w:r>
          </w:p>
        </w:tc>
      </w:tr>
      <w:tr>
        <w:tc>
          <w:tcPr>
            <w:tcW w:type="dxa" w:w="4675"/>
            <w:tcMar>
              <w:top w:type="dxa" w:w="80"/>
              <w:left w:type="dxa" w:w="120"/>
              <w:bottom w:type="dxa" w:w="80"/>
              <w:right w:type="dxa" w:w="120"/>
            </w:tcMar>
            <w:vAlign w:val="center"/>
          </w:tcPr>
          <w:p>
            <w:r>
              <w:rPr>
                <w:color w:val="000000"/>
              </w:rPr>
              <w:t xml:space="preserve">Tasa de acierto real observada</w:t>
            </w:r>
          </w:p>
        </w:tc>
        <w:tc>
          <w:tcPr>
            <w:tcW w:type="dxa" w:w="4675"/>
            <w:tcMar>
              <w:top w:type="dxa" w:w="80"/>
              <w:left w:type="dxa" w:w="120"/>
              <w:bottom w:type="dxa" w:w="80"/>
              <w:right w:type="dxa" w:w="120"/>
            </w:tcMar>
            <w:vAlign w:val="center"/>
          </w:tcPr>
          <w:p>
            <w:r>
              <w:rPr>
                <w:color w:val="000000"/>
              </w:rPr>
              <w:t xml:space="preserve">30.3%</w:t>
            </w:r>
          </w:p>
        </w:tc>
      </w:tr>
      <w:tr>
        <w:tc>
          <w:tcPr>
            <w:tcW w:type="dxa" w:w="4675"/>
            <w:shd w:fill="F2F2F2" w:color="auto" w:val="clear"/>
            <w:tcMar>
              <w:top w:type="dxa" w:w="80"/>
              <w:left w:type="dxa" w:w="120"/>
              <w:bottom w:type="dxa" w:w="80"/>
              <w:right w:type="dxa" w:w="120"/>
            </w:tcMar>
            <w:vAlign w:val="center"/>
          </w:tcPr>
          <w:p>
            <w:r>
              <w:rPr>
                <w:color w:val="000000"/>
              </w:rPr>
              <w:t xml:space="preserve">Banca final real (trayectoria única, desde $1.000)</w:t>
            </w:r>
          </w:p>
        </w:tc>
        <w:tc>
          <w:tcPr>
            <w:tcW w:type="dxa" w:w="4675"/>
            <w:shd w:fill="F2F2F2" w:color="auto" w:val="clear"/>
            <w:tcMar>
              <w:top w:type="dxa" w:w="80"/>
              <w:left w:type="dxa" w:w="120"/>
              <w:bottom w:type="dxa" w:w="80"/>
              <w:right w:type="dxa" w:w="120"/>
            </w:tcMar>
            <w:vAlign w:val="center"/>
          </w:tcPr>
          <w:p>
            <w:r>
              <w:rPr>
                <w:color w:val="000000"/>
              </w:rPr>
              <w:t xml:space="preserve">$61.08 (-93.9%)</w:t>
            </w:r>
          </w:p>
        </w:tc>
      </w:tr>
      <w:tr>
        <w:tc>
          <w:tcPr>
            <w:tcW w:type="dxa" w:w="4675"/>
            <w:tcMar>
              <w:top w:type="dxa" w:w="80"/>
              <w:left w:type="dxa" w:w="120"/>
              <w:bottom w:type="dxa" w:w="80"/>
              <w:right w:type="dxa" w:w="120"/>
            </w:tcMar>
            <w:vAlign w:val="center"/>
          </w:tcPr>
          <w:p>
            <w:r>
              <w:rPr>
                <w:color w:val="000000"/>
              </w:rPr>
              <w:t xml:space="preserve">Drawdown máximo real</w:t>
            </w:r>
          </w:p>
        </w:tc>
        <w:tc>
          <w:tcPr>
            <w:tcW w:type="dxa" w:w="4675"/>
            <w:tcMar>
              <w:top w:type="dxa" w:w="80"/>
              <w:left w:type="dxa" w:w="120"/>
              <w:bottom w:type="dxa" w:w="80"/>
              <w:right w:type="dxa" w:w="120"/>
            </w:tcMar>
            <w:vAlign w:val="center"/>
          </w:tcPr>
          <w:p>
            <w:r>
              <w:rPr>
                <w:color w:val="000000"/>
              </w:rPr>
              <w:t xml:space="preserve">94.9%</w:t>
            </w:r>
          </w:p>
        </w:tc>
      </w:tr>
    </w:tbl>
    <w:p>
      <w:pPr>
        <w:spacing w:after="160"/>
      </w:pPr>
      <w:r>
        <w:t xml:space="preserve">La simulación Montecarlo, que asumía que el modelo tenía razón sobre sus propias probabilidades, proyectaba una banca final de $303.620 (+30.262%). La trayectoria REAL con los resultados verdaderos fue de -93.9%. La distancia entre ambos números es la medida exacta de cuánto estaba sobreconfiado el modelo.</w:t>
      </w:r>
    </w:p>
    <w:p>
      <w:pPr>
        <w:pStyle w:val="Heading2"/>
        <w:spacing w:after="120" w:before="250"/>
      </w:pPr>
      <w:r>
        <w:t xml:space="preserve">2.2 Diagnóstico por liga y por selección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864" w:color="auto" w:val="clear"/>
            <w:tcMar>
              <w:top w:type="dxa" w:w="80"/>
              <w:left w:type="dxa" w:w="120"/>
              <w:bottom w:type="dxa" w:w="80"/>
              <w:right w:type="dxa" w:w="120"/>
            </w:tcMar>
            <w:vAlign w:val="center"/>
          </w:tcPr>
          <w:p>
            <w:r>
              <w:rPr>
                <w:b/>
                <w:bCs/>
                <w:color w:val="FFFFFF"/>
              </w:rPr>
              <w:t xml:space="preserve">Liga</w:t>
            </w:r>
          </w:p>
        </w:tc>
        <w:tc>
          <w:tcPr>
            <w:tcW w:type="dxa" w:w="3116"/>
            <w:shd w:fill="1F3864" w:color="auto" w:val="clear"/>
            <w:tcMar>
              <w:top w:type="dxa" w:w="80"/>
              <w:left w:type="dxa" w:w="120"/>
              <w:bottom w:type="dxa" w:w="80"/>
              <w:right w:type="dxa" w:w="120"/>
            </w:tcMar>
            <w:vAlign w:val="center"/>
          </w:tcPr>
          <w:p>
            <w:r>
              <w:rPr>
                <w:b/>
                <w:bCs/>
                <w:color w:val="FFFFFF"/>
              </w:rPr>
              <w:t xml:space="preserve">Retorno real (todas las selecciones)</w:t>
            </w:r>
          </w:p>
        </w:tc>
        <w:tc>
          <w:tcPr>
            <w:tcW w:type="dxa" w:w="3116"/>
            <w:shd w:fill="1F3864" w:color="auto" w:val="clear"/>
            <w:tcMar>
              <w:top w:type="dxa" w:w="80"/>
              <w:left w:type="dxa" w:w="120"/>
              <w:bottom w:type="dxa" w:w="80"/>
              <w:right w:type="dxa" w:w="120"/>
            </w:tcMar>
            <w:vAlign w:val="center"/>
          </w:tcPr>
          <w:p>
            <w:r>
              <w:rPr>
                <w:b/>
                <w:bCs/>
                <w:color w:val="FFFFFF"/>
              </w:rPr>
              <w:t xml:space="preserve">Retorno real (solo home+draw, sin away)</w:t>
            </w:r>
          </w:p>
        </w:tc>
      </w:tr>
      <w:tr>
        <w:tc>
          <w:tcPr>
            <w:tcW w:type="dxa" w:w="3116"/>
            <w:tcMar>
              <w:top w:type="dxa" w:w="80"/>
              <w:left w:type="dxa" w:w="120"/>
              <w:bottom w:type="dxa" w:w="80"/>
              <w:right w:type="dxa" w:w="120"/>
            </w:tcMar>
            <w:vAlign w:val="center"/>
          </w:tcPr>
          <w:p>
            <w:r>
              <w:rPr>
                <w:color w:val="000000"/>
              </w:rPr>
              <w:t xml:space="preserve">Premier League (E0)</w:t>
            </w:r>
          </w:p>
        </w:tc>
        <w:tc>
          <w:tcPr>
            <w:tcW w:type="dxa" w:w="3116"/>
            <w:tcMar>
              <w:top w:type="dxa" w:w="80"/>
              <w:left w:type="dxa" w:w="120"/>
              <w:bottom w:type="dxa" w:w="80"/>
              <w:right w:type="dxa" w:w="120"/>
            </w:tcMar>
            <w:vAlign w:val="center"/>
          </w:tcPr>
          <w:p>
            <w:r>
              <w:rPr>
                <w:color w:val="000000"/>
              </w:rPr>
              <w:t xml:space="preserve">peor del grupo</w:t>
            </w:r>
          </w:p>
        </w:tc>
        <w:tc>
          <w:tcPr>
            <w:tcW w:type="dxa" w:w="3116"/>
            <w:tcMar>
              <w:top w:type="dxa" w:w="80"/>
              <w:left w:type="dxa" w:w="120"/>
              <w:bottom w:type="dxa" w:w="80"/>
              <w:right w:type="dxa" w:w="120"/>
            </w:tcMar>
            <w:vAlign w:val="center"/>
          </w:tcPr>
          <w:p>
            <w:r>
              <w:rPr>
                <w:color w:val="000000"/>
              </w:rPr>
              <w:t xml:space="preserve">-38.5%</w:t>
            </w:r>
          </w:p>
        </w:tc>
      </w:tr>
      <w:tr>
        <w:tc>
          <w:tcPr>
            <w:tcW w:type="dxa" w:w="3116"/>
            <w:shd w:fill="F2F2F2" w:color="auto" w:val="clear"/>
            <w:tcMar>
              <w:top w:type="dxa" w:w="80"/>
              <w:left w:type="dxa" w:w="120"/>
              <w:bottom w:type="dxa" w:w="80"/>
              <w:right w:type="dxa" w:w="120"/>
            </w:tcMar>
            <w:vAlign w:val="center"/>
          </w:tcPr>
          <w:p>
            <w:r>
              <w:rPr>
                <w:color w:val="000000"/>
              </w:rPr>
              <w:t xml:space="preserve">Eredivisie (N1)</w:t>
            </w:r>
          </w:p>
        </w:tc>
        <w:tc>
          <w:tcPr>
            <w:tcW w:type="dxa" w:w="3116"/>
            <w:shd w:fill="F2F2F2" w:color="auto" w:val="clear"/>
            <w:tcMar>
              <w:top w:type="dxa" w:w="80"/>
              <w:left w:type="dxa" w:w="120"/>
              <w:bottom w:type="dxa" w:w="80"/>
              <w:right w:type="dxa" w:w="120"/>
            </w:tcMar>
            <w:vAlign w:val="center"/>
          </w:tcPr>
          <w:p>
            <w:r>
              <w:rPr>
                <w:color w:val="000000"/>
              </w:rPr>
              <w:t xml:space="preserve">negativo</w:t>
            </w:r>
          </w:p>
        </w:tc>
        <w:tc>
          <w:tcPr>
            <w:tcW w:type="dxa" w:w="3116"/>
            <w:shd w:fill="F2F2F2" w:color="auto" w:val="clear"/>
            <w:tcMar>
              <w:top w:type="dxa" w:w="80"/>
              <w:left w:type="dxa" w:w="120"/>
              <w:bottom w:type="dxa" w:w="80"/>
              <w:right w:type="dxa" w:w="120"/>
            </w:tcMar>
            <w:vAlign w:val="center"/>
          </w:tcPr>
          <w:p>
            <w:r>
              <w:rPr>
                <w:color w:val="000000"/>
              </w:rPr>
              <w:t xml:space="preserve">-11.3%</w:t>
            </w:r>
          </w:p>
        </w:tc>
      </w:tr>
      <w:tr>
        <w:tc>
          <w:tcPr>
            <w:tcW w:type="dxa" w:w="3116"/>
            <w:tcMar>
              <w:top w:type="dxa" w:w="80"/>
              <w:left w:type="dxa" w:w="120"/>
              <w:bottom w:type="dxa" w:w="80"/>
              <w:right w:type="dxa" w:w="120"/>
            </w:tcMar>
            <w:vAlign w:val="center"/>
          </w:tcPr>
          <w:p>
            <w:r>
              <w:rPr>
                <w:color w:val="000000"/>
              </w:rPr>
              <w:t xml:space="preserve">Primeira Liga (P1)</w:t>
            </w:r>
          </w:p>
        </w:tc>
        <w:tc>
          <w:tcPr>
            <w:tcW w:type="dxa" w:w="3116"/>
            <w:tcMar>
              <w:top w:type="dxa" w:w="80"/>
              <w:left w:type="dxa" w:w="120"/>
              <w:bottom w:type="dxa" w:w="80"/>
              <w:right w:type="dxa" w:w="120"/>
            </w:tcMar>
            <w:vAlign w:val="center"/>
          </w:tcPr>
          <w:p>
            <w:r>
              <w:rPr>
                <w:color w:val="000000"/>
              </w:rPr>
              <w:t xml:space="preserve">negativo</w:t>
            </w:r>
          </w:p>
        </w:tc>
        <w:tc>
          <w:tcPr>
            <w:tcW w:type="dxa" w:w="3116"/>
            <w:tcMar>
              <w:top w:type="dxa" w:w="80"/>
              <w:left w:type="dxa" w:w="120"/>
              <w:bottom w:type="dxa" w:w="80"/>
              <w:right w:type="dxa" w:w="120"/>
            </w:tcMar>
            <w:vAlign w:val="center"/>
          </w:tcPr>
          <w:p>
            <w:r>
              <w:rPr>
                <w:color w:val="000000"/>
              </w:rPr>
              <w:t xml:space="preserve">-27.2%</w:t>
            </w:r>
          </w:p>
        </w:tc>
      </w:tr>
      <w:tr>
        <w:tc>
          <w:tcPr>
            <w:tcW w:type="dxa" w:w="3116"/>
            <w:shd w:fill="F2F2F2" w:color="auto" w:val="clear"/>
            <w:tcMar>
              <w:top w:type="dxa" w:w="80"/>
              <w:left w:type="dxa" w:w="120"/>
              <w:bottom w:type="dxa" w:w="80"/>
              <w:right w:type="dxa" w:w="120"/>
            </w:tcMar>
            <w:vAlign w:val="center"/>
          </w:tcPr>
          <w:p>
            <w:r>
              <w:rPr>
                <w:color w:val="000000"/>
              </w:rPr>
              <w:t xml:space="preserve">La Liga (SP1)</w:t>
            </w:r>
          </w:p>
        </w:tc>
        <w:tc>
          <w:tcPr>
            <w:tcW w:type="dxa" w:w="3116"/>
            <w:shd w:fill="F2F2F2" w:color="auto" w:val="clear"/>
            <w:tcMar>
              <w:top w:type="dxa" w:w="80"/>
              <w:left w:type="dxa" w:w="120"/>
              <w:bottom w:type="dxa" w:w="80"/>
              <w:right w:type="dxa" w:w="120"/>
            </w:tcMar>
            <w:vAlign w:val="center"/>
          </w:tcPr>
          <w:p>
            <w:r>
              <w:rPr>
                <w:color w:val="000000"/>
              </w:rPr>
              <w:t xml:space="preserve">negativo</w:t>
            </w:r>
          </w:p>
        </w:tc>
        <w:tc>
          <w:tcPr>
            <w:tcW w:type="dxa" w:w="3116"/>
            <w:shd w:fill="F2F2F2" w:color="auto" w:val="clear"/>
            <w:tcMar>
              <w:top w:type="dxa" w:w="80"/>
              <w:left w:type="dxa" w:w="120"/>
              <w:bottom w:type="dxa" w:w="80"/>
              <w:right w:type="dxa" w:w="120"/>
            </w:tcMar>
            <w:vAlign w:val="center"/>
          </w:tcPr>
          <w:p>
            <w:r>
              <w:rPr>
                <w:color w:val="000000"/>
              </w:rPr>
              <w:t xml:space="preserve">+14.5% (única rentable)</w:t>
            </w:r>
          </w:p>
        </w:tc>
      </w:tr>
    </w:tbl>
    <w:p>
      <w:pPr>
        <w:spacing w:after="160"/>
      </w:pPr>
      <w:r>
        <w:t xml:space="preserve">El sesgo estaba concentrado principalmente en las apuestas al visitante (brecha de +9.7 puntos entre acierto predicho y real), pero persistía incluso excluyéndolas — la calibración por deciles de probabilidad mostró un patrón irregular, no un sesgo simple y corregible con un solo factor multiplicativo.</w:t>
      </w:r>
    </w:p>
    <w:p>
      <w:pPr>
        <w:spacing w:after="160"/>
      </w:pPr>
      <w:r>
        <w:rPr>
          <w:b/>
          <w:bCs/>
        </w:rPr>
        <w:t xml:space="preserve">Conclusión sobre el modelo:</w:t>
      </w:r>
    </w:p>
    <w:p>
      <w:pPr>
        <w:spacing w:after="160"/>
      </w:pPr>
      <w:r>
        <w:t xml:space="preserve">No se recomienda su uso con dinero real en su forma actual. Un modelo basado solo en goles, sin xG ni contexto adicional, no alcanza para competir con el margen de la casa en estas 4 ligas.</w:t>
      </w:r>
    </w:p>
    <w:p>
      <w:pPr>
        <w:pStyle w:val="Heading1"/>
        <w:spacing w:after="150" w:before="300"/>
      </w:pPr>
      <w:r>
        <w:t xml:space="preserve">3. Búsqueda exploratoria de patrones de mercado</w:t>
      </w:r>
    </w:p>
    <w:p>
      <w:pPr>
        <w:spacing w:after="160"/>
      </w:pPr>
      <w:r>
        <w:t xml:space="preserve">Ante el resultado anterior, se cambió de enfoque: en vez de seguir refinando el modelo, se usó la base de datos para probar reglas de apuesta simples y directamente medibles contra las cuotas históricas, con la misma disciplina de validación (probar en train, confirmar en test 2025/26 antes de creer en cualquier hallazgo).</w:t>
      </w:r>
    </w:p>
    <w:p>
      <w:pPr>
        <w:pStyle w:val="Heading2"/>
        <w:spacing w:after="120" w:before="250"/>
      </w:pPr>
      <w:r>
        <w:t xml:space="preserve">3.1 Hipótesis probadas y resultado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300"/>
        <w:gridCol w:w="1850"/>
      </w:tblGrid>
      <w:tr>
        <w:trPr>
          <w:tblHeader/>
        </w:trPr>
        <w:tc>
          <w:tcPr>
            <w:tcW w:type="dxa" w:w="2900"/>
            <w:shd w:fill="1F3864" w:color="auto" w:val="clear"/>
            <w:tcMar>
              <w:top w:type="dxa" w:w="80"/>
              <w:left w:type="dxa" w:w="120"/>
              <w:bottom w:type="dxa" w:w="80"/>
              <w:right w:type="dxa" w:w="120"/>
            </w:tcMar>
            <w:vAlign w:val="center"/>
          </w:tcPr>
          <w:p>
            <w:r>
              <w:rPr>
                <w:b/>
                <w:bCs/>
                <w:color w:val="FFFFFF"/>
              </w:rPr>
              <w:t xml:space="preserve">Hipótesis</w:t>
            </w:r>
          </w:p>
        </w:tc>
        <w:tc>
          <w:tcPr>
            <w:tcW w:type="dxa" w:w="2300"/>
            <w:shd w:fill="1F3864" w:color="auto" w:val="clear"/>
            <w:tcMar>
              <w:top w:type="dxa" w:w="80"/>
              <w:left w:type="dxa" w:w="120"/>
              <w:bottom w:type="dxa" w:w="80"/>
              <w:right w:type="dxa" w:w="120"/>
            </w:tcMar>
            <w:vAlign w:val="center"/>
          </w:tcPr>
          <w:p>
            <w:r>
              <w:rPr>
                <w:b/>
                <w:bCs/>
                <w:color w:val="FFFFFF"/>
              </w:rPr>
              <w:t xml:space="preserve">Resultado en entrenamiento</w:t>
            </w:r>
          </w:p>
        </w:tc>
        <w:tc>
          <w:tcPr>
            <w:tcW w:type="dxa" w:w="2300"/>
            <w:shd w:fill="1F3864" w:color="auto" w:val="clear"/>
            <w:tcMar>
              <w:top w:type="dxa" w:w="80"/>
              <w:left w:type="dxa" w:w="120"/>
              <w:bottom w:type="dxa" w:w="80"/>
              <w:right w:type="dxa" w:w="120"/>
            </w:tcMar>
            <w:vAlign w:val="center"/>
          </w:tcPr>
          <w:p>
            <w:r>
              <w:rPr>
                <w:b/>
                <w:bCs/>
                <w:color w:val="FFFFFF"/>
              </w:rPr>
              <w:t xml:space="preserve">Resultado en test 2025/26</w:t>
            </w:r>
          </w:p>
        </w:tc>
        <w:tc>
          <w:tcPr>
            <w:tcW w:type="dxa" w:w="1850"/>
            <w:shd w:fill="1F3864" w:color="auto" w:val="clear"/>
            <w:tcMar>
              <w:top w:type="dxa" w:w="80"/>
              <w:left w:type="dxa" w:w="120"/>
              <w:bottom w:type="dxa" w:w="80"/>
              <w:right w:type="dxa" w:w="120"/>
            </w:tcMar>
            <w:vAlign w:val="center"/>
          </w:tcPr>
          <w:p>
            <w:r>
              <w:rPr>
                <w:b/>
                <w:bCs/>
                <w:color w:val="FFFFFF"/>
              </w:rPr>
              <w:t xml:space="preserve">Veredicto</w:t>
            </w:r>
          </w:p>
        </w:tc>
      </w:tr>
      <w:tr>
        <w:tc>
          <w:tcPr>
            <w:tcW w:type="dxa" w:w="2900"/>
            <w:tcMar>
              <w:top w:type="dxa" w:w="80"/>
              <w:left w:type="dxa" w:w="120"/>
              <w:bottom w:type="dxa" w:w="80"/>
              <w:right w:type="dxa" w:w="120"/>
            </w:tcMar>
            <w:vAlign w:val="center"/>
          </w:tcPr>
          <w:p>
            <w:r>
              <w:rPr>
                <w:color w:val="000000"/>
              </w:rPr>
              <w:t xml:space="preserve">Diferencia de posición en tabla (1X2)</w:t>
            </w:r>
          </w:p>
        </w:tc>
        <w:tc>
          <w:tcPr>
            <w:tcW w:type="dxa" w:w="2300"/>
            <w:tcMar>
              <w:top w:type="dxa" w:w="80"/>
              <w:left w:type="dxa" w:w="120"/>
              <w:bottom w:type="dxa" w:w="80"/>
              <w:right w:type="dxa" w:w="120"/>
            </w:tcMar>
            <w:vAlign w:val="center"/>
          </w:tcPr>
          <w:p>
            <w:r>
              <w:rPr>
                <w:color w:val="000000"/>
              </w:rPr>
              <w:t xml:space="preserve">Candidatos con ROI +5% a +34% en 4 combinaciones</w:t>
            </w:r>
          </w:p>
        </w:tc>
        <w:tc>
          <w:tcPr>
            <w:tcW w:type="dxa" w:w="2300"/>
            <w:tcMar>
              <w:top w:type="dxa" w:w="80"/>
              <w:left w:type="dxa" w:w="120"/>
              <w:bottom w:type="dxa" w:w="80"/>
              <w:right w:type="dxa" w:w="120"/>
            </w:tcMar>
            <w:vAlign w:val="center"/>
          </w:tcPr>
          <w:p>
            <w:r>
              <w:rPr>
                <w:color w:val="000000"/>
              </w:rPr>
              <w:t xml:space="preserve">Se revirtió a negativo en 3 de 4 ligas</w:t>
            </w:r>
          </w:p>
        </w:tc>
        <w:tc>
          <w:tcPr>
            <w:tcW w:type="dxa" w:w="1850"/>
            <w:tcMar>
              <w:top w:type="dxa" w:w="80"/>
              <w:left w:type="dxa" w:w="120"/>
              <w:bottom w:type="dxa" w:w="80"/>
              <w:right w:type="dxa" w:w="120"/>
            </w:tcMar>
            <w:vAlign w:val="center"/>
          </w:tcPr>
          <w:p>
            <w:r>
              <w:rPr>
                <w:color w:val="B22222"/>
              </w:rPr>
              <w:t xml:space="preserve">DESCARTADA</w:t>
            </w:r>
          </w:p>
        </w:tc>
      </w:tr>
      <w:tr>
        <w:tc>
          <w:tcPr>
            <w:tcW w:type="dxa" w:w="2900"/>
            <w:shd w:fill="F2F2F2" w:color="auto" w:val="clear"/>
            <w:tcMar>
              <w:top w:type="dxa" w:w="80"/>
              <w:left w:type="dxa" w:w="120"/>
              <w:bottom w:type="dxa" w:w="80"/>
              <w:right w:type="dxa" w:w="120"/>
            </w:tcMar>
            <w:vAlign w:val="center"/>
          </w:tcPr>
          <w:p>
            <w:r>
              <w:rPr>
                <w:color w:val="000000"/>
              </w:rPr>
              <w:t xml:space="preserve">Tiros a puerta (rolling 5 partidos) vs. Over/Under 2.5</w:t>
            </w:r>
          </w:p>
        </w:tc>
        <w:tc>
          <w:tcPr>
            <w:tcW w:type="dxa" w:w="2300"/>
            <w:shd w:fill="F2F2F2" w:color="auto" w:val="clear"/>
            <w:tcMar>
              <w:top w:type="dxa" w:w="80"/>
              <w:left w:type="dxa" w:w="120"/>
              <w:bottom w:type="dxa" w:w="80"/>
              <w:right w:type="dxa" w:w="120"/>
            </w:tcMar>
            <w:vAlign w:val="center"/>
          </w:tcPr>
          <w:p>
            <w:r>
              <w:rPr>
                <w:color w:val="000000"/>
              </w:rPr>
              <w:t xml:space="preserve">Sin señal consistente entre ligas</w:t>
            </w:r>
          </w:p>
        </w:tc>
        <w:tc>
          <w:tcPr>
            <w:tcW w:type="dxa" w:w="2300"/>
            <w:shd w:fill="F2F2F2" w:color="auto" w:val="clear"/>
            <w:tcMar>
              <w:top w:type="dxa" w:w="80"/>
              <w:left w:type="dxa" w:w="120"/>
              <w:bottom w:type="dxa" w:w="80"/>
              <w:right w:type="dxa" w:w="120"/>
            </w:tcMar>
            <w:vAlign w:val="center"/>
          </w:tcPr>
          <w:p>
            <w:r>
              <w:rPr>
                <w:color w:val="000000"/>
              </w:rPr>
              <w:t xml:space="preserve">No aplica (se descartó antes del test)</w:t>
            </w:r>
          </w:p>
        </w:tc>
        <w:tc>
          <w:tcPr>
            <w:tcW w:type="dxa" w:w="1850"/>
            <w:shd w:fill="F2F2F2" w:color="auto" w:val="clear"/>
            <w:tcMar>
              <w:top w:type="dxa" w:w="80"/>
              <w:left w:type="dxa" w:w="120"/>
              <w:bottom w:type="dxa" w:w="80"/>
              <w:right w:type="dxa" w:w="120"/>
            </w:tcMar>
            <w:vAlign w:val="center"/>
          </w:tcPr>
          <w:p>
            <w:r>
              <w:rPr>
                <w:color w:val="B22222"/>
              </w:rPr>
              <w:t xml:space="preserve">DESCARTADA</w:t>
            </w:r>
          </w:p>
        </w:tc>
      </w:tr>
      <w:tr>
        <w:tc>
          <w:tcPr>
            <w:tcW w:type="dxa" w:w="2900"/>
            <w:tcMar>
              <w:top w:type="dxa" w:w="80"/>
              <w:left w:type="dxa" w:w="120"/>
              <w:bottom w:type="dxa" w:w="80"/>
              <w:right w:type="dxa" w:w="120"/>
            </w:tcMar>
            <w:vAlign w:val="center"/>
          </w:tcPr>
          <w:p>
            <w:r>
              <w:rPr>
                <w:color w:val="000000"/>
              </w:rPr>
              <w:t xml:space="preserve">Goles marcados/recibidos (rolling 5) vs. Over/Under 2.5</w:t>
            </w:r>
          </w:p>
        </w:tc>
        <w:tc>
          <w:tcPr>
            <w:tcW w:type="dxa" w:w="2300"/>
            <w:tcMar>
              <w:top w:type="dxa" w:w="80"/>
              <w:left w:type="dxa" w:w="120"/>
              <w:bottom w:type="dxa" w:w="80"/>
              <w:right w:type="dxa" w:w="120"/>
            </w:tcMar>
            <w:vAlign w:val="center"/>
          </w:tcPr>
          <w:p>
            <w:r>
              <w:rPr>
                <w:color w:val="000000"/>
              </w:rPr>
              <w:t xml:space="preserve">Sin señal consistente entre ligas</w:t>
            </w:r>
          </w:p>
        </w:tc>
        <w:tc>
          <w:tcPr>
            <w:tcW w:type="dxa" w:w="2300"/>
            <w:tcMar>
              <w:top w:type="dxa" w:w="80"/>
              <w:left w:type="dxa" w:w="120"/>
              <w:bottom w:type="dxa" w:w="80"/>
              <w:right w:type="dxa" w:w="120"/>
            </w:tcMar>
            <w:vAlign w:val="center"/>
          </w:tcPr>
          <w:p>
            <w:r>
              <w:rPr>
                <w:color w:val="000000"/>
              </w:rPr>
              <w:t xml:space="preserve">No aplica</w:t>
            </w:r>
          </w:p>
        </w:tc>
        <w:tc>
          <w:tcPr>
            <w:tcW w:type="dxa" w:w="1850"/>
            <w:tcMar>
              <w:top w:type="dxa" w:w="80"/>
              <w:left w:type="dxa" w:w="120"/>
              <w:bottom w:type="dxa" w:w="80"/>
              <w:right w:type="dxa" w:w="120"/>
            </w:tcMar>
            <w:vAlign w:val="center"/>
          </w:tcPr>
          <w:p>
            <w:r>
              <w:rPr>
                <w:color w:val="B22222"/>
              </w:rPr>
              <w:t xml:space="preserve">DESCARTADA</w:t>
            </w:r>
          </w:p>
        </w:tc>
      </w:tr>
      <w:tr>
        <w:tc>
          <w:tcPr>
            <w:tcW w:type="dxa" w:w="2900"/>
            <w:shd w:fill="F2F2F2" w:color="auto" w:val="clear"/>
            <w:tcMar>
              <w:top w:type="dxa" w:w="80"/>
              <w:left w:type="dxa" w:w="120"/>
              <w:bottom w:type="dxa" w:w="80"/>
              <w:right w:type="dxa" w:w="120"/>
            </w:tcMar>
            <w:vAlign w:val="center"/>
          </w:tcPr>
          <w:p>
            <w:r>
              <w:rPr>
                <w:color w:val="000000"/>
              </w:rPr>
              <w:t xml:space="preserve">Desacuerdo proxy de goles vs. línea de hándicap asiático</w:t>
            </w:r>
          </w:p>
        </w:tc>
        <w:tc>
          <w:tcPr>
            <w:tcW w:type="dxa" w:w="2300"/>
            <w:shd w:fill="F2F2F2" w:color="auto" w:val="clear"/>
            <w:tcMar>
              <w:top w:type="dxa" w:w="80"/>
              <w:left w:type="dxa" w:w="120"/>
              <w:bottom w:type="dxa" w:w="80"/>
              <w:right w:type="dxa" w:w="120"/>
            </w:tcMar>
            <w:vAlign w:val="center"/>
          </w:tcPr>
          <w:p>
            <w:r>
              <w:rPr>
                <w:color w:val="000000"/>
              </w:rPr>
              <w:t xml:space="preserve">3 de 4 ligas con ROI +4.8% a +7.3%</w:t>
            </w:r>
          </w:p>
        </w:tc>
        <w:tc>
          <w:tcPr>
            <w:tcW w:type="dxa" w:w="2300"/>
            <w:shd w:fill="F2F2F2" w:color="auto" w:val="clear"/>
            <w:tcMar>
              <w:top w:type="dxa" w:w="80"/>
              <w:left w:type="dxa" w:w="120"/>
              <w:bottom w:type="dxa" w:w="80"/>
              <w:right w:type="dxa" w:w="120"/>
            </w:tcMar>
            <w:vAlign w:val="center"/>
          </w:tcPr>
          <w:p>
            <w:r>
              <w:rPr>
                <w:color w:val="000000"/>
              </w:rPr>
              <w:t xml:space="preserve">Se revirtió a -15.12% consolidado</w:t>
            </w:r>
          </w:p>
        </w:tc>
        <w:tc>
          <w:tcPr>
            <w:tcW w:type="dxa" w:w="1850"/>
            <w:shd w:fill="F2F2F2" w:color="auto" w:val="clear"/>
            <w:tcMar>
              <w:top w:type="dxa" w:w="80"/>
              <w:left w:type="dxa" w:w="120"/>
              <w:bottom w:type="dxa" w:w="80"/>
              <w:right w:type="dxa" w:w="120"/>
            </w:tcMar>
            <w:vAlign w:val="center"/>
          </w:tcPr>
          <w:p>
            <w:r>
              <w:rPr>
                <w:color w:val="B22222"/>
              </w:rPr>
              <w:t xml:space="preserve">DESCARTADA</w:t>
            </w:r>
          </w:p>
        </w:tc>
      </w:tr>
    </w:tbl>
    <w:p>
      <w:pPr>
        <w:pStyle w:val="Heading2"/>
        <w:spacing w:after="120" w:before="250"/>
      </w:pPr>
      <w:r>
        <w:t xml:space="preserve">3.2 El caso más instructivo: Premier League, visitante vs. local muy superior</w:t>
      </w:r>
    </w:p>
    <w:p>
      <w:pPr>
        <w:spacing w:after="160"/>
      </w:pPr>
      <w:r>
        <w:t xml:space="preserve">Esta regla merece mención aparte porque pasó su primera prueba out-of-sample (ROI +6.91% en Premier League, n=55) antes de fallar la prueba de generalización: al aplicar la misma regla a las otras 3 ligas contra 2025/26, el resultado combinado fue -25.54% (n=125). El diagnóstico mostró que el resultado positivo de Premier League dependía en gran parte de 3-4 sorpresas grandes específicas (visitantes ganando a cuotas muy altas), no de una ventaja estructural repetible.</w:t>
      </w:r>
    </w:p>
    <w:p>
      <w:pPr>
        <w:pStyle w:val="Heading1"/>
        <w:spacing w:after="150" w:before="300"/>
      </w:pPr>
      <w:r>
        <w:t xml:space="preserve">4. Lección metodológica principal de esta fase</w:t>
      </w:r>
    </w:p>
    <w:p>
      <w:pPr>
        <w:pStyle w:val="ListParagraph"/>
        <w:numPr>
          <w:ilvl w:val="0"/>
          <w:numId w:val="1"/>
        </w:numPr>
        <w:spacing w:after="100"/>
      </w:pPr>
      <w:r>
        <w:t xml:space="preserve">Ninguna de las 4 hipótesis exploratorias sobrevivió la prueba out-of-sample, pese a que 2 de ellas mostraron señales aparentemente sólidas en entrenamiento (consistentes entre temporadas, sin depender de un solo equipo o partido).</w:t>
      </w:r>
    </w:p>
    <w:p>
      <w:pPr>
        <w:pStyle w:val="ListParagraph"/>
        <w:numPr>
          <w:ilvl w:val="0"/>
          <w:numId w:val="1"/>
        </w:numPr>
        <w:spacing w:after="100"/>
      </w:pPr>
      <w:r>
        <w:t xml:space="preserve">Esto confirma el valor del protocolo de validación exigido desde la Fase 1: sin la disciplina de probar contra 2025/26 antes de creer en un hallazgo, se habría apostado dinero real siguiendo patrones que resultaron ser ruido.</w:t>
      </w:r>
    </w:p>
    <w:p>
      <w:pPr>
        <w:pStyle w:val="ListParagraph"/>
        <w:numPr>
          <w:ilvl w:val="0"/>
          <w:numId w:val="1"/>
        </w:numPr>
        <w:spacing w:after="100"/>
      </w:pPr>
      <w:r>
        <w:t xml:space="preserve">El tamaño de muestra en el set de test (9 a 66 apuestas por combinación) sigue siendo insuficiente para conclusiones firmes en ningún sentido — ni para confirmar ni para descartar con total certeza.</w:t>
      </w:r>
    </w:p>
    <w:p>
      <w:pPr>
        <w:pStyle w:val="ListParagraph"/>
        <w:numPr>
          <w:ilvl w:val="0"/>
          <w:numId w:val="1"/>
        </w:numPr>
        <w:spacing w:after="100"/>
      </w:pPr>
      <w:r>
        <w:t xml:space="preserve">Se corrigieron 2 bugs reales en el camino: la interpretación del signo en el ranking de defensa del modelo Dixon-Coles, y la lógica de liquidación de líneas de hándicap asiático fraccionarias (-0.75, -0.25), validada con 11 casos de prueba antes de usarla.</w:t>
      </w:r>
    </w:p>
    <w:p>
      <w:pPr>
        <w:pStyle w:val="Heading1"/>
        <w:spacing w:after="150" w:before="300"/>
      </w:pPr>
      <w:r>
        <w:t xml:space="preserve">5. Próximos pasos</w:t>
      </w:r>
    </w:p>
    <w:p>
      <w:pPr>
        <w:pStyle w:val="ListParagraph"/>
        <w:numPr>
          <w:ilvl w:val="0"/>
          <w:numId w:val="1"/>
        </w:numPr>
        <w:spacing w:after="100"/>
      </w:pPr>
      <w:r>
        <w:t xml:space="preserve">Explorar variables aún no probadas: córners, tarjetas, densidad de calendario (partidos jugados en los últimos N días), rachas de local/visitante específicas.</w:t>
      </w:r>
    </w:p>
    <w:p>
      <w:pPr>
        <w:pStyle w:val="ListParagraph"/>
        <w:numPr>
          <w:ilvl w:val="0"/>
          <w:numId w:val="1"/>
        </w:numPr>
        <w:spacing w:after="100"/>
      </w:pPr>
      <w:r>
        <w:t xml:space="preserve">Si se sigue sin encontrar señal, reconsiderar en serio la inversión en conseguir datos de xG/xA (ya sea vía scraping desde un entorno sin restricciones, o una fuente paga), dado que 5 intentos distintos con datos simples no encontraron edge sostenible.</w:t>
      </w:r>
    </w:p>
    <w:p>
      <w:pPr>
        <w:pStyle w:val="ListParagraph"/>
        <w:numPr>
          <w:ilvl w:val="0"/>
          <w:numId w:val="1"/>
        </w:numPr>
        <w:spacing w:after="100"/>
      </w:pPr>
      <w:r>
        <w:t xml:space="preserve">Mantener el registro de TODAS las hipótesis probadas (no solo las prometedoras) para poder evaluar honestamente, a futuro, cuántas de cuántas funcionaron — y evitar el sesgo de reportar solo los éxitos.</w:t>
      </w:r>
    </w:p>
    <w:p>
      <w:pPr>
        <w:pStyle w:val="ListParagraph"/>
        <w:numPr>
          <w:ilvl w:val="0"/>
          <w:numId w:val="1"/>
        </w:numPr>
        <w:spacing w:after="100"/>
      </w:pPr>
      <w:r>
        <w:t xml:space="preserve">Seguir acumulando datos de 2025/26 y temporadas futuras para que las pruebas out-of-sample tengan más volumen y sean más concluyentes.</w:t>
      </w:r>
    </w:p>
    <w:p>
      <w:pPr>
        <w:pBdr>
          <w:bottom w:val="single" w:color="999999" w:sz="6" w:space="1"/>
        </w:pBdr>
        <w:spacing w:after="200"/>
      </w:pPr>
    </w:p>
    <w:p>
      <w:r>
        <w:rPr>
          <w:i/>
          <w:iCs/>
          <w:color w:val="666666"/>
        </w:rPr>
        <w:t xml:space="preserve">Informe generado al cierre de la fase de backtest real y búsqueda exploratoria. El modelo Dixon-Coles queda descartado para uso con dinero real en su forma actual; ninguna de las 4 reglas de mercado probadas mostró edge sostenible out-of-sample.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50"/>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2026-08-06T21:58:03.145Z</dcterms:created>
  <dcterms:modified xsi:type="dcterms:W3CDTF">2026-08-06T21:58:03.161Z</dcterms:modified>
</cp:coreProperties>
</file>

<file path=docProps/custom.xml><?xml version="1.0" encoding="utf-8"?>
<Properties xmlns="http://schemas.openxmlformats.org/officeDocument/2006/custom-properties" xmlns:vt="http://schemas.openxmlformats.org/officeDocument/2006/docPropsVTypes"/>
</file>