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A4A4A"/>
          <w:sz w:val="22"/>
          <w:szCs w:val="22"/>
        </w:rPr>
        <w:t xml:space="preserve">THE NARRATIVE STACK</w:t>
      </w:r>
    </w:p>
    <w:p>
      <w:pPr>
        <w:spacing w:after="60"/>
      </w:pPr>
      <w:r>
        <w:rPr>
          <w:b/>
          <w:bCs/>
          <w:color w:val="183048"/>
          <w:sz w:val="40"/>
          <w:szCs w:val="40"/>
        </w:rPr>
        <w:t xml:space="preserve">Assessment to Booking: The Funnel Workflow</w:t>
      </w:r>
    </w:p>
    <w:p>
      <w:pPr>
        <w:spacing w:after="160"/>
      </w:pPr>
      <w:r>
        <w:rPr>
          <w:i/>
          <w:iCs/>
          <w:color w:val="4A4A4A"/>
          <w:sz w:val="22"/>
          <w:szCs w:val="22"/>
        </w:rPr>
        <w:t xml:space="preserve">V1  ·  The one accurate reference for the live path, doorway to booked conversation</w:t>
      </w:r>
    </w:p>
    <w:p>
      <w:pPr>
        <w:pBdr>
          <w:bottom w:val="single" w:color="FF7559"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1F4" w:val="clear"/>
            <w:tcMar>
              <w:top w:type="dxa" w:w="80"/>
              <w:left w:type="dxa" w:w="120"/>
              <w:bottom w:type="dxa" w:w="80"/>
              <w:right w:type="dxa" w:w="120"/>
            </w:tcMar>
          </w:tcPr>
          <w:p>
            <w:pPr>
              <w:spacing w:after="140" w:line="276"/>
            </w:pPr>
            <w:r>
              <w:rPr>
                <w:b/>
                <w:bCs/>
                <w:color w:val="183048"/>
              </w:rPr>
              <w:t xml:space="preserve">WHAT IT 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The single accurate reference for the narrativestack.ai funnel: the live path a visitor travels from the doorway to a booked conversation, with every routing parameter, tag, gate, and version citation reconciled in one place.</w:t>
            </w:r>
          </w:p>
        </w:tc>
      </w:tr>
      <w:tr>
        <w:tc>
          <w:tcPr>
            <w:tcW w:type="dxa" w:w="2600"/>
            <w:tcBorders>
              <w:top w:val="single" w:color="CCCCCC" w:sz="1"/>
              <w:left w:val="single" w:color="CCCCCC" w:sz="1"/>
              <w:bottom w:val="single" w:color="CCCCCC" w:sz="1"/>
              <w:right w:val="single" w:color="CCCCCC" w:sz="1"/>
            </w:tcBorders>
            <w:shd w:fill="EEF1F4" w:val="clear"/>
            <w:tcMar>
              <w:top w:type="dxa" w:w="80"/>
              <w:left w:type="dxa" w:w="120"/>
              <w:bottom w:type="dxa" w:w="80"/>
              <w:right w:type="dxa" w:w="120"/>
            </w:tcMar>
          </w:tcPr>
          <w:p>
            <w:pPr>
              <w:spacing w:after="140" w:line="276"/>
            </w:pPr>
            <w:r>
              <w:rPr>
                <w:b/>
                <w:bCs/>
                <w:color w:val="183048"/>
              </w:rPr>
              <w:t xml:space="preserve">PROJECT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Products &amp; Services (the go-to-market work for The Narrative Edge)</w:t>
            </w:r>
          </w:p>
        </w:tc>
      </w:tr>
      <w:tr>
        <w:tc>
          <w:tcPr>
            <w:tcW w:type="dxa" w:w="2600"/>
            <w:tcBorders>
              <w:top w:val="single" w:color="CCCCCC" w:sz="1"/>
              <w:left w:val="single" w:color="CCCCCC" w:sz="1"/>
              <w:bottom w:val="single" w:color="CCCCCC" w:sz="1"/>
              <w:right w:val="single" w:color="CCCCCC" w:sz="1"/>
            </w:tcBorders>
            <w:shd w:fill="EEF1F4" w:val="clear"/>
            <w:tcMar>
              <w:top w:type="dxa" w:w="80"/>
              <w:left w:type="dxa" w:w="120"/>
              <w:bottom w:type="dxa" w:w="80"/>
              <w:right w:type="dxa" w:w="120"/>
            </w:tcMar>
          </w:tcPr>
          <w:p>
            <w:pPr>
              <w:spacing w:after="140" w:line="276"/>
            </w:pPr>
            <w:r>
              <w:rPr>
                <w:b/>
                <w:bCs/>
                <w:color w:val="183048"/>
              </w:rPr>
              <w:t xml:space="preserve">WORKSTREAM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Funnel and assessment workflow (reference / build)</w:t>
            </w:r>
          </w:p>
        </w:tc>
      </w:tr>
      <w:tr>
        <w:tc>
          <w:tcPr>
            <w:tcW w:type="dxa" w:w="2600"/>
            <w:tcBorders>
              <w:top w:val="single" w:color="CCCCCC" w:sz="1"/>
              <w:left w:val="single" w:color="CCCCCC" w:sz="1"/>
              <w:bottom w:val="single" w:color="CCCCCC" w:sz="1"/>
              <w:right w:val="single" w:color="CCCCCC" w:sz="1"/>
            </w:tcBorders>
            <w:shd w:fill="EEF1F4" w:val="clear"/>
            <w:tcMar>
              <w:top w:type="dxa" w:w="80"/>
              <w:left w:type="dxa" w:w="120"/>
              <w:bottom w:type="dxa" w:w="80"/>
              <w:right w:type="dxa" w:w="120"/>
            </w:tcMar>
          </w:tcPr>
          <w:p>
            <w:pPr>
              <w:spacing w:after="140" w:line="276"/>
            </w:pPr>
            <w:r>
              <w:rPr>
                <w:b/>
                <w:bCs/>
                <w:color w:val="183048"/>
              </w:rPr>
              <w:t xml:space="preserve">FUNNEL TIER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Reference (not a market-facing asset)</w:t>
            </w:r>
          </w:p>
        </w:tc>
      </w:tr>
      <w:tr>
        <w:tc>
          <w:tcPr>
            <w:tcW w:type="dxa" w:w="2600"/>
            <w:tcBorders>
              <w:top w:val="single" w:color="CCCCCC" w:sz="1"/>
              <w:left w:val="single" w:color="CCCCCC" w:sz="1"/>
              <w:bottom w:val="single" w:color="CCCCCC" w:sz="1"/>
              <w:right w:val="single" w:color="CCCCCC" w:sz="1"/>
            </w:tcBorders>
            <w:shd w:fill="EEF1F4" w:val="clear"/>
            <w:tcMar>
              <w:top w:type="dxa" w:w="80"/>
              <w:left w:type="dxa" w:w="120"/>
              <w:bottom w:type="dxa" w:w="80"/>
              <w:right w:type="dxa" w:w="120"/>
            </w:tcMar>
          </w:tcPr>
          <w:p>
            <w:pPr>
              <w:spacing w:after="140" w:line="276"/>
            </w:pPr>
            <w:r>
              <w:rPr>
                <w:b/>
                <w:bCs/>
                <w:color w:val="183048"/>
              </w:rPr>
              <w:t xml:space="preserve">CONNECTS TO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The Complete Offering Architecture V3; The Assessment Routing Spec V2; The Narrative Stack, From Quadrant to Offering V2; the Project Map</w:t>
            </w:r>
          </w:p>
        </w:tc>
      </w:tr>
      <w:tr>
        <w:tc>
          <w:tcPr>
            <w:tcW w:type="dxa" w:w="2600"/>
            <w:tcBorders>
              <w:top w:val="single" w:color="CCCCCC" w:sz="1"/>
              <w:left w:val="single" w:color="CCCCCC" w:sz="1"/>
              <w:bottom w:val="single" w:color="CCCCCC" w:sz="1"/>
              <w:right w:val="single" w:color="CCCCCC" w:sz="1"/>
            </w:tcBorders>
            <w:shd w:fill="EEF1F4" w:val="clear"/>
            <w:tcMar>
              <w:top w:type="dxa" w:w="80"/>
              <w:left w:type="dxa" w:w="120"/>
              <w:bottom w:type="dxa" w:w="80"/>
              <w:right w:type="dxa" w:w="120"/>
            </w:tcMar>
          </w:tcPr>
          <w:p>
            <w:pPr>
              <w:spacing w:after="140" w:line="276"/>
            </w:pPr>
            <w:r>
              <w:rPr>
                <w:b/>
                <w:bCs/>
                <w:color w:val="183048"/>
              </w:rPr>
              <w:t xml:space="preserve">PORTABILITY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Portable. Download from here, then upload into the target project.</w:t>
            </w:r>
          </w:p>
        </w:tc>
      </w:tr>
      <w:tr>
        <w:tc>
          <w:tcPr>
            <w:tcW w:type="dxa" w:w="2600"/>
            <w:tcBorders>
              <w:top w:val="single" w:color="CCCCCC" w:sz="1"/>
              <w:left w:val="single" w:color="CCCCCC" w:sz="1"/>
              <w:bottom w:val="single" w:color="CCCCCC" w:sz="1"/>
              <w:right w:val="single" w:color="CCCCCC" w:sz="1"/>
            </w:tcBorders>
            <w:shd w:fill="EEF1F4" w:val="clear"/>
            <w:tcMar>
              <w:top w:type="dxa" w:w="80"/>
              <w:left w:type="dxa" w:w="120"/>
              <w:bottom w:type="dxa" w:w="80"/>
              <w:right w:type="dxa" w:w="120"/>
            </w:tcMar>
          </w:tcPr>
          <w:p>
            <w:pPr>
              <w:spacing w:after="140" w:line="276"/>
            </w:pPr>
            <w:r>
              <w:rPr>
                <w:b/>
                <w:bCs/>
                <w:color w:val="183048"/>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V1</w:t>
            </w:r>
          </w:p>
        </w:tc>
      </w:tr>
      <w:tr>
        <w:tc>
          <w:tcPr>
            <w:tcW w:type="dxa" w:w="2600"/>
            <w:tcBorders>
              <w:top w:val="single" w:color="CCCCCC" w:sz="1"/>
              <w:left w:val="single" w:color="CCCCCC" w:sz="1"/>
              <w:bottom w:val="single" w:color="CCCCCC" w:sz="1"/>
              <w:right w:val="single" w:color="CCCCCC" w:sz="1"/>
            </w:tcBorders>
            <w:shd w:fill="EEF1F4" w:val="clear"/>
            <w:tcMar>
              <w:top w:type="dxa" w:w="80"/>
              <w:left w:type="dxa" w:w="120"/>
              <w:bottom w:type="dxa" w:w="80"/>
              <w:right w:type="dxa" w:w="120"/>
            </w:tcMar>
          </w:tcPr>
          <w:p>
            <w:pPr>
              <w:spacing w:after="140" w:line="276"/>
            </w:pPr>
            <w:r>
              <w:rPr>
                <w:b/>
                <w:bCs/>
                <w:color w:val="183048"/>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June 10, 2026</w:t>
            </w:r>
          </w:p>
        </w:tc>
      </w:tr>
    </w:tbl>
    <w:p>
      <w:pPr>
        <w:spacing w:after="160"/>
      </w:pPr>
    </w:p>
    <w:p>
      <w:pPr>
        <w:spacing w:after="140" w:line="276"/>
      </w:pPr>
      <w:r>
        <w:t xml:space="preserve">This document consolidates three build threads into one path and reconciles where they cited versions inconsistently. It does not replace the three canonical documents. It connects to them, the way the project rules require.</w:t>
      </w:r>
    </w:p>
    <w:p>
      <w:pPr>
        <w:pStyle w:val="Heading1"/>
      </w:pPr>
      <w:r>
        <w:t xml:space="preserve">The frame, and the version correction</w:t>
      </w:r>
    </w:p>
    <w:p>
      <w:pPr>
        <w:spacing w:after="140" w:line="276"/>
      </w:pPr>
      <w:r>
        <w:t xml:space="preserve">The Project Map is the authority on versions. The three canonical documents are siblings. None nests inside another. Each version number counts that file's own revisions, and a higher number is not seniority.</w:t>
      </w:r>
    </w:p>
    <w:p>
      <w:pPr>
        <w:pStyle w:val="ListParagraph"/>
        <w:numPr>
          <w:ilvl w:val="0"/>
          <w:numId w:val="2"/>
        </w:numPr>
        <w:spacing w:after="80" w:line="276"/>
      </w:pPr>
      <w:r>
        <w:rPr>
          <w:b/>
          <w:bCs/>
        </w:rPr>
        <w:t xml:space="preserve">The Narrative Stack, From Quadrant to Offering: </w:t>
      </w:r>
      <w:r>
        <w:t xml:space="preserve">V2. The method.</w:t>
      </w:r>
    </w:p>
    <w:p>
      <w:pPr>
        <w:pStyle w:val="ListParagraph"/>
        <w:numPr>
          <w:ilvl w:val="0"/>
          <w:numId w:val="2"/>
        </w:numPr>
        <w:spacing w:after="80" w:line="276"/>
      </w:pPr>
      <w:r>
        <w:rPr>
          <w:b/>
          <w:bCs/>
        </w:rPr>
        <w:t xml:space="preserve">The Complete Offering Architecture: </w:t>
      </w:r>
      <w:r>
        <w:t xml:space="preserve">V3. The business. V1 and V2 are archived and superseded.</w:t>
      </w:r>
    </w:p>
    <w:p>
      <w:pPr>
        <w:pStyle w:val="ListParagraph"/>
        <w:numPr>
          <w:ilvl w:val="0"/>
          <w:numId w:val="2"/>
        </w:numPr>
        <w:spacing w:after="80" w:line="276"/>
      </w:pPr>
      <w:r>
        <w:rPr>
          <w:b/>
          <w:bCs/>
        </w:rPr>
        <w:t xml:space="preserve">The Assessment Routing Spec: </w:t>
      </w:r>
      <w:r>
        <w:t xml:space="preserve">V2. The build manual for the embedded assessment.</w:t>
      </w:r>
    </w:p>
    <w:p>
      <w:pPr>
        <w:spacing w:after="140" w:line="276"/>
      </w:pPr>
      <w:r>
        <w:rPr>
          <w:color w:val="183048"/>
        </w:rPr>
        <w:t xml:space="preserve">The correction: the Offering Architecture is at V3. There is no V4. The landing-page blueprint that cited “Offering Architecture V4” names a version that does not exist. Read every such reference as V3. The five-zone model is identical across all three threads, so the spine held even where the citation slipped.</w:t>
      </w:r>
    </w:p>
    <w:p>
      <w:pPr>
        <w:pStyle w:val="Heading1"/>
      </w:pPr>
      <w:r>
        <w:t xml:space="preserve">The end-to-end path</w:t>
      </w:r>
    </w:p>
    <w:p>
      <w:pPr>
        <w:pStyle w:val="Heading2"/>
      </w:pPr>
      <w:r>
        <w:t xml:space="preserve">1. Entry</w:t>
      </w:r>
    </w:p>
    <w:p>
      <w:pPr>
        <w:spacing w:after="140" w:line="276"/>
      </w:pPr>
      <w:r>
        <w:t xml:space="preserve">drrodberger.com is the doorway and the person. narrativestack.ai is the workshop. A single cross-link frames them as one staircase, never as two businesses. The landing page flows down to one repeated call to action: Take the Quick Leadership Assessment. Pricing, CultureCon, and any named client relationship stay off the page. The Field Guide subpage and the assessment email capture all feed one Kajabi waitlist.</w:t>
      </w:r>
    </w:p>
    <w:p>
      <w:pPr>
        <w:pStyle w:val="Heading2"/>
      </w:pPr>
      <w:r>
        <w:t xml:space="preserve">2. The hinge: the Quick Leadership Assessment</w:t>
      </w:r>
    </w:p>
    <w:p>
      <w:pPr>
        <w:spacing w:after="140" w:line="276"/>
      </w:pPr>
      <w:r>
        <w:t xml:space="preserve">The assessment is the single conversion point. It fires three routing signals, not one.</w:t>
      </w:r>
    </w:p>
    <w:p>
      <w:pPr>
        <w:pStyle w:val="ListParagraph"/>
        <w:numPr>
          <w:ilvl w:val="0"/>
          <w:numId w:val="2"/>
        </w:numPr>
        <w:spacing w:after="80" w:line="276"/>
      </w:pPr>
      <w:r>
        <w:rPr>
          <w:b/>
          <w:bCs/>
        </w:rPr>
        <w:t xml:space="preserve">Intent. </w:t>
      </w:r>
      <w:r>
        <w:t xml:space="preserve">The entry fork, self versus organization, is the first screen and the first signal.</w:t>
      </w:r>
    </w:p>
    <w:p>
      <w:pPr>
        <w:pStyle w:val="ListParagraph"/>
        <w:numPr>
          <w:ilvl w:val="0"/>
          <w:numId w:val="2"/>
        </w:numPr>
        <w:spacing w:after="80" w:line="276"/>
      </w:pPr>
      <w:r>
        <w:rPr>
          <w:b/>
          <w:bCs/>
        </w:rPr>
        <w:t xml:space="preserve">Zone. </w:t>
      </w:r>
      <w:r>
        <w:t xml:space="preserve">The score, summed out of 60 across the Origin, Vision, Values, and Transformation stories plus behavioral and impact items.</w:t>
      </w:r>
    </w:p>
    <w:p>
      <w:pPr>
        <w:pStyle w:val="ListParagraph"/>
        <w:numPr>
          <w:ilvl w:val="0"/>
          <w:numId w:val="2"/>
        </w:numPr>
        <w:spacing w:after="80" w:line="276"/>
      </w:pPr>
      <w:r>
        <w:rPr>
          <w:b/>
          <w:bCs/>
        </w:rPr>
        <w:t xml:space="preserve">Capacity. </w:t>
      </w:r>
      <w:r>
        <w:t xml:space="preserve">Inferred from role, organization size, and timeframe. Held as a separate axis. Never asked as budget on a free instrument.</w:t>
      </w:r>
    </w:p>
    <w:p>
      <w:pPr>
        <w:spacing w:after="140" w:line="276"/>
      </w:pPr>
      <w:r>
        <w:t xml:space="preserve">The five Knockout questions stay sealed inside Source and never surface here. Email capture gates the result. The free top-of-funnel face of this is the Story Impact Audit, which adds the results staircase, teaching the floors-and-pillars architecture before any zone reveal, and the authorship pie backed by a linked evidence strip.</w:t>
      </w:r>
    </w:p>
    <w:p>
      <w:pPr>
        <w:pStyle w:val="Heading2"/>
      </w:pPr>
      <w:r>
        <w:t xml:space="preserve">3. The five zones</w:t>
      </w:r>
    </w:p>
    <w:p>
      <w:pPr>
        <w:spacing w:after="140" w:line="276"/>
      </w:pPr>
      <w:r>
        <w:t xml:space="preserve">The score thresholds into five bands, locked in Assessment Routing Spec V2, Sections Five and Six. Zone names run behind the scenes everywhere. Audience-facing labels adapt the copy, and Next-Gen keeps Character-to-Author language on the same five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183048" w:val="clear"/>
            <w:tcMar>
              <w:top w:type="dxa" w:w="80"/>
              <w:left w:type="dxa" w:w="120"/>
              <w:bottom w:type="dxa" w:w="80"/>
              <w:right w:type="dxa" w:w="120"/>
            </w:tcMar>
          </w:tcPr>
          <w:p>
            <w:pPr>
              <w:spacing w:after="140" w:line="276"/>
            </w:pPr>
            <w:r>
              <w:rPr>
                <w:b/>
                <w:bCs/>
                <w:color w:val="FFFFFF"/>
              </w:rPr>
              <w:t xml:space="preserve">Score / 60</w:t>
            </w:r>
          </w:p>
        </w:tc>
        <w:tc>
          <w:tcPr>
            <w:tcW w:type="dxa" w:w="2000"/>
            <w:tcBorders>
              <w:top w:val="single" w:color="CCCCCC" w:sz="1"/>
              <w:left w:val="single" w:color="CCCCCC" w:sz="1"/>
              <w:bottom w:val="single" w:color="CCCCCC" w:sz="1"/>
              <w:right w:val="single" w:color="CCCCCC" w:sz="1"/>
            </w:tcBorders>
            <w:shd w:fill="183048" w:val="clear"/>
            <w:tcMar>
              <w:top w:type="dxa" w:w="80"/>
              <w:left w:type="dxa" w:w="120"/>
              <w:bottom w:type="dxa" w:w="80"/>
              <w:right w:type="dxa" w:w="120"/>
            </w:tcMar>
          </w:tcPr>
          <w:p>
            <w:pPr>
              <w:spacing w:after="140" w:line="276"/>
            </w:pPr>
            <w:r>
              <w:rPr>
                <w:b/>
                <w:bCs/>
                <w:color w:val="FFFFFF"/>
              </w:rPr>
              <w:t xml:space="preserve">Zone</w:t>
            </w:r>
          </w:p>
        </w:tc>
        <w:tc>
          <w:tcPr>
            <w:tcW w:type="dxa" w:w="5960"/>
            <w:tcBorders>
              <w:top w:val="single" w:color="CCCCCC" w:sz="1"/>
              <w:left w:val="single" w:color="CCCCCC" w:sz="1"/>
              <w:bottom w:val="single" w:color="CCCCCC" w:sz="1"/>
              <w:right w:val="single" w:color="CCCCCC" w:sz="1"/>
            </w:tcBorders>
            <w:shd w:fill="183048" w:val="clear"/>
            <w:tcMar>
              <w:top w:type="dxa" w:w="80"/>
              <w:left w:type="dxa" w:w="120"/>
              <w:bottom w:type="dxa" w:w="80"/>
              <w:right w:type="dxa" w:w="120"/>
            </w:tcMar>
          </w:tcPr>
          <w:p>
            <w:pPr>
              <w:spacing w:after="140" w:line="276"/>
            </w:pPr>
            <w:r>
              <w:rPr>
                <w:b/>
                <w:bCs/>
                <w:color w:val="FFFFFF"/>
              </w:rPr>
              <w:t xml:space="preserve">The read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rPr>
              <w:t xml:space="preserve">0 to 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Story At Risk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Leading on credentials and data. The gap is costing influence now.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rPr>
              <w:t xml:space="preserve">20 to 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Story Emerging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Defaults to the Police Report under pressure. Aware, but fragile.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rPr>
              <w:t xml:space="preserve">32 to 41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Story Drift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Go-to stories that work, but no consistent spine.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rPr>
              <w:t xml:space="preserve">42 to 51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Story Developing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Real strengths, ready to codify the full range and deploy 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rPr>
              <w:t xml:space="preserve">52 to 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Story Aligned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Already using story as a leadership tool. The work is building it in others.</w:t>
            </w:r>
          </w:p>
        </w:tc>
      </w:tr>
    </w:tbl>
    <w:p>
      <w:pPr>
        <w:spacing w:after="120"/>
      </w:pPr>
    </w:p>
    <w:p>
      <w:pPr>
        <w:spacing w:after="140" w:line="276"/>
      </w:pPr>
      <w:r>
        <w:rPr>
          <w:b/>
          <w:bCs/>
        </w:rPr>
        <w:t xml:space="preserve">Build logic for Code (Routing Spec V2, Section Six): </w:t>
      </w:r>
      <w:r>
        <w:t xml:space="preserve">sum the answers to a total, threshold into the five tiers with the cutoffs kept in a config file so they stay tunable, store tier, objective, and capacity separately, then route to the zone page, apply the Kajabi tags, and fire the result email.</w:t>
      </w:r>
    </w:p>
    <w:p>
      <w:pPr>
        <w:pStyle w:val="Heading2"/>
      </w:pPr>
      <w:r>
        <w:t xml:space="preserve">4. Result email and zone page</w:t>
      </w:r>
    </w:p>
    <w:p>
      <w:pPr>
        <w:spacing w:after="140" w:line="276"/>
      </w:pPr>
      <w:r>
        <w:t xml:space="preserve">The result email carries the reader to the zone page that matches the band. The zone page routes to one of five engagement paths. Nothing dead-ends. Every result pairs an anchor with a next step, and the anchor flexes across the full book, The Edit as the condensed go-between, and the Field Guide.</w:t>
      </w:r>
    </w:p>
    <w:p>
      <w:pPr>
        <w:pStyle w:val="Heading2"/>
      </w:pPr>
      <w:r>
        <w:t xml:space="preserve">5. The five engagement paths</w:t>
      </w:r>
    </w:p>
    <w:p>
      <w:pPr>
        <w:spacing w:after="140" w:line="276"/>
      </w:pPr>
      <w:r>
        <w:t xml:space="preserve">The hub leads with the line: Wherever You Land, There Is a Next Step. The five paths climb in depth. Each path page holds the same five sections: The Fit, The Shape using the Source, Examine, Author spine, The Outcome, an anchor pairing of Something to Read with Something to Do, and a closing question in Rod's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83048" w:val="clear"/>
            <w:tcMar>
              <w:top w:type="dxa" w:w="80"/>
              <w:left w:type="dxa" w:w="120"/>
              <w:bottom w:type="dxa" w:w="80"/>
              <w:right w:type="dxa" w:w="120"/>
            </w:tcMar>
          </w:tcPr>
          <w:p>
            <w:pPr>
              <w:spacing w:after="140" w:line="276"/>
            </w:pPr>
            <w:r>
              <w:rPr>
                <w:b/>
                <w:bCs/>
                <w:color w:val="FFFFFF"/>
              </w:rPr>
              <w:t xml:space="preserve">Path (web-facing)</w:t>
            </w:r>
          </w:p>
        </w:tc>
        <w:tc>
          <w:tcPr>
            <w:tcW w:type="dxa" w:w="4360"/>
            <w:tcBorders>
              <w:top w:val="single" w:color="CCCCCC" w:sz="1"/>
              <w:left w:val="single" w:color="CCCCCC" w:sz="1"/>
              <w:bottom w:val="single" w:color="CCCCCC" w:sz="1"/>
              <w:right w:val="single" w:color="CCCCCC" w:sz="1"/>
            </w:tcBorders>
            <w:shd w:fill="183048" w:val="clear"/>
            <w:tcMar>
              <w:top w:type="dxa" w:w="80"/>
              <w:left w:type="dxa" w:w="120"/>
              <w:bottom w:type="dxa" w:w="80"/>
              <w:right w:type="dxa" w:w="120"/>
            </w:tcMar>
          </w:tcPr>
          <w:p>
            <w:pPr>
              <w:spacing w:after="140" w:line="276"/>
            </w:pPr>
            <w:r>
              <w:rPr>
                <w:b/>
                <w:bCs/>
                <w:color w:val="FFFFFF"/>
              </w:rPr>
              <w:t xml:space="preserve">What it is</w:t>
            </w:r>
          </w:p>
        </w:tc>
        <w:tc>
          <w:tcPr>
            <w:tcW w:type="dxa" w:w="2600"/>
            <w:tcBorders>
              <w:top w:val="single" w:color="CCCCCC" w:sz="1"/>
              <w:left w:val="single" w:color="CCCCCC" w:sz="1"/>
              <w:bottom w:val="single" w:color="CCCCCC" w:sz="1"/>
              <w:right w:val="single" w:color="CCCCCC" w:sz="1"/>
            </w:tcBorders>
            <w:shd w:fill="183048" w:val="clear"/>
            <w:tcMar>
              <w:top w:type="dxa" w:w="80"/>
              <w:left w:type="dxa" w:w="120"/>
              <w:bottom w:type="dxa" w:w="80"/>
              <w:right w:type="dxa" w:w="120"/>
            </w:tcMar>
          </w:tcPr>
          <w:p>
            <w:pPr>
              <w:spacing w:after="140" w:line="276"/>
            </w:pPr>
            <w:r>
              <w:rPr>
                <w:b/>
                <w:bCs/>
                <w:color w:val="FFFFFF"/>
              </w:rPr>
              <w:t xml:space="preserve">Canonical home in V3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The Narrative Debrief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The lightest way in. Ninety minutes and an honest read on what comes next.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Trust(ed) Co-Author session (1 hr)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The Narrative Sprint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Six to nine weeks beside the team, to a story they can deploy.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Trust(ed) Co-Author program / defined engagement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The Narrative Leadership Lab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A small room of leaders working their stories together over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Named in V3 as a candidate small-group offering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The Advanced Narrative Offsite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Rod joins the leadership gathering as the guest who runs the story 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Advisory / engagement (not yet a named V3 offering)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rPr>
                <w:b/>
                <w:bCs/>
                <w:color w:val="183048"/>
              </w:rPr>
              <w:t xml:space="preserve">Storyteller in Residence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The standing partnership. The ongoing narrative partner for leadership.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40" w:line="276"/>
            </w:pPr>
            <w:r>
              <w:t xml:space="preserve">Top rung of the V3 ladder</w:t>
            </w:r>
          </w:p>
        </w:tc>
      </w:tr>
    </w:tbl>
    <w:p>
      <w:pPr>
        <w:spacing w:after="120"/>
      </w:pPr>
    </w:p>
    <w:p>
      <w:pPr>
        <w:spacing w:after="140" w:line="276"/>
      </w:pPr>
      <w:r>
        <w:rPr>
          <w:b/>
          <w:bCs/>
          <w:color w:val="FF7559"/>
        </w:rPr>
        <w:t xml:space="preserve">Open call, Rod's to make. </w:t>
      </w:r>
      <w:r>
        <w:t xml:space="preserve">The five path names are the web presentation layer built for the subpages. In the canonical Offering Architecture V3, the centerpiece engagement is named The Trust(ed) Co-Author, in two forms, the session and the program. Narrative Leadership Lab appears in V3 as a candidate small-group offering, and Storyteller in Residence is the top rung. Narrative Debrief, Narrative Sprint, and Advanced Narrative Offsite are web-facing framings that do not yet appear as named V3 offerings. Decide whether these names become canonical engagement vocabulary, which would mean revising the Offering Architecture to add them rather than letting them quietly stand as new products, or whether they remain a presentation layer that maps onto the Trust(ed) Co-Author session and program. Until that call is made, treat the path pages as the web face of the Trust(ed) Co-Author engagement.</w:t>
      </w:r>
    </w:p>
    <w:p>
      <w:pPr>
        <w:spacing w:after="140" w:line="276"/>
      </w:pPr>
      <w:r>
        <w:rPr>
          <w:b/>
          <w:bCs/>
        </w:rPr>
        <w:t xml:space="preserve">Faithful to V3: </w:t>
      </w:r>
      <w:r>
        <w:t xml:space="preserve">the canonical funnel also carries a purchased Go Deeper assessment tier between the free assessment and the engagements, the Personal Narrative, Next-Gen, Org Leadership Complete, and Narrative Edge for Leaders &amp; Orgs instruments. The live landing path routes the free assessment straight toward a booked conversation. Go Deeper is recommended at or after that conversation, not skipped.</w:t>
      </w:r>
    </w:p>
    <w:p>
      <w:pPr>
        <w:pStyle w:val="Heading2"/>
      </w:pPr>
      <w:r>
        <w:t xml:space="preserve">6. Gating and warmth tracking</w:t>
      </w:r>
    </w:p>
    <w:p>
      <w:pPr>
        <w:spacing w:after="140" w:line="276"/>
      </w:pPr>
      <w:r>
        <w:t xml:space="preserve">All six path pages ship with a noindex tag by default. The hub documents three deployment options.</w:t>
      </w:r>
    </w:p>
    <w:p>
      <w:pPr>
        <w:pStyle w:val="ListParagraph"/>
        <w:numPr>
          <w:ilvl w:val="0"/>
          <w:numId w:val="2"/>
        </w:numPr>
        <w:spacing w:after="80" w:line="276"/>
      </w:pPr>
      <w:r>
        <w:t xml:space="preserve">Fully public, linked from the engagement names in Section Nine of the landing page.</w:t>
      </w:r>
    </w:p>
    <w:p>
      <w:pPr>
        <w:pStyle w:val="ListParagraph"/>
        <w:numPr>
          <w:ilvl w:val="0"/>
          <w:numId w:val="2"/>
        </w:numPr>
        <w:spacing w:after="80" w:line="276"/>
      </w:pPr>
      <w:r>
        <w:t xml:space="preserve">Unlisted, linked only from the matching zone result email, so a visit is itself a warmth signal.</w:t>
      </w:r>
    </w:p>
    <w:p>
      <w:pPr>
        <w:pStyle w:val="ListParagraph"/>
        <w:numPr>
          <w:ilvl w:val="0"/>
          <w:numId w:val="2"/>
        </w:numPr>
        <w:spacing w:after="80" w:line="276"/>
      </w:pPr>
      <w:r>
        <w:t xml:space="preserve">Behind Netlify password protection or a light email gate.</w:t>
      </w:r>
    </w:p>
    <w:p>
      <w:pPr>
        <w:spacing w:after="140" w:line="276"/>
      </w:pPr>
      <w:r>
        <w:t xml:space="preserve">Each page's Book the Conversation call to action carries a per-page query string, for example ?path=sprint, so the source path is recorded on the lead.</w:t>
      </w:r>
    </w:p>
    <w:p>
      <w:pPr>
        <w:pStyle w:val="Heading2"/>
      </w:pPr>
      <w:r>
        <w:t xml:space="preserve">7. Booking, the handoff</w:t>
      </w:r>
    </w:p>
    <w:p>
      <w:pPr>
        <w:spacing w:after="140" w:line="276"/>
      </w:pPr>
      <w:r>
        <w:t xml:space="preserve">The schedule button gates navigation in three states. The first click reveals the intent panel. A second click without a selection pulses the choices in Coral and prompts a selection. Only after the reader picks “My organization's story” or “My own story” does the calendar link go live.</w:t>
      </w:r>
    </w:p>
    <w:p>
      <w:pPr>
        <w:pStyle w:val="ListParagraph"/>
        <w:numPr>
          <w:ilvl w:val="0"/>
          <w:numId w:val="2"/>
        </w:numPr>
        <w:spacing w:after="80" w:line="276"/>
      </w:pPr>
      <w:r>
        <w:rPr>
          <w:b/>
          <w:bCs/>
        </w:rPr>
        <w:t xml:space="preserve">Calendly prefill: </w:t>
      </w:r>
      <w:r>
        <w:t xml:space="preserve">email, zone, and intent.</w:t>
      </w:r>
    </w:p>
    <w:p>
      <w:pPr>
        <w:pStyle w:val="ListParagraph"/>
        <w:numPr>
          <w:ilvl w:val="0"/>
          <w:numId w:val="2"/>
        </w:numPr>
        <w:spacing w:after="80" w:line="276"/>
      </w:pPr>
      <w:r>
        <w:rPr>
          <w:b/>
          <w:bCs/>
        </w:rPr>
        <w:t xml:space="preserve">Kajabi tag set: </w:t>
      </w:r>
      <w:r>
        <w:t xml:space="preserve">completion, path, zone, intent, role, size, timeframe, and the open-answer verbatim.</w:t>
      </w:r>
    </w:p>
    <w:p>
      <w:pPr>
        <w:pStyle w:val="Heading1"/>
      </w:pPr>
      <w:r>
        <w:t xml:space="preserve">Where each piece came from</w:t>
      </w:r>
    </w:p>
    <w:p>
      <w:pPr>
        <w:spacing w:after="140" w:line="276"/>
      </w:pPr>
      <w:r>
        <w:t xml:space="preserve">Three threads built this path. They are the source of record behind this consolidation.</w:t>
      </w:r>
    </w:p>
    <w:p>
      <w:pPr>
        <w:pStyle w:val="ListParagraph"/>
        <w:numPr>
          <w:ilvl w:val="0"/>
          <w:numId w:val="2"/>
        </w:numPr>
        <w:spacing w:after="80" w:line="276"/>
      </w:pPr>
      <w:r>
        <w:rPr>
          <w:b/>
          <w:bCs/>
        </w:rPr>
        <w:t xml:space="preserve">Landing page and the hinge: </w:t>
      </w:r>
      <w:r>
        <w:t xml:space="preserve">“Reviewing valuable components in attached material.” The landing copy blueprint, the mockup, the Field Guide subpage, the Claude Code handoff, and the Netlify deployment.</w:t>
      </w:r>
    </w:p>
    <w:p>
      <w:pPr>
        <w:pStyle w:val="ListParagraph"/>
        <w:numPr>
          <w:ilvl w:val="0"/>
          <w:numId w:val="2"/>
        </w:numPr>
        <w:spacing w:after="80" w:line="276"/>
      </w:pPr>
      <w:r>
        <w:rPr>
          <w:b/>
          <w:bCs/>
        </w:rPr>
        <w:t xml:space="preserve">The instrument and the funnel logic: </w:t>
      </w:r>
      <w:r>
        <w:t xml:space="preserve">“Building a brand storytelling audit tool.” The Story Impact Audit, the self-versus-organization fork, the results staircase, and the Calendly and Kajabi handoff.</w:t>
      </w:r>
    </w:p>
    <w:p>
      <w:pPr>
        <w:pStyle w:val="ListParagraph"/>
        <w:numPr>
          <w:ilvl w:val="0"/>
          <w:numId w:val="2"/>
        </w:numPr>
        <w:spacing w:after="80" w:line="276"/>
      </w:pPr>
      <w:r>
        <w:rPr>
          <w:b/>
          <w:bCs/>
        </w:rPr>
        <w:t xml:space="preserve">The destination pages: </w:t>
      </w:r>
      <w:r>
        <w:t xml:space="preserve">“Narrative stack assessment path subpages.” The hub and the five engagement path pages, the noindex default, and the warmth-tracking query strings.</w:t>
      </w:r>
    </w:p>
    <w:p>
      <w:pPr>
        <w:spacing w:after="140" w:line="276"/>
      </w:pPr>
      <w:r>
        <w:t xml:space="preserve">The threshold table and the build logic come from The Assessment Routing Spec V2, Sections Five and Six.</w:t>
      </w:r>
    </w:p>
    <w:p>
      <w:pPr>
        <w:pStyle w:val="Heading1"/>
      </w:pPr>
      <w:r>
        <w:t xml:space="preserve">Open items carried forward</w:t>
      </w:r>
    </w:p>
    <w:p>
      <w:pPr>
        <w:pStyle w:val="ListParagraph"/>
        <w:numPr>
          <w:ilvl w:val="0"/>
          <w:numId w:val="2"/>
        </w:numPr>
        <w:spacing w:after="80" w:line="276"/>
      </w:pPr>
      <w:r>
        <w:rPr>
          <w:b/>
          <w:bCs/>
        </w:rPr>
        <w:t xml:space="preserve">The five path names: </w:t>
      </w:r>
      <w:r>
        <w:t xml:space="preserve">canonical vocabulary or presentation layer. Rod's call, fenced above.</w:t>
      </w:r>
    </w:p>
    <w:p>
      <w:pPr>
        <w:pStyle w:val="ListParagraph"/>
        <w:numPr>
          <w:ilvl w:val="0"/>
          <w:numId w:val="2"/>
        </w:numPr>
        <w:spacing w:after="80" w:line="276"/>
      </w:pPr>
      <w:r>
        <w:rPr>
          <w:b/>
          <w:bCs/>
        </w:rPr>
        <w:t xml:space="preserve">Pricing rungs: </w:t>
      </w:r>
      <w:r>
        <w:t xml:space="preserve">the booking conversation lands on offerings whose prices are still open in Offering Architecture V3, Section Six. The Trust(ed) Co-Author session and program prices remain the most urgent.</w:t>
      </w:r>
    </w:p>
    <w:p>
      <w:pPr>
        <w:pStyle w:val="ListParagraph"/>
        <w:numPr>
          <w:ilvl w:val="0"/>
          <w:numId w:val="2"/>
        </w:numPr>
        <w:spacing w:after="80" w:line="276"/>
      </w:pPr>
      <w:r>
        <w:rPr>
          <w:b/>
          <w:bCs/>
        </w:rPr>
        <w:t xml:space="preserve">Kajabi wiring: </w:t>
      </w:r>
      <w:r>
        <w:t xml:space="preserve">the assessment capture and the Field Guide forms still need to be connected to the one waitlist.</w:t>
      </w:r>
    </w:p>
    <w:p>
      <w:pPr>
        <w:pStyle w:val="ListParagraph"/>
        <w:numPr>
          <w:ilvl w:val="0"/>
          <w:numId w:val="2"/>
        </w:numPr>
        <w:spacing w:after="80" w:line="276"/>
      </w:pPr>
      <w:r>
        <w:rPr>
          <w:b/>
          <w:bCs/>
        </w:rPr>
        <w:t xml:space="preserve">The Story Impact Audit: </w:t>
      </w:r>
      <w:r>
        <w:t xml:space="preserve">its ten fenced decisions, including final product name, question count, audit zone thresholds, and Calendly event structure, remain Rod's calls.</w:t>
      </w:r>
    </w:p>
    <w:p>
      <w:pPr>
        <w:pBdr>
          <w:bottom w:val="single" w:color="FF7559" w:sz="6" w:space="1"/>
        </w:pBdr>
        <w:spacing w:after="160"/>
      </w:pPr>
    </w:p>
    <w:p>
      <w:pPr>
        <w:spacing w:before="80"/>
      </w:pPr>
      <w:r>
        <w:rPr>
          <w:i/>
          <w:iCs/>
          <w:color w:val="183048"/>
        </w:rPr>
        <w:t xml:space="preserve">Yours in Narrative.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eorgia" w:cs="Georgia" w:eastAsia="Georgia" w:hAnsi="Georgia"/>
      <w:b/>
      <w:bCs/>
      <w:color w:val="183048"/>
      <w:sz w:val="30"/>
      <w:szCs w:val="30"/>
    </w:rPr>
  </w:style>
  <w:style w:type="paragraph" w:styleId="Heading2">
    <w:name w:val="Heading 2"/>
    <w:basedOn w:val="Normal"/>
    <w:next w:val="Normal"/>
    <w:qFormat/>
    <w:pPr>
      <w:spacing w:after="100" w:before="180"/>
      <w:outlineLvl w:val="1"/>
    </w:pPr>
    <w:rPr>
      <w:rFonts w:ascii="Georgia" w:cs="Georgia" w:eastAsia="Georgia" w:hAnsi="Georgia"/>
      <w:b/>
      <w:bCs/>
      <w:color w:val="18304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2026-06-10T23:13:32.266Z</dcterms:created>
  <dcterms:modified xsi:type="dcterms:W3CDTF">2026-06-10T23:13:32.266Z</dcterms:modified>
</cp:coreProperties>
</file>

<file path=docProps/custom.xml><?xml version="1.0" encoding="utf-8"?>
<Properties xmlns="http://schemas.openxmlformats.org/officeDocument/2006/custom-properties" xmlns:vt="http://schemas.openxmlformats.org/officeDocument/2006/docPropsVTypes"/>
</file>