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8"/>
          <w:szCs w:val="48"/>
        </w:rPr>
        <w:t xml:space="preserve">THE NARRATIVE STACK</w:t>
      </w:r>
    </w:p>
    <w:p>
      <w:pPr>
        <w:spacing w:after="480"/>
        <w:jc w:val="center"/>
      </w:pPr>
      <w:r>
        <w:rPr>
          <w:i/>
          <w:iCs/>
          <w:color w:val="595959"/>
          <w:sz w:val="32"/>
          <w:szCs w:val="32"/>
        </w:rPr>
        <w:t xml:space="preserve">A Comprehensive Schema</w:t>
      </w:r>
    </w:p>
    <w:p>
      <w:pPr>
        <w:spacing w:after="240"/>
        <w:jc w:val="center"/>
      </w:pPr>
      <w:r>
        <w:rPr>
          <w:sz w:val="26"/>
          <w:szCs w:val="26"/>
        </w:rPr>
        <w:t xml:space="preserve">Coherence  ·  Resonance  ·  Conviction  ·  Legibility</w:t>
      </w:r>
    </w:p>
    <w:p>
      <w:pPr>
        <w:spacing w:after="1200"/>
        <w:jc w:val="center"/>
      </w:pPr>
      <w:r>
        <w:rPr>
          <w:i/>
          <w:iCs/>
          <w:color w:val="595959"/>
          <w:sz w:val="22"/>
          <w:szCs w:val="22"/>
        </w:rPr>
        <w:t xml:space="preserve">The four problems a Storyteller in Residence is built to solve</w:t>
      </w:r>
    </w:p>
    <w:p>
      <w:pPr>
        <w:spacing w:after="120"/>
        <w:jc w:val="center"/>
      </w:pPr>
      <w:r>
        <w:rPr>
          <w:sz w:val="24"/>
          <w:szCs w:val="24"/>
        </w:rPr>
        <w:t xml:space="preserve">Rod Berger, PsyD</w:t>
      </w:r>
    </w:p>
    <w:p>
      <w:pPr>
        <w:spacing w:after="120"/>
        <w:jc w:val="center"/>
      </w:pPr>
      <w:r>
        <w:rPr>
          <w:i/>
          <w:iCs/>
          <w:color w:val="595959"/>
          <w:sz w:val="22"/>
          <w:szCs w:val="22"/>
        </w:rPr>
        <w:t xml:space="preserve">Yours in Narrative</w:t>
      </w:r>
    </w:p>
    <w:p>
      <w:pPr>
        <w:jc w:val="center"/>
      </w:pPr>
      <w:r>
        <w:rPr>
          <w:color w:val="595959"/>
          <w:sz w:val="22"/>
          <w:szCs w:val="22"/>
        </w:rPr>
        <w:t xml:space="preserve">You Matter. We Matter. Stories Matter.</w:t>
      </w:r>
    </w:p>
    <w:p>
      <w:r>
        <w:br w:type="page"/>
      </w:r>
    </w:p>
    <w:p>
      <w:pPr>
        <w:pStyle w:val="Heading1"/>
        <w:spacing w:after="200" w:before="480"/>
      </w:pPr>
      <w:r>
        <w:t xml:space="preserve">The Premise</w:t>
      </w:r>
    </w:p>
    <w:p>
      <w:pPr>
        <w:spacing w:after="160" w:line="300"/>
      </w:pPr>
      <w:r>
        <w:t xml:space="preserve">A well-architected Narrative Stack includes four pillars: Coherence, Resonance, Conviction, and Legibility.</w:t>
      </w:r>
    </w:p>
    <w:p>
      <w:pPr>
        <w:spacing w:after="160" w:line="300"/>
      </w:pPr>
      <w:r>
        <w:t xml:space="preserve">Each one names a problem a leader feels but rarely articulates. Each one is solved by a different kind of narrative work. And each one, taken together, forms a comprehensive schema for how a Storyteller in Residence operates inside a brand or alongside a leader.</w:t>
      </w:r>
    </w:p>
    <w:p>
      <w:pPr>
        <w:spacing w:after="160" w:line="300"/>
      </w:pPr>
      <w:r>
        <w:t xml:space="preserve">The previous round of work surfaced these four words from a longer list. The campaign-leading word — the one that sits at the top of the funnel and brings leaders in the door — is Coherence. The other three are not lesser. They are the chambers a leader walks through once Coherence has done its work.</w:t>
      </w:r>
    </w:p>
    <w:p>
      <w:pPr>
        <w:pBdr>
          <w:left w:val="single" w:color="1A1A1A" w:sz="12" w:space="12"/>
        </w:pBdr>
        <w:spacing w:after="200" w:before="160" w:line="300"/>
        <w:ind w:left="720" w:right="720"/>
      </w:pPr>
      <w:r>
        <w:rPr>
          <w:i/>
          <w:iCs/>
        </w:rPr>
        <w:t xml:space="preserve">Coherence gets them in the room. Resonance, Conviction, and Legibility are why they stay.</w:t>
      </w:r>
    </w:p>
    <w:p>
      <w:pPr>
        <w:spacing w:after="160" w:line="300"/>
      </w:pPr>
      <w:r>
        <w:t xml:space="preserve">This document does three things. It establishes the hierarchy. It absorbs the supporting words from the earlier list — Alignment, Memory, Belief, Voice, Continuity, Trust, Authenticity, Engagement, Connection, Clarity — into the right pillar so nothing is wasted. And it maps every existing Field Guide framework, EDGE Method element, assessment instrument, and proprietary tool into the schema so you can see the entire body of work as one integrated system.</w:t>
      </w:r>
    </w:p>
    <w:p>
      <w:pPr>
        <w:spacing w:after="160" w:line="300"/>
      </w:pPr>
      <w:r>
        <w:t xml:space="preserve">The result is a single architecture you can use for positioning, product development, keynote design, and consultative sales.</w:t>
      </w:r>
    </w:p>
    <w:p>
      <w:r>
        <w:br w:type="page"/>
      </w:r>
    </w:p>
    <w:p>
      <w:pPr>
        <w:pStyle w:val="Heading1"/>
        <w:spacing w:after="200" w:before="480"/>
      </w:pPr>
      <w:r>
        <w:t xml:space="preserve">The Stack at a Glance</w:t>
      </w:r>
    </w:p>
    <w:p>
      <w:pPr>
        <w:spacing w:after="160" w:line="300"/>
      </w:pPr>
      <w:r>
        <w:t xml:space="preserve">Four pillars. Each one absorbs the supporting words underneath it. Each one is anchored in a specific Field Guide framework, a specific EDGE Method phase, a specific assessment instrument, and a specific live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FBFBF" w:sz="4"/>
              <w:left w:val="single" w:color="BFBFBF" w:sz="4"/>
              <w:bottom w:val="single" w:color="BFBFBF" w:sz="4"/>
              <w:right w:val="single" w:color="BFBFBF" w:sz="4"/>
            </w:tcBorders>
            <w:shd w:fill="1A1A1A" w:val="clear"/>
            <w:tcMar>
              <w:top w:type="dxa" w:w="120"/>
              <w:left w:type="dxa" w:w="160"/>
              <w:bottom w:type="dxa" w:w="120"/>
              <w:right w:type="dxa" w:w="160"/>
            </w:tcMar>
          </w:tcPr>
          <w:p>
            <w:pPr>
              <w:spacing w:after="0" w:line="280"/>
              <w:jc w:val="center"/>
            </w:pPr>
            <w:r>
              <w:rPr>
                <w:b/>
                <w:bCs/>
                <w:i w:val="false"/>
                <w:iCs w:val="false"/>
                <w:color w:val="FFFFFF"/>
                <w:sz w:val="22"/>
                <w:szCs w:val="22"/>
              </w:rPr>
              <w:t xml:space="preserve">PILLAR</w:t>
            </w:r>
          </w:p>
        </w:tc>
        <w:tc>
          <w:tcPr>
            <w:tcW w:type="dxa" w:w="2520"/>
            <w:tcBorders>
              <w:top w:val="single" w:color="BFBFBF" w:sz="4"/>
              <w:left w:val="single" w:color="BFBFBF" w:sz="4"/>
              <w:bottom w:val="single" w:color="BFBFBF" w:sz="4"/>
              <w:right w:val="single" w:color="BFBFBF" w:sz="4"/>
            </w:tcBorders>
            <w:shd w:fill="1A1A1A" w:val="clear"/>
            <w:tcMar>
              <w:top w:type="dxa" w:w="120"/>
              <w:left w:type="dxa" w:w="160"/>
              <w:bottom w:type="dxa" w:w="120"/>
              <w:right w:type="dxa" w:w="160"/>
            </w:tcMar>
          </w:tcPr>
          <w:p>
            <w:pPr>
              <w:spacing w:after="0" w:line="280"/>
              <w:jc w:val="center"/>
            </w:pPr>
            <w:r>
              <w:rPr>
                <w:b/>
                <w:bCs/>
                <w:i w:val="false"/>
                <w:iCs w:val="false"/>
                <w:color w:val="FFFFFF"/>
                <w:sz w:val="22"/>
                <w:szCs w:val="22"/>
              </w:rPr>
              <w:t xml:space="preserve">THE PROBLEM IT NAMES</w:t>
            </w:r>
          </w:p>
        </w:tc>
        <w:tc>
          <w:tcPr>
            <w:tcW w:type="dxa" w:w="2520"/>
            <w:tcBorders>
              <w:top w:val="single" w:color="BFBFBF" w:sz="4"/>
              <w:left w:val="single" w:color="BFBFBF" w:sz="4"/>
              <w:bottom w:val="single" w:color="BFBFBF" w:sz="4"/>
              <w:right w:val="single" w:color="BFBFBF" w:sz="4"/>
            </w:tcBorders>
            <w:shd w:fill="1A1A1A" w:val="clear"/>
            <w:tcMar>
              <w:top w:type="dxa" w:w="120"/>
              <w:left w:type="dxa" w:w="160"/>
              <w:bottom w:type="dxa" w:w="120"/>
              <w:right w:type="dxa" w:w="160"/>
            </w:tcMar>
          </w:tcPr>
          <w:p>
            <w:pPr>
              <w:spacing w:after="0" w:line="280"/>
              <w:jc w:val="center"/>
            </w:pPr>
            <w:r>
              <w:rPr>
                <w:b/>
                <w:bCs/>
                <w:i w:val="false"/>
                <w:iCs w:val="false"/>
                <w:color w:val="FFFFFF"/>
                <w:sz w:val="22"/>
                <w:szCs w:val="22"/>
              </w:rPr>
              <w:t xml:space="preserve">ABSORBS</w:t>
            </w:r>
          </w:p>
        </w:tc>
        <w:tc>
          <w:tcPr>
            <w:tcW w:type="dxa" w:w="2520"/>
            <w:tcBorders>
              <w:top w:val="single" w:color="BFBFBF" w:sz="4"/>
              <w:left w:val="single" w:color="BFBFBF" w:sz="4"/>
              <w:bottom w:val="single" w:color="BFBFBF" w:sz="4"/>
              <w:right w:val="single" w:color="BFBFBF" w:sz="4"/>
            </w:tcBorders>
            <w:shd w:fill="1A1A1A" w:val="clear"/>
            <w:tcMar>
              <w:top w:type="dxa" w:w="120"/>
              <w:left w:type="dxa" w:w="160"/>
              <w:bottom w:type="dxa" w:w="120"/>
              <w:right w:type="dxa" w:w="160"/>
            </w:tcMar>
          </w:tcPr>
          <w:p>
            <w:pPr>
              <w:spacing w:after="0" w:line="280"/>
              <w:jc w:val="center"/>
            </w:pPr>
            <w:r>
              <w:rPr>
                <w:b/>
                <w:bCs/>
                <w:i w:val="false"/>
                <w:iCs w:val="false"/>
                <w:color w:val="FFFFFF"/>
                <w:sz w:val="22"/>
                <w:szCs w:val="22"/>
              </w:rPr>
              <w:t xml:space="preserve">ANCHORED IN</w:t>
            </w:r>
          </w:p>
        </w:tc>
      </w:tr>
      <w:tr>
        <w:tc>
          <w:tcPr>
            <w:tcW w:type="dxa" w:w="1800"/>
            <w:tcBorders>
              <w:top w:val="single" w:color="BFBFBF" w:sz="4"/>
              <w:left w:val="single" w:color="BFBFBF" w:sz="4"/>
              <w:bottom w:val="single" w:color="BFBFBF" w:sz="4"/>
              <w:right w:val="single" w:color="BFBFBF" w:sz="4"/>
            </w:tcBorders>
            <w:shd w:fill="DDEAD6" w:val="clear"/>
            <w:tcMar>
              <w:top w:type="dxa" w:w="120"/>
              <w:left w:type="dxa" w:w="160"/>
              <w:bottom w:type="dxa" w:w="120"/>
              <w:right w:type="dxa" w:w="160"/>
            </w:tcMar>
          </w:tcPr>
          <w:p>
            <w:pPr>
              <w:spacing w:after="0" w:line="280"/>
              <w:jc w:val="center"/>
            </w:pPr>
            <w:r>
              <w:rPr>
                <w:b/>
                <w:bCs/>
                <w:i w:val="false"/>
                <w:iCs w:val="false"/>
                <w:sz w:val="24"/>
                <w:szCs w:val="24"/>
              </w:rPr>
              <w:t xml:space="preserve">COHERENCE</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The story changes shape depending on who's holding it.</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iCs/>
                <w:color w:val="595959"/>
                <w:sz w:val="22"/>
                <w:szCs w:val="22"/>
              </w:rPr>
              <w:t xml:space="preserve">Alignment, Continuity, Trust</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EDGE → Explore. The Four Quadrants. Recall + Reflect.</w:t>
            </w:r>
          </w:p>
        </w:tc>
      </w:tr>
      <w:tr>
        <w:tc>
          <w:tcPr>
            <w:tcW w:type="dxa" w:w="1800"/>
            <w:tcBorders>
              <w:top w:val="single" w:color="BFBFBF" w:sz="4"/>
              <w:left w:val="single" w:color="BFBFBF" w:sz="4"/>
              <w:bottom w:val="single" w:color="BFBFBF" w:sz="4"/>
              <w:right w:val="single" w:color="BFBFBF" w:sz="4"/>
            </w:tcBorders>
            <w:shd w:fill="FAF1D6" w:val="clear"/>
            <w:tcMar>
              <w:top w:type="dxa" w:w="120"/>
              <w:left w:type="dxa" w:w="160"/>
              <w:bottom w:type="dxa" w:w="120"/>
              <w:right w:type="dxa" w:w="160"/>
            </w:tcMar>
          </w:tcPr>
          <w:p>
            <w:pPr>
              <w:spacing w:after="0" w:line="280"/>
              <w:jc w:val="center"/>
            </w:pPr>
            <w:r>
              <w:rPr>
                <w:b/>
                <w:bCs/>
                <w:i w:val="false"/>
                <w:iCs w:val="false"/>
                <w:sz w:val="24"/>
                <w:szCs w:val="24"/>
              </w:rPr>
              <w:t xml:space="preserve">RESONANCE</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The message is right. It just isn't landing.</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iCs/>
                <w:color w:val="595959"/>
                <w:sz w:val="22"/>
                <w:szCs w:val="22"/>
              </w:rPr>
              <w:t xml:space="preserve">Engagement, Connection, Authenticity</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EDGE → Discover. Kitchen Table vs. Police Report. Relate.</w:t>
            </w:r>
          </w:p>
        </w:tc>
      </w:tr>
      <w:tr>
        <w:tc>
          <w:tcPr>
            <w:tcW w:type="dxa" w:w="1800"/>
            <w:tcBorders>
              <w:top w:val="single" w:color="BFBFBF" w:sz="4"/>
              <w:left w:val="single" w:color="BFBFBF" w:sz="4"/>
              <w:bottom w:val="single" w:color="BFBFBF" w:sz="4"/>
              <w:right w:val="single" w:color="BFBFBF" w:sz="4"/>
            </w:tcBorders>
            <w:shd w:fill="F4E4E4" w:val="clear"/>
            <w:tcMar>
              <w:top w:type="dxa" w:w="120"/>
              <w:left w:type="dxa" w:w="160"/>
              <w:bottom w:type="dxa" w:w="120"/>
              <w:right w:type="dxa" w:w="160"/>
            </w:tcMar>
          </w:tcPr>
          <w:p>
            <w:pPr>
              <w:spacing w:after="0" w:line="280"/>
              <w:jc w:val="center"/>
            </w:pPr>
            <w:r>
              <w:rPr>
                <w:b/>
                <w:bCs/>
                <w:i w:val="false"/>
                <w:iCs w:val="false"/>
                <w:sz w:val="24"/>
                <w:szCs w:val="24"/>
              </w:rPr>
              <w:t xml:space="preserve">CONVICTION</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The leader has lost the thread of why they started.</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iCs/>
                <w:color w:val="595959"/>
                <w:sz w:val="22"/>
                <w:szCs w:val="22"/>
              </w:rPr>
              <w:t xml:space="preserve">Belief, Voice, Authenticity (interior)</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EDGE → Grow. The Authored Self. Refine.</w:t>
            </w:r>
          </w:p>
        </w:tc>
      </w:tr>
      <w:tr>
        <w:tc>
          <w:tcPr>
            <w:tcW w:type="dxa" w:w="1800"/>
            <w:tcBorders>
              <w:top w:val="single" w:color="BFBFBF" w:sz="4"/>
              <w:left w:val="single" w:color="BFBFBF" w:sz="4"/>
              <w:bottom w:val="single" w:color="BFBFBF" w:sz="4"/>
              <w:right w:val="single" w:color="BFBFBF" w:sz="4"/>
            </w:tcBorders>
            <w:shd w:fill="DCE6F2" w:val="clear"/>
            <w:tcMar>
              <w:top w:type="dxa" w:w="120"/>
              <w:left w:type="dxa" w:w="160"/>
              <w:bottom w:type="dxa" w:w="120"/>
              <w:right w:type="dxa" w:w="160"/>
            </w:tcMar>
          </w:tcPr>
          <w:p>
            <w:pPr>
              <w:spacing w:after="0" w:line="280"/>
              <w:jc w:val="center"/>
            </w:pPr>
            <w:r>
              <w:rPr>
                <w:b/>
                <w:bCs/>
                <w:i w:val="false"/>
                <w:iCs w:val="false"/>
                <w:sz w:val="24"/>
                <w:szCs w:val="24"/>
              </w:rPr>
              <w:t xml:space="preserve">LEGIBILITY</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The work is real. No one outside the building understands it.</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iCs/>
                <w:color w:val="595959"/>
                <w:sz w:val="22"/>
                <w:szCs w:val="22"/>
              </w:rPr>
              <w:t xml:space="preserve">Clarity, Memory, Voice (exterior)</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EDGE → Engage. Meeting the Moment. Release.</w:t>
            </w:r>
          </w:p>
        </w:tc>
      </w:tr>
    </w:tbl>
    <w:p>
      <w:pPr>
        <w:spacing w:after="160" w:line="300"/>
      </w:pPr>
      <w:r>
        <w:t xml:space="preserve"/>
      </w:r>
    </w:p>
    <w:p>
      <w:pPr>
        <w:spacing w:after="160" w:line="300"/>
      </w:pPr>
      <w:r>
        <w:t xml:space="preserve">Read the rightmost column. The four EDGE phases (Explore, Discover, Grow, Engage) map exactly onto the four pillars. The Five Rs (Recall, Reflect, Relate, Refine, Release) distribute across the same architecture. This is not a coincidence. The frameworks were already coherent. This document just makes the coherence visible.</w:t>
      </w:r>
    </w:p>
    <w:p>
      <w:r>
        <w:br w:type="page"/>
      </w:r>
    </w:p>
    <w:p>
      <w:pPr>
        <w:pStyle w:val="Heading1"/>
        <w:spacing w:after="200" w:before="480"/>
      </w:pPr>
      <w:r>
        <w:t xml:space="preserve">Pillar One: Coherence</w:t>
      </w:r>
    </w:p>
    <w:p>
      <w:pPr>
        <w:spacing w:after="80" w:before="80"/>
      </w:pPr>
      <w:r>
        <w:rPr>
          <w:i/>
          <w:iCs/>
          <w:color w:val="595959"/>
          <w:sz w:val="22"/>
          <w:szCs w:val="22"/>
        </w:rPr>
        <w:t xml:space="preserve">EDGE Phase: Explore  ·  Five Rs: Recall + Reflect  ·  Anchor framework: The Four Quadrants</w:t>
      </w:r>
    </w:p>
    <w:p>
      <w:pPr>
        <w:pStyle w:val="Heading2"/>
        <w:spacing w:after="160" w:before="320"/>
      </w:pPr>
      <w:r>
        <w:t xml:space="preserve">The Problem It Names</w:t>
      </w:r>
    </w:p>
    <w:p>
      <w:pPr>
        <w:spacing w:after="160" w:line="300"/>
      </w:pPr>
      <w:r>
        <w:t xml:space="preserve">Coherence is the through-line. It is what holds when the leader walks from the boardroom to the all-hands to the customer dinner to the parking-lot conversation an employee has with her spouse on the drive home. When coherence breaks, the story changes shape depending on who's holding it. The leader feels the gap before anyone else does. They rarely have language for it.</w:t>
      </w:r>
    </w:p>
    <w:p>
      <w:pPr>
        <w:pStyle w:val="Heading2"/>
        <w:spacing w:after="160" w:before="320"/>
      </w:pPr>
      <w:r>
        <w:t xml:space="preserve">What It Absorbs</w:t>
      </w:r>
    </w:p>
    <w:p>
      <w:pPr>
        <w:spacing w:after="160" w:line="300"/>
      </w:pPr>
      <w:r>
        <w:t xml:space="preserve">The supporting words from the earlier list collapse cleanly into Coherence:</w:t>
      </w:r>
    </w:p>
    <w:p>
      <w:pPr>
        <w:pStyle w:val="ListParagraph"/>
        <w:numPr>
          <w:ilvl w:val="0"/>
          <w:numId w:val="2"/>
        </w:numPr>
        <w:spacing w:after="100" w:line="290"/>
      </w:pPr>
      <w:r>
        <w:t xml:space="preserve">Alignment lives here. Real alignment is narrative alignment — leaders telling the same story about the strategy, not just agreeing on it in the deck.</w:t>
      </w:r>
    </w:p>
    <w:p>
      <w:pPr>
        <w:pStyle w:val="ListParagraph"/>
        <w:numPr>
          <w:ilvl w:val="0"/>
          <w:numId w:val="2"/>
        </w:numPr>
        <w:spacing w:after="100" w:line="290"/>
      </w:pPr>
      <w:r>
        <w:t xml:space="preserve">Continuity lives here. The story holding together across a change of cast — succession, acquisition, restructure — is a coherence problem in motion.</w:t>
      </w:r>
    </w:p>
    <w:p>
      <w:pPr>
        <w:pStyle w:val="ListParagraph"/>
        <w:numPr>
          <w:ilvl w:val="0"/>
          <w:numId w:val="2"/>
        </w:numPr>
        <w:spacing w:after="100" w:line="290"/>
      </w:pPr>
      <w:r>
        <w:t xml:space="preserve">Trust lives here. Trust erodes when coherence breaks. The fastest way to rebuild trust is not a values exercise; it is to make the story land the same way in every room.</w:t>
      </w:r>
    </w:p>
    <w:p>
      <w:pPr>
        <w:pStyle w:val="Heading2"/>
        <w:spacing w:after="160" w:before="320"/>
      </w:pPr>
      <w:r>
        <w:t xml:space="preserve">Anchor Framework: The Four Quadrants</w:t>
      </w:r>
    </w:p>
    <w:p>
      <w:pPr>
        <w:spacing w:after="160" w:line="300"/>
      </w:pPr>
      <w:r>
        <w:t xml:space="preserve">Coherence is impossible without the Four Quadrants. The leader whose story draws only from the Professional quadrant is structurally incoherent — they cannot connect the work to the life, the role to the person, the strategy to the human reason it exists. Coherence work begins by mapping the leader's stories across Personal, Professional, Passions, and Pursuits, and then surfacing the through-line that already runs across them.</w:t>
      </w:r>
    </w:p>
    <w:p>
      <w:pPr>
        <w:pStyle w:val="Heading2"/>
        <w:spacing w:after="160" w:before="320"/>
      </w:pPr>
      <w:r>
        <w:t xml:space="preserve">Field Guide Tools That Belong Here</w:t>
      </w:r>
    </w:p>
    <w:p>
      <w:pPr>
        <w:pStyle w:val="ListParagraph"/>
        <w:numPr>
          <w:ilvl w:val="0"/>
          <w:numId w:val="2"/>
        </w:numPr>
        <w:spacing w:after="100" w:line="290"/>
      </w:pPr>
      <w:r>
        <w:t xml:space="preserve">The Four Quadrants Worksheet (Appendix C) — the foundational diagnostic instrument.</w:t>
      </w:r>
    </w:p>
    <w:p>
      <w:pPr>
        <w:pStyle w:val="ListParagraph"/>
        <w:numPr>
          <w:ilvl w:val="0"/>
          <w:numId w:val="2"/>
        </w:numPr>
        <w:spacing w:after="100" w:line="290"/>
      </w:pPr>
      <w:r>
        <w:t xml:space="preserve">Sit With Me moments from Chapters 1, 2, and 11 — Origin, the Authored Self, and Legacy. The three time-horizons of coherence.</w:t>
      </w:r>
    </w:p>
    <w:p>
      <w:pPr>
        <w:pStyle w:val="ListParagraph"/>
        <w:numPr>
          <w:ilvl w:val="0"/>
          <w:numId w:val="2"/>
        </w:numPr>
        <w:spacing w:after="100" w:line="290"/>
      </w:pPr>
      <w:r>
        <w:t xml:space="preserve">The Annual Narrative Audit (Appendix G) — coherence as a longitudinal measure.</w:t>
      </w:r>
    </w:p>
    <w:p>
      <w:pPr>
        <w:pStyle w:val="ListParagraph"/>
        <w:numPr>
          <w:ilvl w:val="0"/>
          <w:numId w:val="2"/>
        </w:numPr>
        <w:spacing w:after="100" w:line="290"/>
      </w:pPr>
      <w:r>
        <w:t xml:space="preserve">Bench Sessions — holding two perspectives at once is the prerequisite for testing whether a story is coherent across audiences.</w:t>
      </w:r>
    </w:p>
    <w:p>
      <w:pPr>
        <w:pStyle w:val="Heading2"/>
        <w:spacing w:after="160" w:before="320"/>
      </w:pPr>
      <w:r>
        <w:t xml:space="preserve">Assessment Instruments That Score Coherence</w:t>
      </w:r>
    </w:p>
    <w:p>
      <w:pPr>
        <w:pStyle w:val="ListParagraph"/>
        <w:numPr>
          <w:ilvl w:val="0"/>
          <w:numId w:val="2"/>
        </w:numPr>
        <w:spacing w:after="100" w:line="290"/>
      </w:pPr>
      <w:r>
        <w:t xml:space="preserve">Section 1 of the Org Leadership Complete Assessment (Self-Awareness &amp; Story Identity).</w:t>
      </w:r>
    </w:p>
    <w:p>
      <w:pPr>
        <w:pStyle w:val="ListParagraph"/>
        <w:numPr>
          <w:ilvl w:val="0"/>
          <w:numId w:val="2"/>
        </w:numPr>
        <w:spacing w:after="100" w:line="290"/>
      </w:pPr>
      <w:r>
        <w:t xml:space="preserve">Section 1 of the Personal Narrative Assessment (Origin Story &amp; Identity Foundations).</w:t>
      </w:r>
    </w:p>
    <w:p>
      <w:pPr>
        <w:pStyle w:val="ListParagraph"/>
        <w:numPr>
          <w:ilvl w:val="0"/>
          <w:numId w:val="2"/>
        </w:numPr>
        <w:spacing w:after="100" w:line="290"/>
      </w:pPr>
      <w:r>
        <w:t xml:space="preserve">The full Coherence Score — the live, in-call diagnostic developed in the previous document.</w:t>
      </w:r>
    </w:p>
    <w:p>
      <w:pPr>
        <w:pStyle w:val="Heading2"/>
        <w:spacing w:after="160" w:before="320"/>
      </w:pPr>
      <w:r>
        <w:t xml:space="preserve">The Live Deliverable</w:t>
      </w:r>
    </w:p>
    <w:p>
      <w:pPr>
        <w:spacing w:after="160" w:line="300"/>
      </w:pPr>
      <w:r>
        <w:t xml:space="preserve">The Coherence Score itself. Sixty-minute call. Seven dimensions. Score out of seventy. Pattern report and three questions delivered within forty-eight hours. This is the campaign's front door.</w:t>
      </w:r>
    </w:p>
    <w:p>
      <w:pPr>
        <w:pStyle w:val="Heading2"/>
        <w:spacing w:after="160" w:before="320"/>
      </w:pPr>
      <w:r>
        <w:t xml:space="preserve">The Six-Word Frame</w:t>
      </w:r>
    </w:p>
    <w:p>
      <w:pPr>
        <w:pBdr>
          <w:left w:val="single" w:color="1A1A1A" w:sz="12" w:space="12"/>
        </w:pBdr>
        <w:spacing w:after="200" w:before="160" w:line="300"/>
        <w:ind w:left="720" w:right="720"/>
      </w:pPr>
      <w:r>
        <w:rPr>
          <w:i/>
          <w:iCs/>
        </w:rPr>
        <w:t xml:space="preserve">One spine. Many rooms. One story.</w:t>
      </w:r>
    </w:p>
    <w:p>
      <w:r>
        <w:br w:type="page"/>
      </w:r>
    </w:p>
    <w:p>
      <w:pPr>
        <w:pStyle w:val="Heading1"/>
        <w:spacing w:after="200" w:before="480"/>
      </w:pPr>
      <w:r>
        <w:t xml:space="preserve">Pillar Two: Resonance</w:t>
      </w:r>
    </w:p>
    <w:p>
      <w:pPr>
        <w:spacing w:after="80" w:before="80"/>
      </w:pPr>
      <w:r>
        <w:rPr>
          <w:i/>
          <w:iCs/>
          <w:color w:val="595959"/>
          <w:sz w:val="22"/>
          <w:szCs w:val="22"/>
        </w:rPr>
        <w:t xml:space="preserve">EDGE Phase: Discover  ·  Five Rs: Relate  ·  Anchor framework: Kitchen Table vs. Police Report</w:t>
      </w:r>
    </w:p>
    <w:p>
      <w:pPr>
        <w:pStyle w:val="Heading2"/>
        <w:spacing w:after="160" w:before="320"/>
      </w:pPr>
      <w:r>
        <w:t xml:space="preserve">The Problem It Names</w:t>
      </w:r>
    </w:p>
    <w:p>
      <w:pPr>
        <w:spacing w:after="160" w:line="300"/>
      </w:pPr>
      <w:r>
        <w:t xml:space="preserve">Resonance is what leaders are buying when they think they are buying communication training. They have the message. They have the platform. They have the deck. What they don't have is the felt sense that the message is landing — that anyone outside the room would describe it the way they do. The data is solid. The reception is flat. That gap is the resonance problem.</w:t>
      </w:r>
    </w:p>
    <w:p>
      <w:pPr>
        <w:spacing w:after="160" w:line="300"/>
      </w:pPr>
      <w:r>
        <w:t xml:space="preserve">Coherence asks: is the story holding together? Resonance asks: is anyone feeling it?</w:t>
      </w:r>
    </w:p>
    <w:p>
      <w:pPr>
        <w:pStyle w:val="Heading2"/>
        <w:spacing w:after="160" w:before="320"/>
      </w:pPr>
      <w:r>
        <w:t xml:space="preserve">What It Absorbs</w:t>
      </w:r>
    </w:p>
    <w:p>
      <w:pPr>
        <w:pStyle w:val="ListParagraph"/>
        <w:numPr>
          <w:ilvl w:val="0"/>
          <w:numId w:val="2"/>
        </w:numPr>
        <w:spacing w:after="100" w:line="290"/>
      </w:pPr>
      <w:r>
        <w:t xml:space="preserve">Engagement lives here. HR-coded as the word might be, the underlying problem — people are present but not moved — is a resonance failure.</w:t>
      </w:r>
    </w:p>
    <w:p>
      <w:pPr>
        <w:pStyle w:val="ListParagraph"/>
        <w:numPr>
          <w:ilvl w:val="0"/>
          <w:numId w:val="2"/>
        </w:numPr>
        <w:spacing w:after="100" w:line="290"/>
      </w:pPr>
      <w:r>
        <w:t xml:space="preserve">Connection lives here. The soft word for a real outcome. Resonance produces connection; without resonance, connection is small talk.</w:t>
      </w:r>
    </w:p>
    <w:p>
      <w:pPr>
        <w:pStyle w:val="ListParagraph"/>
        <w:numPr>
          <w:ilvl w:val="0"/>
          <w:numId w:val="2"/>
        </w:numPr>
        <w:spacing w:after="100" w:line="290"/>
      </w:pPr>
      <w:r>
        <w:t xml:space="preserve">Authenticity lives here, in its outward-facing form. The version other people experience. The interior form belongs to Conviction.</w:t>
      </w:r>
    </w:p>
    <w:p>
      <w:pPr>
        <w:pStyle w:val="Heading2"/>
        <w:spacing w:after="160" w:before="320"/>
      </w:pPr>
      <w:r>
        <w:t xml:space="preserve">Anchor Framework: Kitchen Table vs. Police Report</w:t>
      </w:r>
    </w:p>
    <w:p>
      <w:pPr>
        <w:spacing w:after="160" w:line="300"/>
      </w:pPr>
      <w:r>
        <w:t xml:space="preserve">This is the single most important distinction in the body of work for the Resonance pillar. Most leaders default to Police Report — facts, dates, accomplishments, accurate, verifiable, forgettable. Resonance work moves them toward the Kitchen Table — the version they would tell at 2 a.m. over a cup of coffee. The shift is not in what they say. It is in the register, the body, the willingness to lean in.</w:t>
      </w:r>
    </w:p>
    <w:p>
      <w:pPr>
        <w:pStyle w:val="Heading2"/>
        <w:spacing w:after="160" w:before="320"/>
      </w:pPr>
      <w:r>
        <w:t xml:space="preserve">Field Guide Tools That Belong Here</w:t>
      </w:r>
    </w:p>
    <w:p>
      <w:pPr>
        <w:pStyle w:val="ListParagraph"/>
        <w:numPr>
          <w:ilvl w:val="0"/>
          <w:numId w:val="2"/>
        </w:numPr>
        <w:spacing w:after="100" w:line="290"/>
      </w:pPr>
      <w:r>
        <w:t xml:space="preserve">Chapter 9 of the Field Guide in its entirety ("From Reports to Stories").</w:t>
      </w:r>
    </w:p>
    <w:p>
      <w:pPr>
        <w:pStyle w:val="ListParagraph"/>
        <w:numPr>
          <w:ilvl w:val="0"/>
          <w:numId w:val="2"/>
        </w:numPr>
        <w:spacing w:after="100" w:line="290"/>
      </w:pPr>
      <w:r>
        <w:t xml:space="preserve">The Two Bios Exercise — Police Report bio versus Kitchen Table bio.</w:t>
      </w:r>
    </w:p>
    <w:p>
      <w:pPr>
        <w:pStyle w:val="ListParagraph"/>
        <w:numPr>
          <w:ilvl w:val="0"/>
          <w:numId w:val="2"/>
        </w:numPr>
        <w:spacing w:after="100" w:line="290"/>
      </w:pPr>
      <w:r>
        <w:t xml:space="preserve">Kitchen Table Conversation Starters (Appendix D, 50 prompts).</w:t>
      </w:r>
    </w:p>
    <w:p>
      <w:pPr>
        <w:pStyle w:val="ListParagraph"/>
        <w:numPr>
          <w:ilvl w:val="0"/>
          <w:numId w:val="2"/>
        </w:numPr>
        <w:spacing w:after="100" w:line="290"/>
      </w:pPr>
      <w:r>
        <w:t xml:space="preserve">The Magic Johnson Moment — finding the unexpected connection that breaks through prepared material.</w:t>
      </w:r>
    </w:p>
    <w:p>
      <w:pPr>
        <w:pStyle w:val="ListParagraph"/>
        <w:numPr>
          <w:ilvl w:val="0"/>
          <w:numId w:val="2"/>
        </w:numPr>
        <w:spacing w:after="100" w:line="290"/>
      </w:pPr>
      <w:r>
        <w:t xml:space="preserve">The Opal Lee Approach — "Take me inside your mother's kitchen. What did it smell like?" Resonance starts with a sensory question.</w:t>
      </w:r>
    </w:p>
    <w:p>
      <w:pPr>
        <w:pStyle w:val="ListParagraph"/>
        <w:numPr>
          <w:ilvl w:val="0"/>
          <w:numId w:val="2"/>
        </w:numPr>
        <w:spacing w:after="100" w:line="290"/>
      </w:pPr>
      <w:r>
        <w:t xml:space="preserve">Six-Word Story exercises — distillation as a resonance tool. The six-word constraint forces what matters most to land.</w:t>
      </w:r>
    </w:p>
    <w:p>
      <w:pPr>
        <w:pStyle w:val="Heading2"/>
        <w:spacing w:after="160" w:before="320"/>
      </w:pPr>
      <w:r>
        <w:t xml:space="preserve">Assessment Instruments That Score Resonance</w:t>
      </w:r>
    </w:p>
    <w:p>
      <w:pPr>
        <w:pStyle w:val="ListParagraph"/>
        <w:numPr>
          <w:ilvl w:val="0"/>
          <w:numId w:val="2"/>
        </w:numPr>
        <w:spacing w:after="100" w:line="290"/>
      </w:pPr>
      <w:r>
        <w:t xml:space="preserve">Section 2 of the Org Leadership Complete Assessment (Storytelling Execution).</w:t>
      </w:r>
    </w:p>
    <w:p>
      <w:pPr>
        <w:pStyle w:val="ListParagraph"/>
        <w:numPr>
          <w:ilvl w:val="0"/>
          <w:numId w:val="2"/>
        </w:numPr>
        <w:spacing w:after="100" w:line="290"/>
      </w:pPr>
      <w:r>
        <w:t xml:space="preserve">Part Two of the Quick Leadership Assessment (Kitchen Table vs. Police Report, five True/False questions).</w:t>
      </w:r>
    </w:p>
    <w:p>
      <w:pPr>
        <w:pStyle w:val="ListParagraph"/>
        <w:numPr>
          <w:ilvl w:val="0"/>
          <w:numId w:val="2"/>
        </w:numPr>
        <w:spacing w:after="100" w:line="290"/>
      </w:pPr>
      <w:r>
        <w:t xml:space="preserve">Part Three of the Quick Leadership Assessment (Story Impact Check — how often a story changed a mind, was retold, created an emotional response).</w:t>
      </w:r>
    </w:p>
    <w:p>
      <w:pPr>
        <w:pStyle w:val="Heading2"/>
        <w:spacing w:after="160" w:before="320"/>
      </w:pPr>
      <w:r>
        <w:t xml:space="preserve">The Live Deliverable</w:t>
      </w:r>
    </w:p>
    <w:p>
      <w:pPr>
        <w:spacing w:after="160" w:line="300"/>
      </w:pPr>
      <w:r>
        <w:t xml:space="preserve">The Resonance Lab. A working session — half-day or full day, in person or live virtual — where the leader writes their two bios, runs them past me and a small witness group, and rebuilds their core narrative in the Kitchen Table register. Output: a one-page leadership narrative that survives the room it gets walked into.</w:t>
      </w:r>
    </w:p>
    <w:p>
      <w:pPr>
        <w:pStyle w:val="Heading2"/>
        <w:spacing w:after="160" w:before="320"/>
      </w:pPr>
      <w:r>
        <w:t xml:space="preserve">The Six-Word Frame</w:t>
      </w:r>
    </w:p>
    <w:p>
      <w:pPr>
        <w:pBdr>
          <w:left w:val="single" w:color="1A1A1A" w:sz="12" w:space="12"/>
        </w:pBdr>
        <w:spacing w:after="200" w:before="160" w:line="300"/>
        <w:ind w:left="720" w:right="720"/>
      </w:pPr>
      <w:r>
        <w:rPr>
          <w:i/>
          <w:iCs/>
        </w:rPr>
        <w:t xml:space="preserve">Accurate isn't enough. Make them feel.</w:t>
      </w:r>
    </w:p>
    <w:p>
      <w:r>
        <w:br w:type="page"/>
      </w:r>
    </w:p>
    <w:p>
      <w:pPr>
        <w:pStyle w:val="Heading1"/>
        <w:spacing w:after="200" w:before="480"/>
      </w:pPr>
      <w:r>
        <w:t xml:space="preserve">Pillar Three: Conviction</w:t>
      </w:r>
    </w:p>
    <w:p>
      <w:pPr>
        <w:spacing w:after="80" w:before="80"/>
      </w:pPr>
      <w:r>
        <w:rPr>
          <w:i/>
          <w:iCs/>
          <w:color w:val="595959"/>
          <w:sz w:val="22"/>
          <w:szCs w:val="22"/>
        </w:rPr>
        <w:t xml:space="preserve">EDGE Phase: Grow  ·  Five Rs: Refine  ·  Anchor framework: The Authored Self</w:t>
      </w:r>
    </w:p>
    <w:p>
      <w:pPr>
        <w:pStyle w:val="Heading2"/>
        <w:spacing w:after="160" w:before="320"/>
      </w:pPr>
      <w:r>
        <w:t xml:space="preserve">The Problem It Names</w:t>
      </w:r>
    </w:p>
    <w:p>
      <w:pPr>
        <w:spacing w:after="160" w:line="300"/>
      </w:pPr>
      <w:r>
        <w:t xml:space="preserve">Conviction is the quietest of the four problems and often the deepest. The leader has lost the thread of why they started. They speak in the third person about their own company. They hedge. They cite the deck. They reach for the brand voice when the moment calls for their own. The work is not to write their conviction for them — that is brand work, and it does not hold. The work is to surface it, sharpen it, and give the leader language they will still believe at the end of a hard quarter.</w:t>
      </w:r>
    </w:p>
    <w:p>
      <w:pPr>
        <w:spacing w:after="160" w:line="300"/>
      </w:pPr>
      <w:r>
        <w:t xml:space="preserve">Coherence is the architecture of the story. Resonance is its delivery. Conviction is its source.</w:t>
      </w:r>
    </w:p>
    <w:p>
      <w:pPr>
        <w:pStyle w:val="Heading2"/>
        <w:spacing w:after="160" w:before="320"/>
      </w:pPr>
      <w:r>
        <w:t xml:space="preserve">What It Absorbs</w:t>
      </w:r>
    </w:p>
    <w:p>
      <w:pPr>
        <w:pStyle w:val="ListParagraph"/>
        <w:numPr>
          <w:ilvl w:val="0"/>
          <w:numId w:val="2"/>
        </w:numPr>
        <w:spacing w:after="100" w:line="290"/>
      </w:pPr>
      <w:r>
        <w:t xml:space="preserve">Belief lives here. Internal belief, specifically — the thing that erodes in year three of a hard chapter, that goes missing right before a key resignation.</w:t>
      </w:r>
    </w:p>
    <w:p>
      <w:pPr>
        <w:pStyle w:val="ListParagraph"/>
        <w:numPr>
          <w:ilvl w:val="0"/>
          <w:numId w:val="2"/>
        </w:numPr>
        <w:spacing w:after="100" w:line="290"/>
      </w:pPr>
      <w:r>
        <w:t xml:space="preserve">Voice lives here, in its interior form. Not how the leader sounds in public, but whether they still sound like themselves in private.</w:t>
      </w:r>
    </w:p>
    <w:p>
      <w:pPr>
        <w:pStyle w:val="ListParagraph"/>
        <w:numPr>
          <w:ilvl w:val="0"/>
          <w:numId w:val="2"/>
        </w:numPr>
        <w:spacing w:after="100" w:line="290"/>
      </w:pPr>
      <w:r>
        <w:t xml:space="preserve">Authenticity lives here, in its inward-facing form. The version the leader experiences themselves. The exterior form belongs to Resonance.</w:t>
      </w:r>
    </w:p>
    <w:p>
      <w:pPr>
        <w:pStyle w:val="Heading2"/>
        <w:spacing w:after="160" w:before="320"/>
      </w:pPr>
      <w:r>
        <w:t xml:space="preserve">Anchor Framework: The Authored Self</w:t>
      </w:r>
    </w:p>
    <w:p>
      <w:pPr>
        <w:spacing w:after="160" w:line="300"/>
      </w:pPr>
      <w:r>
        <w:t xml:space="preserve">Conviction work begins with the distinction between authored and assigned narrative. Most leaders are running a script that was handed to them — by a board, an investor, a predecessor, a category convention, an old version of themselves they have outgrown. Conviction returns to the question: What story am I actually choosing to write? The Authored Self framework, central to The Narrative Edge, is the backbone of this pillar.</w:t>
      </w:r>
    </w:p>
    <w:p>
      <w:pPr>
        <w:pStyle w:val="Heading2"/>
        <w:spacing w:after="160" w:before="320"/>
      </w:pPr>
      <w:r>
        <w:t xml:space="preserve">Field Guide Tools That Belong Here</w:t>
      </w:r>
    </w:p>
    <w:p>
      <w:pPr>
        <w:pStyle w:val="ListParagraph"/>
        <w:numPr>
          <w:ilvl w:val="0"/>
          <w:numId w:val="2"/>
        </w:numPr>
        <w:spacing w:after="100" w:line="290"/>
      </w:pPr>
      <w:r>
        <w:t xml:space="preserve">Chapter 2 of the Field Guide (The Authored Self) and Chapter 8 (Unlocking Your Story Courage).</w:t>
      </w:r>
    </w:p>
    <w:p>
      <w:pPr>
        <w:pStyle w:val="ListParagraph"/>
        <w:numPr>
          <w:ilvl w:val="0"/>
          <w:numId w:val="2"/>
        </w:numPr>
        <w:spacing w:after="100" w:line="290"/>
      </w:pPr>
      <w:r>
        <w:t xml:space="preserve">The Permission Slip Exercise — granting yourself authority you have been waiting to receive from someone else.</w:t>
      </w:r>
    </w:p>
    <w:p>
      <w:pPr>
        <w:pStyle w:val="ListParagraph"/>
        <w:numPr>
          <w:ilvl w:val="0"/>
          <w:numId w:val="2"/>
        </w:numPr>
        <w:spacing w:after="100" w:line="290"/>
      </w:pPr>
      <w:r>
        <w:t xml:space="preserve">The Author's Declaration from the Next Gen Assessment — Stories I KEEP, Stories I RELEASE, Stories I am choosing to WRITE.</w:t>
      </w:r>
    </w:p>
    <w:p>
      <w:pPr>
        <w:pStyle w:val="ListParagraph"/>
        <w:numPr>
          <w:ilvl w:val="0"/>
          <w:numId w:val="2"/>
        </w:numPr>
        <w:spacing w:after="100" w:line="290"/>
      </w:pPr>
      <w:r>
        <w:t xml:space="preserve">The First Draft Mindset — Aaron Rasmussen's principle. "Treat the whole world like a first draft."</w:t>
      </w:r>
    </w:p>
    <w:p>
      <w:pPr>
        <w:pStyle w:val="ListParagraph"/>
        <w:numPr>
          <w:ilvl w:val="0"/>
          <w:numId w:val="2"/>
        </w:numPr>
        <w:spacing w:after="100" w:line="290"/>
      </w:pPr>
      <w:r>
        <w:t xml:space="preserve">The Three Final Questions from Chapter 12: Success, Forgiveness, Role.</w:t>
      </w:r>
    </w:p>
    <w:p>
      <w:pPr>
        <w:pStyle w:val="ListParagraph"/>
        <w:numPr>
          <w:ilvl w:val="0"/>
          <w:numId w:val="2"/>
        </w:numPr>
        <w:spacing w:after="100" w:line="290"/>
      </w:pPr>
      <w:r>
        <w:t xml:space="preserve">The Eulogy Exercise from Chapter 11 — what story do you want told about you, and what would have to be true for that story to be true?</w:t>
      </w:r>
    </w:p>
    <w:p>
      <w:pPr>
        <w:pStyle w:val="Heading2"/>
        <w:spacing w:after="160" w:before="320"/>
      </w:pPr>
      <w:r>
        <w:t xml:space="preserve">Assessment Instruments That Score Conviction</w:t>
      </w:r>
    </w:p>
    <w:p>
      <w:pPr>
        <w:pStyle w:val="ListParagraph"/>
        <w:numPr>
          <w:ilvl w:val="0"/>
          <w:numId w:val="2"/>
        </w:numPr>
        <w:spacing w:after="100" w:line="290"/>
      </w:pPr>
      <w:r>
        <w:t xml:space="preserve">Section 8 of the Personal Narrative Assessment (Purpose &amp; Meaning).</w:t>
      </w:r>
    </w:p>
    <w:p>
      <w:pPr>
        <w:pStyle w:val="ListParagraph"/>
        <w:numPr>
          <w:ilvl w:val="0"/>
          <w:numId w:val="2"/>
        </w:numPr>
        <w:spacing w:after="100" w:line="290"/>
      </w:pPr>
      <w:r>
        <w:t xml:space="preserve">Section 1.4 of the Org Leadership Complete Assessment (Vulnerability &amp; Authenticity).</w:t>
      </w:r>
    </w:p>
    <w:p>
      <w:pPr>
        <w:pStyle w:val="ListParagraph"/>
        <w:numPr>
          <w:ilvl w:val="0"/>
          <w:numId w:val="2"/>
        </w:numPr>
        <w:spacing w:after="100" w:line="290"/>
      </w:pPr>
      <w:r>
        <w:t xml:space="preserve">The Family of Origin / Knockout / Legacy question batteries — interior architecture work.</w:t>
      </w:r>
    </w:p>
    <w:p>
      <w:pPr>
        <w:pStyle w:val="ListParagraph"/>
        <w:numPr>
          <w:ilvl w:val="0"/>
          <w:numId w:val="2"/>
        </w:numPr>
        <w:spacing w:after="100" w:line="290"/>
      </w:pPr>
      <w:r>
        <w:t xml:space="preserve">The closing question of the Quick Leadership Assessment: "If you removed all titles, credentials, and accomplishments from your introduction, what story would you tell about who you are and why you do this work?" That single question is the Conviction diagnostic in miniature.</w:t>
      </w:r>
    </w:p>
    <w:p>
      <w:pPr>
        <w:pStyle w:val="Heading2"/>
        <w:spacing w:after="160" w:before="320"/>
      </w:pPr>
      <w:r>
        <w:t xml:space="preserve">The Live Deliverable</w:t>
      </w:r>
    </w:p>
    <w:p>
      <w:pPr>
        <w:spacing w:after="160" w:line="300"/>
      </w:pPr>
      <w:r>
        <w:t xml:space="preserve">The Conviction Intensive. A private engagement — usually 1:1 with the leader, sometimes 1:2 with founder pairs or co-CEOs — across two or three sessions over four to six weeks. Surfaces what the leader actually believes, separates it from what they have inherited, and produces a working draft of their authored narrative. Output: a personal Narrative Edge Declaration that the leader can hold privately, share selectively, and use as the source code for everything they say in public.</w:t>
      </w:r>
    </w:p>
    <w:p>
      <w:pPr>
        <w:pStyle w:val="Heading2"/>
        <w:spacing w:after="160" w:before="320"/>
      </w:pPr>
      <w:r>
        <w:t xml:space="preserve">The Six-Word Frame</w:t>
      </w:r>
    </w:p>
    <w:p>
      <w:pPr>
        <w:pBdr>
          <w:left w:val="single" w:color="1A1A1A" w:sz="12" w:space="12"/>
        </w:pBdr>
        <w:spacing w:after="200" w:before="160" w:line="300"/>
        <w:ind w:left="720" w:right="720"/>
      </w:pPr>
      <w:r>
        <w:rPr>
          <w:i/>
          <w:iCs/>
        </w:rPr>
        <w:t xml:space="preserve">Whose story am I really telling?</w:t>
      </w:r>
    </w:p>
    <w:p>
      <w:r>
        <w:br w:type="page"/>
      </w:r>
    </w:p>
    <w:p>
      <w:pPr>
        <w:pStyle w:val="Heading1"/>
        <w:spacing w:after="200" w:before="480"/>
      </w:pPr>
      <w:r>
        <w:t xml:space="preserve">Pillar Four: Legibility</w:t>
      </w:r>
    </w:p>
    <w:p>
      <w:pPr>
        <w:spacing w:after="80" w:before="80"/>
      </w:pPr>
      <w:r>
        <w:rPr>
          <w:i/>
          <w:iCs/>
          <w:color w:val="595959"/>
          <w:sz w:val="22"/>
          <w:szCs w:val="22"/>
        </w:rPr>
        <w:t xml:space="preserve">EDGE Phase: Engage  ·  Five Rs: Release  ·  Anchor framework: Meeting the Moment</w:t>
      </w:r>
    </w:p>
    <w:p>
      <w:pPr>
        <w:pStyle w:val="Heading2"/>
        <w:spacing w:after="160" w:before="320"/>
      </w:pPr>
      <w:r>
        <w:t xml:space="preserve">The Problem It Names</w:t>
      </w:r>
    </w:p>
    <w:p>
      <w:pPr>
        <w:spacing w:after="160" w:line="300"/>
      </w:pPr>
      <w:r>
        <w:t xml:space="preserve">Legibility is the CFO word. The board word. The investor word. The journalist word. Companies that are doing remarkable things and cannot get anyone outside the building to understand what those things are. The internal narrative is intact. The external translation is broken. Legibility is what storytelling solves when the problem is not authenticity but reception — when the work is real and the narrative around the work has not yet found the right shape for the people who need to read it.</w:t>
      </w:r>
    </w:p>
    <w:p>
      <w:pPr>
        <w:spacing w:after="160" w:line="300"/>
      </w:pPr>
      <w:r>
        <w:t xml:space="preserve">Legibility is also the pillar with the most direct revenue impact. Legible companies raise faster, hire stronger, retain better, get better press, sell at higher multiples. The leader who arrives illegible to the market is paying a tax they may not know they are paying.</w:t>
      </w:r>
    </w:p>
    <w:p>
      <w:pPr>
        <w:pStyle w:val="Heading2"/>
        <w:spacing w:after="160" w:before="320"/>
      </w:pPr>
      <w:r>
        <w:t xml:space="preserve">What It Absorbs</w:t>
      </w:r>
    </w:p>
    <w:p>
      <w:pPr>
        <w:pStyle w:val="ListParagraph"/>
        <w:numPr>
          <w:ilvl w:val="0"/>
          <w:numId w:val="2"/>
        </w:numPr>
        <w:spacing w:after="100" w:line="290"/>
      </w:pPr>
      <w:r>
        <w:t xml:space="preserve">Clarity lives here. Owned by strategy consultants, but the underlying need is narrative clarity, which sits inside legibility.</w:t>
      </w:r>
    </w:p>
    <w:p>
      <w:pPr>
        <w:pStyle w:val="ListParagraph"/>
        <w:numPr>
          <w:ilvl w:val="0"/>
          <w:numId w:val="2"/>
        </w:numPr>
        <w:spacing w:after="100" w:line="290"/>
      </w:pPr>
      <w:r>
        <w:t xml:space="preserve">Memory lives here. Institutional memory — the question of whether the company can still tell its own story to itself across time — is a legibility problem in the longitudinal frame.</w:t>
      </w:r>
    </w:p>
    <w:p>
      <w:pPr>
        <w:pStyle w:val="ListParagraph"/>
        <w:numPr>
          <w:ilvl w:val="0"/>
          <w:numId w:val="2"/>
        </w:numPr>
        <w:spacing w:after="100" w:line="290"/>
      </w:pPr>
      <w:r>
        <w:t xml:space="preserve">Voice lives here, in its exterior form. How the company sounds to someone reading from outside. The interior form belongs to Conviction.</w:t>
      </w:r>
    </w:p>
    <w:p>
      <w:pPr>
        <w:pStyle w:val="Heading2"/>
        <w:spacing w:after="160" w:before="320"/>
      </w:pPr>
      <w:r>
        <w:t xml:space="preserve">Anchor Framework: Meeting the Moment</w:t>
      </w:r>
    </w:p>
    <w:p>
      <w:pPr>
        <w:spacing w:after="160" w:line="300"/>
      </w:pPr>
      <w:r>
        <w:t xml:space="preserve">Meeting the Moment is the closing thesis of The Narrative Edge — the subtitle of the book itself. Legibility is meeting-the-moment work made operational. The narrative the company tells must match the moment the company is in, in language the audience uses, on the surfaces the audience inhabits. A growth story told during contraction is illegible. A turnaround story told during steady state is illegible. Legibility is the discipline of fit.</w:t>
      </w:r>
    </w:p>
    <w:p>
      <w:pPr>
        <w:pStyle w:val="Heading2"/>
        <w:spacing w:after="160" w:before="320"/>
      </w:pPr>
      <w:r>
        <w:t xml:space="preserve">Field Guide Tools That Belong Here</w:t>
      </w:r>
    </w:p>
    <w:p>
      <w:pPr>
        <w:pStyle w:val="ListParagraph"/>
        <w:numPr>
          <w:ilvl w:val="0"/>
          <w:numId w:val="2"/>
        </w:numPr>
        <w:spacing w:after="100" w:line="290"/>
      </w:pPr>
      <w:r>
        <w:t xml:space="preserve">The Meeting the Moment Scenarios (Appendix E, 25 real-world situations).</w:t>
      </w:r>
    </w:p>
    <w:p>
      <w:pPr>
        <w:pStyle w:val="ListParagraph"/>
        <w:numPr>
          <w:ilvl w:val="0"/>
          <w:numId w:val="2"/>
        </w:numPr>
        <w:spacing w:after="100" w:line="290"/>
      </w:pPr>
      <w:r>
        <w:t xml:space="preserve">The Breitling Exercise — pitching authentic story to a buyer who has been pitched a hundred times.</w:t>
      </w:r>
    </w:p>
    <w:p>
      <w:pPr>
        <w:pStyle w:val="ListParagraph"/>
        <w:numPr>
          <w:ilvl w:val="0"/>
          <w:numId w:val="2"/>
        </w:numPr>
        <w:spacing w:after="100" w:line="290"/>
      </w:pPr>
      <w:r>
        <w:t xml:space="preserve">The Pitch Transformation Exercise — Police Report opening rewritten as Kitchen Table opening, calibrated to a specific audience.</w:t>
      </w:r>
    </w:p>
    <w:p>
      <w:pPr>
        <w:pStyle w:val="ListParagraph"/>
        <w:numPr>
          <w:ilvl w:val="0"/>
          <w:numId w:val="2"/>
        </w:numPr>
        <w:spacing w:after="100" w:line="290"/>
      </w:pPr>
      <w:r>
        <w:t xml:space="preserve">The McGraw-Hill Mindset — "a 130-year-old startup" — reframing legacy as an asset audiences can read.</w:t>
      </w:r>
    </w:p>
    <w:p>
      <w:pPr>
        <w:pStyle w:val="ListParagraph"/>
        <w:numPr>
          <w:ilvl w:val="0"/>
          <w:numId w:val="2"/>
        </w:numPr>
        <w:spacing w:after="100" w:line="290"/>
      </w:pPr>
      <w:r>
        <w:t xml:space="preserve">The Visual Bio and the One-Sheet Story exercises from Chapter 6.</w:t>
      </w:r>
    </w:p>
    <w:p>
      <w:pPr>
        <w:pStyle w:val="ListParagraph"/>
        <w:numPr>
          <w:ilvl w:val="0"/>
          <w:numId w:val="2"/>
        </w:numPr>
        <w:spacing w:after="100" w:line="290"/>
      </w:pPr>
      <w:r>
        <w:t xml:space="preserve">The Janteloven Assessment — cultural influences on whether your story is legible across markets.</w:t>
      </w:r>
    </w:p>
    <w:p>
      <w:pPr>
        <w:pStyle w:val="Heading2"/>
        <w:spacing w:after="160" w:before="320"/>
      </w:pPr>
      <w:r>
        <w:t xml:space="preserve">Assessment Instruments That Score Legibility</w:t>
      </w:r>
    </w:p>
    <w:p>
      <w:pPr>
        <w:pStyle w:val="ListParagraph"/>
        <w:numPr>
          <w:ilvl w:val="0"/>
          <w:numId w:val="2"/>
        </w:numPr>
        <w:spacing w:after="100" w:line="290"/>
      </w:pPr>
      <w:r>
        <w:t xml:space="preserve">Section 3 of the Org Leadership Complete Assessment (Meeting the Moment — High-Stakes Communication).</w:t>
      </w:r>
    </w:p>
    <w:p>
      <w:pPr>
        <w:pStyle w:val="ListParagraph"/>
        <w:numPr>
          <w:ilvl w:val="0"/>
          <w:numId w:val="2"/>
        </w:numPr>
        <w:spacing w:after="100" w:line="290"/>
      </w:pPr>
      <w:r>
        <w:t xml:space="preserve">Section 4 of the Org Leadership Complete Assessment (Story Listening &amp; Reception — gap analysis between what leadership thinks they're saying and what other levels actually hear).</w:t>
      </w:r>
    </w:p>
    <w:p>
      <w:pPr>
        <w:pStyle w:val="ListParagraph"/>
        <w:numPr>
          <w:ilvl w:val="0"/>
          <w:numId w:val="2"/>
        </w:numPr>
        <w:spacing w:after="100" w:line="290"/>
      </w:pPr>
      <w:r>
        <w:t xml:space="preserve">The Three-Level View (Individual → Team → Organizational) — legibility measured by perception gap.</w:t>
      </w:r>
    </w:p>
    <w:p>
      <w:pPr>
        <w:pStyle w:val="Heading2"/>
        <w:spacing w:after="160" w:before="320"/>
      </w:pPr>
      <w:r>
        <w:t xml:space="preserve">The Live Deliverable</w:t>
      </w:r>
    </w:p>
    <w:p>
      <w:pPr>
        <w:spacing w:after="160" w:line="300"/>
      </w:pPr>
      <w:r>
        <w:t xml:space="preserve">The Legibility Audit + Deployment Map. A two-to-three week engagement that pairs the assessment instruments with stakeholder interviews, surfaces the perception gaps between internal and external readings, and produces a Deployment Map — the specific moments, surfaces, and audiences where the narrative needs to land in the next twelve months. Output: a one-page Narrative Deployment Calendar tied to board meetings, all-hands, investor updates, hiring pushes, product launches, and any other narrative-bearing moment the company has on the horizon.</w:t>
      </w:r>
    </w:p>
    <w:p>
      <w:pPr>
        <w:pStyle w:val="Heading2"/>
        <w:spacing w:after="160" w:before="320"/>
      </w:pPr>
      <w:r>
        <w:t xml:space="preserve">The Six-Word Frame</w:t>
      </w:r>
    </w:p>
    <w:p>
      <w:pPr>
        <w:pBdr>
          <w:left w:val="single" w:color="1A1A1A" w:sz="12" w:space="12"/>
        </w:pBdr>
        <w:spacing w:after="200" w:before="160" w:line="300"/>
        <w:ind w:left="720" w:right="720"/>
      </w:pPr>
      <w:r>
        <w:rPr>
          <w:i/>
          <w:iCs/>
        </w:rPr>
        <w:t xml:space="preserve">They cannot buy what they cannot read.</w:t>
      </w:r>
    </w:p>
    <w:p>
      <w:r>
        <w:br w:type="page"/>
      </w:r>
    </w:p>
    <w:p>
      <w:pPr>
        <w:pStyle w:val="Heading1"/>
        <w:spacing w:after="200" w:before="480"/>
      </w:pPr>
      <w:r>
        <w:t xml:space="preserve">The Integrated Map</w:t>
      </w:r>
    </w:p>
    <w:p>
      <w:pPr>
        <w:spacing w:after="160" w:line="300"/>
      </w:pPr>
      <w:r>
        <w:t xml:space="preserve">Below is the schema rendered as a single working table. Use it for sales calls, keynote outlines, product development, and internal briefings. Every existing piece of intellectual property has a home. Nothing in your body of work is unaccounted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BFBFBF" w:sz="4"/>
              <w:left w:val="single" w:color="BFBFBF" w:sz="4"/>
              <w:bottom w:val="single" w:color="BFBFBF" w:sz="4"/>
              <w:right w:val="single" w:color="BFBFBF" w:sz="4"/>
            </w:tcBorders>
            <w:shd w:fill="1A1A1A" w:val="clear"/>
            <w:tcMar>
              <w:top w:type="dxa" w:w="120"/>
              <w:left w:type="dxa" w:w="160"/>
              <w:bottom w:type="dxa" w:w="120"/>
              <w:right w:type="dxa" w:w="160"/>
            </w:tcMar>
          </w:tcPr>
          <w:p>
            <w:pPr>
              <w:spacing w:after="0" w:line="280"/>
              <w:jc w:val="center"/>
            </w:pPr>
            <w:r>
              <w:rPr>
                <w:b/>
                <w:bCs/>
                <w:i w:val="false"/>
                <w:iCs w:val="false"/>
                <w:color w:val="FFFFFF"/>
                <w:sz w:val="20"/>
                <w:szCs w:val="20"/>
              </w:rPr>
              <w:t xml:space="preserve">LAYER</w:t>
            </w:r>
          </w:p>
        </w:tc>
        <w:tc>
          <w:tcPr>
            <w:tcW w:type="dxa" w:w="1950"/>
            <w:tcBorders>
              <w:top w:val="single" w:color="BFBFBF" w:sz="4"/>
              <w:left w:val="single" w:color="BFBFBF" w:sz="4"/>
              <w:bottom w:val="single" w:color="BFBFBF" w:sz="4"/>
              <w:right w:val="single" w:color="BFBFBF" w:sz="4"/>
            </w:tcBorders>
            <w:shd w:fill="DDEAD6" w:val="clear"/>
            <w:tcMar>
              <w:top w:type="dxa" w:w="120"/>
              <w:left w:type="dxa" w:w="160"/>
              <w:bottom w:type="dxa" w:w="120"/>
              <w:right w:type="dxa" w:w="160"/>
            </w:tcMar>
          </w:tcPr>
          <w:p>
            <w:pPr>
              <w:spacing w:after="0" w:line="280"/>
              <w:jc w:val="center"/>
            </w:pPr>
            <w:r>
              <w:rPr>
                <w:b/>
                <w:bCs/>
                <w:i w:val="false"/>
                <w:iCs w:val="false"/>
                <w:sz w:val="20"/>
                <w:szCs w:val="20"/>
              </w:rPr>
              <w:t xml:space="preserve">COHERENCE</w:t>
            </w:r>
          </w:p>
        </w:tc>
        <w:tc>
          <w:tcPr>
            <w:tcW w:type="dxa" w:w="1950"/>
            <w:tcBorders>
              <w:top w:val="single" w:color="BFBFBF" w:sz="4"/>
              <w:left w:val="single" w:color="BFBFBF" w:sz="4"/>
              <w:bottom w:val="single" w:color="BFBFBF" w:sz="4"/>
              <w:right w:val="single" w:color="BFBFBF" w:sz="4"/>
            </w:tcBorders>
            <w:shd w:fill="FAF1D6" w:val="clear"/>
            <w:tcMar>
              <w:top w:type="dxa" w:w="120"/>
              <w:left w:type="dxa" w:w="160"/>
              <w:bottom w:type="dxa" w:w="120"/>
              <w:right w:type="dxa" w:w="160"/>
            </w:tcMar>
          </w:tcPr>
          <w:p>
            <w:pPr>
              <w:spacing w:after="0" w:line="280"/>
              <w:jc w:val="center"/>
            </w:pPr>
            <w:r>
              <w:rPr>
                <w:b/>
                <w:bCs/>
                <w:i w:val="false"/>
                <w:iCs w:val="false"/>
                <w:sz w:val="20"/>
                <w:szCs w:val="20"/>
              </w:rPr>
              <w:t xml:space="preserve">RESONANCE</w:t>
            </w:r>
          </w:p>
        </w:tc>
        <w:tc>
          <w:tcPr>
            <w:tcW w:type="dxa" w:w="1950"/>
            <w:tcBorders>
              <w:top w:val="single" w:color="BFBFBF" w:sz="4"/>
              <w:left w:val="single" w:color="BFBFBF" w:sz="4"/>
              <w:bottom w:val="single" w:color="BFBFBF" w:sz="4"/>
              <w:right w:val="single" w:color="BFBFBF" w:sz="4"/>
            </w:tcBorders>
            <w:shd w:fill="F4E4E4" w:val="clear"/>
            <w:tcMar>
              <w:top w:type="dxa" w:w="120"/>
              <w:left w:type="dxa" w:w="160"/>
              <w:bottom w:type="dxa" w:w="120"/>
              <w:right w:type="dxa" w:w="160"/>
            </w:tcMar>
          </w:tcPr>
          <w:p>
            <w:pPr>
              <w:spacing w:after="0" w:line="280"/>
              <w:jc w:val="center"/>
            </w:pPr>
            <w:r>
              <w:rPr>
                <w:b/>
                <w:bCs/>
                <w:i w:val="false"/>
                <w:iCs w:val="false"/>
                <w:sz w:val="20"/>
                <w:szCs w:val="20"/>
              </w:rPr>
              <w:t xml:space="preserve">CONVICTION</w:t>
            </w:r>
          </w:p>
        </w:tc>
        <w:tc>
          <w:tcPr>
            <w:tcW w:type="dxa" w:w="1950"/>
            <w:tcBorders>
              <w:top w:val="single" w:color="BFBFBF" w:sz="4"/>
              <w:left w:val="single" w:color="BFBFBF" w:sz="4"/>
              <w:bottom w:val="single" w:color="BFBFBF" w:sz="4"/>
              <w:right w:val="single" w:color="BFBFBF" w:sz="4"/>
            </w:tcBorders>
            <w:shd w:fill="DCE6F2" w:val="clear"/>
            <w:tcMar>
              <w:top w:type="dxa" w:w="120"/>
              <w:left w:type="dxa" w:w="160"/>
              <w:bottom w:type="dxa" w:w="120"/>
              <w:right w:type="dxa" w:w="160"/>
            </w:tcMar>
          </w:tcPr>
          <w:p>
            <w:pPr>
              <w:spacing w:after="0" w:line="280"/>
              <w:jc w:val="center"/>
            </w:pPr>
            <w:r>
              <w:rPr>
                <w:b/>
                <w:bCs/>
                <w:i w:val="false"/>
                <w:iCs w:val="false"/>
                <w:sz w:val="20"/>
                <w:szCs w:val="20"/>
              </w:rPr>
              <w:t xml:space="preserve">LEGIBILITY</w:t>
            </w:r>
          </w:p>
        </w:tc>
      </w:tr>
      <w:tr>
        <w:tc>
          <w:tcPr>
            <w:tcW w:type="dxa" w:w="15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EDGE Phase</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Explore</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Discover</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Grow</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Engage</w:t>
            </w:r>
          </w:p>
        </w:tc>
      </w:tr>
      <w:tr>
        <w:tc>
          <w:tcPr>
            <w:tcW w:type="dxa" w:w="15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Five Rs</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Recall + Reflect</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Relate</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Refine</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Release</w:t>
            </w:r>
          </w:p>
        </w:tc>
      </w:tr>
      <w:tr>
        <w:tc>
          <w:tcPr>
            <w:tcW w:type="dxa" w:w="15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Anchor Framework</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Four Quadrants</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Kitchen Table vs. Police Report</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The Authored Self</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Meeting the Moment</w:t>
            </w:r>
          </w:p>
        </w:tc>
      </w:tr>
      <w:tr>
        <w:tc>
          <w:tcPr>
            <w:tcW w:type="dxa" w:w="15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Book Chapters</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Ch. 1, 2, 8 (Quadrants)</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Ch. 9, 10, 6</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Ch. 2, 8, 11, 12</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Ch. 3, 5, 6, Lost Chapter</w:t>
            </w:r>
          </w:p>
        </w:tc>
      </w:tr>
      <w:tr>
        <w:tc>
          <w:tcPr>
            <w:tcW w:type="dxa" w:w="15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Field Guide Sections</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Appendix C, G; Bench Sessions</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Ch. 9; Appendix D; Six-Word Stories</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Ch. 2, 8; Permission Slip; Eulogy</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Appendix E; Pitch Transformation</w:t>
            </w:r>
          </w:p>
        </w:tc>
      </w:tr>
      <w:tr>
        <w:tc>
          <w:tcPr>
            <w:tcW w:type="dxa" w:w="15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Assessment Anchor</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Org Section 1; Personal Section 1</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Org Section 2; Quick Part 2 + 3</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Personal Section 8; Org 1.4; Quick closing question</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0"/>
                <w:szCs w:val="20"/>
              </w:rPr>
              <w:t xml:space="preserve">Org Sections 3 + 4; Three-Level View</w:t>
            </w:r>
          </w:p>
        </w:tc>
      </w:tr>
      <w:tr>
        <w:tc>
          <w:tcPr>
            <w:tcW w:type="dxa" w:w="15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Absorbed Words</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iCs/>
                <w:color w:val="595959"/>
                <w:sz w:val="20"/>
                <w:szCs w:val="20"/>
              </w:rPr>
              <w:t xml:space="preserve">Alignment, Continuity, Trust</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iCs/>
                <w:color w:val="595959"/>
                <w:sz w:val="20"/>
                <w:szCs w:val="20"/>
              </w:rPr>
              <w:t xml:space="preserve">Engagement, Connection, Authenticity (exterior)</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iCs/>
                <w:color w:val="595959"/>
                <w:sz w:val="20"/>
                <w:szCs w:val="20"/>
              </w:rPr>
              <w:t xml:space="preserve">Belief, Voice (interior), Authenticity (interior)</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iCs/>
                <w:color w:val="595959"/>
                <w:sz w:val="20"/>
                <w:szCs w:val="20"/>
              </w:rPr>
              <w:t xml:space="preserve">Clarity, Memory, Voice (exterior)</w:t>
            </w:r>
          </w:p>
        </w:tc>
      </w:tr>
      <w:tr>
        <w:tc>
          <w:tcPr>
            <w:tcW w:type="dxa" w:w="15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Live Deliverable</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Coherence Score (60-min)</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Resonance Lab (half-day)</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Conviction Intensive (4–6 wks, 1:1)</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Legibility Audit + Deployment Map (2–3 wks)</w:t>
            </w:r>
          </w:p>
        </w:tc>
      </w:tr>
      <w:tr>
        <w:tc>
          <w:tcPr>
            <w:tcW w:type="dxa" w:w="15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0"/>
                <w:szCs w:val="20"/>
              </w:rPr>
              <w:t xml:space="preserve">Six-Word Frame</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iCs/>
                <w:sz w:val="20"/>
                <w:szCs w:val="20"/>
              </w:rPr>
              <w:t xml:space="preserve">One spine. Many rooms. One story.</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iCs/>
                <w:sz w:val="20"/>
                <w:szCs w:val="20"/>
              </w:rPr>
              <w:t xml:space="preserve">Accurate isn't enough. Make them feel.</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iCs/>
                <w:sz w:val="20"/>
                <w:szCs w:val="20"/>
              </w:rPr>
              <w:t xml:space="preserve">Whose story am I really telling?</w:t>
            </w:r>
          </w:p>
        </w:tc>
        <w:tc>
          <w:tcPr>
            <w:tcW w:type="dxa" w:w="195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iCs/>
                <w:sz w:val="20"/>
                <w:szCs w:val="20"/>
              </w:rPr>
              <w:t xml:space="preserve">They cannot buy what they cannot read.</w:t>
            </w:r>
          </w:p>
        </w:tc>
      </w:tr>
    </w:tbl>
    <w:p>
      <w:r>
        <w:br w:type="page"/>
      </w:r>
    </w:p>
    <w:p>
      <w:pPr>
        <w:pStyle w:val="Heading1"/>
        <w:spacing w:after="200" w:before="480"/>
      </w:pPr>
      <w:r>
        <w:t xml:space="preserve">How the Stack Flows</w:t>
      </w:r>
    </w:p>
    <w:p>
      <w:pPr>
        <w:spacing w:after="160" w:line="300"/>
      </w:pPr>
      <w:r>
        <w:t xml:space="preserve">The four pillars are not a checklist. They are a sequence — and they are also a diagnostic. A leader almost always presents at one pillar and reveals their actual need at another. Knowing the difference is most of the consultative work.</w:t>
      </w:r>
    </w:p>
    <w:p>
      <w:pPr>
        <w:pStyle w:val="Heading2"/>
        <w:spacing w:after="160" w:before="320"/>
      </w:pPr>
      <w:r>
        <w:t xml:space="preserve">The Standard Sequence</w:t>
      </w:r>
    </w:p>
    <w:p>
      <w:pPr>
        <w:spacing w:after="160" w:line="300"/>
      </w:pPr>
      <w:r>
        <w:t xml:space="preserve">In a healthy engagement, the work moves left to right:</w:t>
      </w:r>
    </w:p>
    <w:p>
      <w:pPr>
        <w:pStyle w:val="ListParagraph"/>
        <w:numPr>
          <w:ilvl w:val="0"/>
          <w:numId w:val="3"/>
        </w:numPr>
        <w:spacing w:after="100" w:line="290"/>
      </w:pPr>
      <w:r>
        <w:t xml:space="preserve">Coherence comes first because it is what the leader can see. The story changes shape across rooms. Score it, name the pattern, surface the gap.</w:t>
      </w:r>
    </w:p>
    <w:p>
      <w:pPr>
        <w:pStyle w:val="ListParagraph"/>
        <w:numPr>
          <w:ilvl w:val="0"/>
          <w:numId w:val="3"/>
        </w:numPr>
        <w:spacing w:after="100" w:line="290"/>
      </w:pPr>
      <w:r>
        <w:t xml:space="preserve">Resonance comes second because once coherence is mapped, the question becomes: does the now-aligned story actually move people? The Police Report bio is replaced with the Kitchen Table version.</w:t>
      </w:r>
    </w:p>
    <w:p>
      <w:pPr>
        <w:pStyle w:val="ListParagraph"/>
        <w:numPr>
          <w:ilvl w:val="0"/>
          <w:numId w:val="3"/>
        </w:numPr>
        <w:spacing w:after="100" w:line="290"/>
      </w:pPr>
      <w:r>
        <w:t xml:space="preserve">Conviction comes third — and only when the leader is ready. Conviction work cannot be rushed. It usually surfaces because the Coherence and Resonance work has revealed that the leader is performing a script they did not write. The work then turns inward.</w:t>
      </w:r>
    </w:p>
    <w:p>
      <w:pPr>
        <w:pStyle w:val="ListParagraph"/>
        <w:numPr>
          <w:ilvl w:val="0"/>
          <w:numId w:val="3"/>
        </w:numPr>
        <w:spacing w:after="100" w:line="290"/>
      </w:pPr>
      <w:r>
        <w:t xml:space="preserve">Legibility comes fourth because it is the work of releasing the story into the world. Once the leader is coherent, resonant, and convicted, the question becomes: where does this story need to land, and in what register, for the audiences that matter most?</w:t>
      </w:r>
    </w:p>
    <w:p>
      <w:pPr>
        <w:pStyle w:val="Heading2"/>
        <w:spacing w:after="160" w:before="320"/>
      </w:pPr>
      <w:r>
        <w:t xml:space="preserve">The Diagnostic Move</w:t>
      </w:r>
    </w:p>
    <w:p>
      <w:pPr>
        <w:spacing w:after="160" w:line="300"/>
      </w:pPr>
      <w:r>
        <w:t xml:space="preserve">In practice, leaders rarely present at the pillar where they actually need work. The skilled move is to use the presenting pillar as the entry point and listen for which pillar surfaces underneath.</w:t>
      </w:r>
    </w:p>
    <w:p>
      <w:pPr>
        <w:pStyle w:val="ListParagraph"/>
        <w:numPr>
          <w:ilvl w:val="0"/>
          <w:numId w:val="2"/>
        </w:numPr>
        <w:spacing w:after="100" w:line="290"/>
      </w:pPr>
      <w:r>
        <w:t xml:space="preserve">A leader who presents with a Resonance complaint ("the message isn't landing") often has a Coherence problem — the message is landing, but the leader is sending three different versions of it to three different audiences.</w:t>
      </w:r>
    </w:p>
    <w:p>
      <w:pPr>
        <w:pStyle w:val="ListParagraph"/>
        <w:numPr>
          <w:ilvl w:val="0"/>
          <w:numId w:val="2"/>
        </w:numPr>
        <w:spacing w:after="100" w:line="290"/>
      </w:pPr>
      <w:r>
        <w:t xml:space="preserve">A leader who presents with a Legibility complaint ("the market doesn't get us") often has a Conviction problem — the founder has stopped believing the story they are telling, and the audience is reading their hesitation as ambiguity.</w:t>
      </w:r>
    </w:p>
    <w:p>
      <w:pPr>
        <w:pStyle w:val="ListParagraph"/>
        <w:numPr>
          <w:ilvl w:val="0"/>
          <w:numId w:val="2"/>
        </w:numPr>
        <w:spacing w:after="100" w:line="290"/>
      </w:pPr>
      <w:r>
        <w:t xml:space="preserve">A leader who presents with a Conviction complaint ("I've lost my fire") often has a Coherence problem — they are exhausted from carrying multiple incoherent versions of the story across audiences, and they read that exhaustion as a loss of conviction.</w:t>
      </w:r>
    </w:p>
    <w:p>
      <w:pPr>
        <w:pStyle w:val="ListParagraph"/>
        <w:numPr>
          <w:ilvl w:val="0"/>
          <w:numId w:val="2"/>
        </w:numPr>
        <w:spacing w:after="100" w:line="290"/>
      </w:pPr>
      <w:r>
        <w:t xml:space="preserve">A leader who presents with a Coherence complaint is usually right about Coherence. This is why it is the campaign's front door.</w:t>
      </w:r>
    </w:p>
    <w:p>
      <w:pPr>
        <w:pBdr>
          <w:bottom w:val="single" w:color="1A1A1A" w:sz="6" w:space="1"/>
        </w:pBdr>
        <w:spacing w:after="320" w:before="320"/>
      </w:pPr>
      <w:r>
        <w:t xml:space="preserve"/>
      </w:r>
    </w:p>
    <w:p>
      <w:pPr>
        <w:pStyle w:val="Heading1"/>
        <w:spacing w:after="200" w:before="480"/>
      </w:pPr>
      <w:r>
        <w:t xml:space="preserve">Commercial Architecture</w:t>
      </w:r>
    </w:p>
    <w:p>
      <w:pPr>
        <w:spacing w:after="160" w:line="300"/>
      </w:pPr>
      <w:r>
        <w:t xml:space="preserve">The four pillars are also four paid offerings. Each one is a stand-alone engagement. Together they form the Storyteller in Residence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FBFBF" w:sz="4"/>
              <w:left w:val="single" w:color="BFBFBF" w:sz="4"/>
              <w:bottom w:val="single" w:color="BFBFBF" w:sz="4"/>
              <w:right w:val="single" w:color="BFBFBF" w:sz="4"/>
            </w:tcBorders>
            <w:shd w:fill="1A1A1A" w:val="clear"/>
            <w:tcMar>
              <w:top w:type="dxa" w:w="120"/>
              <w:left w:type="dxa" w:w="160"/>
              <w:bottom w:type="dxa" w:w="120"/>
              <w:right w:type="dxa" w:w="160"/>
            </w:tcMar>
          </w:tcPr>
          <w:p>
            <w:pPr>
              <w:spacing w:after="0" w:line="280"/>
              <w:jc w:val="center"/>
            </w:pPr>
            <w:r>
              <w:rPr>
                <w:b/>
                <w:bCs/>
                <w:i w:val="false"/>
                <w:iCs w:val="false"/>
                <w:color w:val="FFFFFF"/>
                <w:sz w:val="22"/>
                <w:szCs w:val="22"/>
              </w:rPr>
              <w:t xml:space="preserve">PILLAR</w:t>
            </w:r>
          </w:p>
        </w:tc>
        <w:tc>
          <w:tcPr>
            <w:tcW w:type="dxa" w:w="2520"/>
            <w:tcBorders>
              <w:top w:val="single" w:color="BFBFBF" w:sz="4"/>
              <w:left w:val="single" w:color="BFBFBF" w:sz="4"/>
              <w:bottom w:val="single" w:color="BFBFBF" w:sz="4"/>
              <w:right w:val="single" w:color="BFBFBF" w:sz="4"/>
            </w:tcBorders>
            <w:shd w:fill="1A1A1A" w:val="clear"/>
            <w:tcMar>
              <w:top w:type="dxa" w:w="120"/>
              <w:left w:type="dxa" w:w="160"/>
              <w:bottom w:type="dxa" w:w="120"/>
              <w:right w:type="dxa" w:w="160"/>
            </w:tcMar>
          </w:tcPr>
          <w:p>
            <w:pPr>
              <w:spacing w:after="0" w:line="280"/>
              <w:jc w:val="center"/>
            </w:pPr>
            <w:r>
              <w:rPr>
                <w:b/>
                <w:bCs/>
                <w:i w:val="false"/>
                <w:iCs w:val="false"/>
                <w:color w:val="FFFFFF"/>
                <w:sz w:val="22"/>
                <w:szCs w:val="22"/>
              </w:rPr>
              <w:t xml:space="preserve">OFFERING</w:t>
            </w:r>
          </w:p>
        </w:tc>
        <w:tc>
          <w:tcPr>
            <w:tcW w:type="dxa" w:w="2520"/>
            <w:tcBorders>
              <w:top w:val="single" w:color="BFBFBF" w:sz="4"/>
              <w:left w:val="single" w:color="BFBFBF" w:sz="4"/>
              <w:bottom w:val="single" w:color="BFBFBF" w:sz="4"/>
              <w:right w:val="single" w:color="BFBFBF" w:sz="4"/>
            </w:tcBorders>
            <w:shd w:fill="1A1A1A" w:val="clear"/>
            <w:tcMar>
              <w:top w:type="dxa" w:w="120"/>
              <w:left w:type="dxa" w:w="160"/>
              <w:bottom w:type="dxa" w:w="120"/>
              <w:right w:type="dxa" w:w="160"/>
            </w:tcMar>
          </w:tcPr>
          <w:p>
            <w:pPr>
              <w:spacing w:after="0" w:line="280"/>
              <w:jc w:val="center"/>
            </w:pPr>
            <w:r>
              <w:rPr>
                <w:b/>
                <w:bCs/>
                <w:i w:val="false"/>
                <w:iCs w:val="false"/>
                <w:color w:val="FFFFFF"/>
                <w:sz w:val="22"/>
                <w:szCs w:val="22"/>
              </w:rPr>
              <w:t xml:space="preserve">FORMAT</w:t>
            </w:r>
          </w:p>
        </w:tc>
        <w:tc>
          <w:tcPr>
            <w:tcW w:type="dxa" w:w="2520"/>
            <w:tcBorders>
              <w:top w:val="single" w:color="BFBFBF" w:sz="4"/>
              <w:left w:val="single" w:color="BFBFBF" w:sz="4"/>
              <w:bottom w:val="single" w:color="BFBFBF" w:sz="4"/>
              <w:right w:val="single" w:color="BFBFBF" w:sz="4"/>
            </w:tcBorders>
            <w:shd w:fill="1A1A1A" w:val="clear"/>
            <w:tcMar>
              <w:top w:type="dxa" w:w="120"/>
              <w:left w:type="dxa" w:w="160"/>
              <w:bottom w:type="dxa" w:w="120"/>
              <w:right w:type="dxa" w:w="160"/>
            </w:tcMar>
          </w:tcPr>
          <w:p>
            <w:pPr>
              <w:spacing w:after="0" w:line="280"/>
              <w:jc w:val="center"/>
            </w:pPr>
            <w:r>
              <w:rPr>
                <w:b/>
                <w:bCs/>
                <w:i w:val="false"/>
                <w:iCs w:val="false"/>
                <w:color w:val="FFFFFF"/>
                <w:sz w:val="22"/>
                <w:szCs w:val="22"/>
              </w:rPr>
              <w:t xml:space="preserve">USED AS</w:t>
            </w:r>
          </w:p>
        </w:tc>
      </w:tr>
      <w:tr>
        <w:tc>
          <w:tcPr>
            <w:tcW w:type="dxa" w:w="1800"/>
            <w:tcBorders>
              <w:top w:val="single" w:color="BFBFBF" w:sz="4"/>
              <w:left w:val="single" w:color="BFBFBF" w:sz="4"/>
              <w:bottom w:val="single" w:color="BFBFBF" w:sz="4"/>
              <w:right w:val="single" w:color="BFBFBF" w:sz="4"/>
            </w:tcBorders>
            <w:shd w:fill="DDEAD6" w:val="clear"/>
            <w:tcMar>
              <w:top w:type="dxa" w:w="120"/>
              <w:left w:type="dxa" w:w="160"/>
              <w:bottom w:type="dxa" w:w="120"/>
              <w:right w:type="dxa" w:w="160"/>
            </w:tcMar>
          </w:tcPr>
          <w:p>
            <w:pPr>
              <w:spacing w:after="0" w:line="280"/>
              <w:jc w:val="left"/>
            </w:pPr>
            <w:r>
              <w:rPr>
                <w:b/>
                <w:bCs/>
                <w:i w:val="false"/>
                <w:iCs w:val="false"/>
                <w:sz w:val="22"/>
                <w:szCs w:val="22"/>
              </w:rPr>
              <w:t xml:space="preserve">Coherence</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Coherence Score / Coherence Audit</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60-minute live call + 48-hour deliverables</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Front door. Discovery. Stand-alone audit. Annual recalibration for SiR clients.</w:t>
            </w:r>
          </w:p>
        </w:tc>
      </w:tr>
      <w:tr>
        <w:tc>
          <w:tcPr>
            <w:tcW w:type="dxa" w:w="1800"/>
            <w:tcBorders>
              <w:top w:val="single" w:color="BFBFBF" w:sz="4"/>
              <w:left w:val="single" w:color="BFBFBF" w:sz="4"/>
              <w:bottom w:val="single" w:color="BFBFBF" w:sz="4"/>
              <w:right w:val="single" w:color="BFBFBF" w:sz="4"/>
            </w:tcBorders>
            <w:shd w:fill="FAF1D6" w:val="clear"/>
            <w:tcMar>
              <w:top w:type="dxa" w:w="120"/>
              <w:left w:type="dxa" w:w="160"/>
              <w:bottom w:type="dxa" w:w="120"/>
              <w:right w:type="dxa" w:w="160"/>
            </w:tcMar>
          </w:tcPr>
          <w:p>
            <w:pPr>
              <w:spacing w:after="0" w:line="280"/>
              <w:jc w:val="left"/>
            </w:pPr>
            <w:r>
              <w:rPr>
                <w:b/>
                <w:bCs/>
                <w:i w:val="false"/>
                <w:iCs w:val="false"/>
                <w:sz w:val="22"/>
                <w:szCs w:val="22"/>
              </w:rPr>
              <w:t xml:space="preserve">Resonance</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Resonance Lab</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Half-day or full-day working session, in-person or virtual</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Mid-tier engagement. Often follows a Coherence Score that flagged Resonance as the leak.</w:t>
            </w:r>
          </w:p>
        </w:tc>
      </w:tr>
      <w:tr>
        <w:tc>
          <w:tcPr>
            <w:tcW w:type="dxa" w:w="1800"/>
            <w:tcBorders>
              <w:top w:val="single" w:color="BFBFBF" w:sz="4"/>
              <w:left w:val="single" w:color="BFBFBF" w:sz="4"/>
              <w:bottom w:val="single" w:color="BFBFBF" w:sz="4"/>
              <w:right w:val="single" w:color="BFBFBF" w:sz="4"/>
            </w:tcBorders>
            <w:shd w:fill="F4E4E4" w:val="clear"/>
            <w:tcMar>
              <w:top w:type="dxa" w:w="120"/>
              <w:left w:type="dxa" w:w="160"/>
              <w:bottom w:type="dxa" w:w="120"/>
              <w:right w:type="dxa" w:w="160"/>
            </w:tcMar>
          </w:tcPr>
          <w:p>
            <w:pPr>
              <w:spacing w:after="0" w:line="280"/>
              <w:jc w:val="left"/>
            </w:pPr>
            <w:r>
              <w:rPr>
                <w:b/>
                <w:bCs/>
                <w:i w:val="false"/>
                <w:iCs w:val="false"/>
                <w:sz w:val="22"/>
                <w:szCs w:val="22"/>
              </w:rPr>
              <w:t xml:space="preserve">Conviction</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Conviction Intensive</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4–6 weeks, 2–3 private sessions, 1:1 or co-founder pair</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Premium private engagement. Reserved for leaders ready for interior work.</w:t>
            </w:r>
          </w:p>
        </w:tc>
      </w:tr>
      <w:tr>
        <w:tc>
          <w:tcPr>
            <w:tcW w:type="dxa" w:w="1800"/>
            <w:tcBorders>
              <w:top w:val="single" w:color="BFBFBF" w:sz="4"/>
              <w:left w:val="single" w:color="BFBFBF" w:sz="4"/>
              <w:bottom w:val="single" w:color="BFBFBF" w:sz="4"/>
              <w:right w:val="single" w:color="BFBFBF" w:sz="4"/>
            </w:tcBorders>
            <w:shd w:fill="DCE6F2" w:val="clear"/>
            <w:tcMar>
              <w:top w:type="dxa" w:w="120"/>
              <w:left w:type="dxa" w:w="160"/>
              <w:bottom w:type="dxa" w:w="120"/>
              <w:right w:type="dxa" w:w="160"/>
            </w:tcMar>
          </w:tcPr>
          <w:p>
            <w:pPr>
              <w:spacing w:after="0" w:line="280"/>
              <w:jc w:val="left"/>
            </w:pPr>
            <w:r>
              <w:rPr>
                <w:b/>
                <w:bCs/>
                <w:i w:val="false"/>
                <w:iCs w:val="false"/>
                <w:sz w:val="22"/>
                <w:szCs w:val="22"/>
              </w:rPr>
              <w:t xml:space="preserve">Legibility</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Legibility Audit + Deployment Map</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2–3 weeks, stakeholder interviews + deliverable</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Outcome-facing engagement. Most natural for orgs preparing for raise, IPO, repositioning.</w:t>
            </w:r>
          </w:p>
        </w:tc>
      </w:tr>
      <w:tr>
        <w:tc>
          <w:tcPr>
            <w:tcW w:type="dxa" w:w="18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line="280"/>
              <w:jc w:val="left"/>
            </w:pPr>
            <w:r>
              <w:rPr>
                <w:b/>
                <w:bCs/>
                <w:i w:val="false"/>
                <w:iCs w:val="false"/>
                <w:sz w:val="22"/>
                <w:szCs w:val="22"/>
              </w:rPr>
              <w:t xml:space="preserve">All Four</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bCs/>
                <w:i w:val="false"/>
                <w:iCs w:val="false"/>
                <w:sz w:val="22"/>
                <w:szCs w:val="22"/>
              </w:rPr>
              <w:t xml:space="preserve">Storyteller in Residence</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Ongoing retainer, embedded across cycles</w:t>
            </w:r>
          </w:p>
        </w:tc>
        <w:tc>
          <w:tcPr>
            <w:tcW w:type="dxa" w:w="25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spacing w:after="0" w:line="280"/>
              <w:jc w:val="left"/>
            </w:pPr>
            <w:r>
              <w:rPr>
                <w:b w:val="false"/>
                <w:bCs w:val="false"/>
                <w:i w:val="false"/>
                <w:iCs w:val="false"/>
                <w:sz w:val="22"/>
                <w:szCs w:val="22"/>
              </w:rPr>
              <w:t xml:space="preserve">The full relationship. N2N model. LightLeapAI model. The default for organizations that want narrative as infrastructure, not project.</w:t>
            </w:r>
          </w:p>
        </w:tc>
      </w:tr>
    </w:tbl>
    <w:p>
      <w:pPr>
        <w:spacing w:after="160" w:line="300"/>
      </w:pPr>
      <w:r>
        <w:t xml:space="preserve"/>
      </w:r>
    </w:p>
    <w:p>
      <w:pPr>
        <w:spacing w:after="160" w:line="300"/>
      </w:pPr>
      <w:r>
        <w:t xml:space="preserve">The Storyteller in Residence is not a fifth offering. It is the integration of the other four, run continuously instead of episodically. Inside an SiR engagement, the four pillars become the recurring rhythm: a Coherence Score every twelve months, Resonance Labs around major launches, Conviction Intensives during leadership transitions, Legibility Audits ahead of board meetings and external moments.</w:t>
      </w:r>
    </w:p>
    <w:p>
      <w:r>
        <w:br w:type="page"/>
      </w:r>
    </w:p>
    <w:p>
      <w:pPr>
        <w:pStyle w:val="Heading1"/>
        <w:spacing w:after="200" w:before="480"/>
      </w:pPr>
      <w:r>
        <w:t xml:space="preserve">Where This Goes Next</w:t>
      </w:r>
    </w:p>
    <w:p>
      <w:pPr>
        <w:spacing w:after="160" w:line="300"/>
      </w:pPr>
      <w:r>
        <w:t xml:space="preserve">The schema is now built. The four pillars are anchored. The supporting words have homes. The Field Guide frameworks are mapped. The assessments are sorted by pillar. The commercial offerings are delineated. The full body of work is one architecture instead of many parts.</w:t>
      </w:r>
    </w:p>
    <w:p>
      <w:pPr>
        <w:spacing w:after="160" w:line="300"/>
      </w:pPr>
      <w:r>
        <w:t xml:space="preserve">The decisions in front of you are five — the same five from the Coherence Blueprint, now sharpened by the larger schema:</w:t>
      </w:r>
    </w:p>
    <w:p>
      <w:pPr>
        <w:pStyle w:val="ListParagraph"/>
        <w:numPr>
          <w:ilvl w:val="0"/>
          <w:numId w:val="3"/>
        </w:numPr>
        <w:spacing w:after="100" w:line="290"/>
      </w:pPr>
      <w:r>
        <w:t xml:space="preserve">Whether to lead the public campaign with Coherence alone, or whether to introduce the full four-pillar Narrative Stack as the framing from day one. (Recommendation: Coherence first as the campaign frame, the full Stack as the work itself.)</w:t>
      </w:r>
    </w:p>
    <w:p>
      <w:pPr>
        <w:pStyle w:val="ListParagraph"/>
        <w:numPr>
          <w:ilvl w:val="0"/>
          <w:numId w:val="3"/>
        </w:numPr>
        <w:spacing w:after="100" w:line="290"/>
      </w:pPr>
      <w:r>
        <w:t xml:space="preserve">Whether to build out Resonance, Conviction, and Legibility as separately marketable offerings — each with its own landing page, assessment funnel, and price point — or whether to keep them visible only inside Storyteller in Residence engagements.</w:t>
      </w:r>
    </w:p>
    <w:p>
      <w:pPr>
        <w:pStyle w:val="ListParagraph"/>
        <w:numPr>
          <w:ilvl w:val="0"/>
          <w:numId w:val="3"/>
        </w:numPr>
        <w:spacing w:after="100" w:line="290"/>
      </w:pPr>
      <w:r>
        <w:t xml:space="preserve">Whether to develop a Narrative Stack Diagnostic — a longer, paid version of the Quick Leadership Assessment that scores all four pillars at once and routes the leader to the right entry offering.</w:t>
      </w:r>
    </w:p>
    <w:p>
      <w:pPr>
        <w:pStyle w:val="ListParagraph"/>
        <w:numPr>
          <w:ilvl w:val="0"/>
          <w:numId w:val="3"/>
        </w:numPr>
        <w:spacing w:after="100" w:line="290"/>
      </w:pPr>
      <w:r>
        <w:t xml:space="preserve">Whether to publish the Stack as a Forbes piece ("Most leaders don't have a story problem. They have a stack problem.") to seed the language before the products are public.</w:t>
      </w:r>
    </w:p>
    <w:p>
      <w:pPr>
        <w:pStyle w:val="ListParagraph"/>
        <w:numPr>
          <w:ilvl w:val="0"/>
          <w:numId w:val="3"/>
        </w:numPr>
        <w:spacing w:after="100" w:line="290"/>
      </w:pPr>
      <w:r>
        <w:t xml:space="preserve">Whether to recast the keynote framing — "The Narrative Stack: Coherence, Resonance, Conviction, Legibility" — as the new core talk for executive audiences, with the seven Coherence dimensions as the centerpiece.</w:t>
      </w:r>
    </w:p>
    <w:p>
      <w:pPr>
        <w:pBdr>
          <w:bottom w:val="single" w:color="1A1A1A" w:sz="6" w:space="1"/>
        </w:pBdr>
        <w:spacing w:after="320" w:before="320"/>
      </w:pPr>
      <w:r>
        <w:t xml:space="preserve"/>
      </w:r>
    </w:p>
    <w:p>
      <w:pPr>
        <w:spacing w:after="160" w:line="300"/>
      </w:pPr>
      <w:r>
        <w:t xml:space="preserve">The Stack is the architecture. Coherence is the door. The other three are the chambers a leader walks through once they have decided the work is worth doing.</w:t>
      </w:r>
    </w:p>
    <w:p>
      <w:pPr>
        <w:spacing w:after="160" w:line="300"/>
      </w:pPr>
      <w:r>
        <w:t xml:space="preserve">This is what you have been doing for N2N and LightLeapAI all along. The schema gives it a name.</w:t>
      </w:r>
    </w:p>
    <w:p>
      <w:pPr>
        <w:spacing w:after="160" w:line="300"/>
      </w:pPr>
      <w:r>
        <w:t xml:space="preserve"/>
      </w:r>
    </w:p>
    <w:p>
      <w:pPr>
        <w:spacing w:after="160" w:line="300"/>
      </w:pPr>
      <w:r>
        <w:rPr>
          <w:i/>
          <w:iCs/>
        </w:rPr>
        <w:t xml:space="preserve">Yours in Narrative</w:t>
      </w:r>
    </w:p>
    <w:p>
      <w:pPr>
        <w:spacing w:after="160" w:line="300"/>
      </w:pPr>
      <w:r>
        <w:t xml:space="preserve">You Matter. We Matter. Stories Matter.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The Narrative Stack: A Comprehensive Schema  |  Rod Berger, PsyD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2026-05-06T18:41:48.561Z</dcterms:created>
  <dcterms:modified xsi:type="dcterms:W3CDTF">2026-05-06T18:41:48.574Z</dcterms:modified>
</cp:coreProperties>
</file>

<file path=docProps/custom.xml><?xml version="1.0" encoding="utf-8"?>
<Properties xmlns="http://schemas.openxmlformats.org/officeDocument/2006/custom-properties" xmlns:vt="http://schemas.openxmlformats.org/officeDocument/2006/docPropsVTypes"/>
</file>