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2A37"/>
          <w:sz w:val="38"/>
          <w:szCs w:val="38"/>
        </w:rPr>
        <w:t xml:space="preserve">THE ASSESSMENT ROUTING SPEC</w:t>
      </w:r>
    </w:p>
    <w:p>
      <w:pPr>
        <w:spacing w:after="120"/>
      </w:pPr>
      <w:r>
        <w:rPr>
          <w:i/>
          <w:iCs/>
          <w:color w:val="2E5A6B"/>
          <w:sz w:val="25"/>
          <w:szCs w:val="25"/>
        </w:rPr>
        <w:t xml:space="preserve">V2  ·  Decoupled Axes, Flexible Anchor, Full Funnel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9C9C9" w:sz="1"/>
              <w:left w:val="single" w:color="C9C9C9" w:sz="1"/>
              <w:bottom w:val="single" w:color="C9C9C9" w:sz="1"/>
              <w:right w:val="single" w:color="C9C9C9" w:sz="1"/>
            </w:tcBorders>
            <w:shd w:fill="EAF0F2" w:val="clear"/>
            <w:tcMar>
              <w:top w:type="dxa" w:w="80"/>
              <w:left w:type="dxa" w:w="110"/>
              <w:bottom w:type="dxa" w:w="80"/>
              <w:right w:type="dxa" w:w="110"/>
            </w:tcMar>
          </w:tcPr>
          <w:p>
            <w:pPr>
              <w:spacing w:after="0" w:line="244"/>
              <w:jc w:val="left"/>
            </w:pPr>
            <w:r>
              <w:rPr>
                <w:b/>
                <w:bCs/>
                <w:i w:val="false"/>
                <w:iCs w:val="false"/>
                <w:sz w:val="17"/>
                <w:szCs w:val="17"/>
              </w:rPr>
              <w:t xml:space="preserve">WHAT IT IS</w:t>
            </w:r>
          </w:p>
        </w:tc>
        <w:tc>
          <w:tcPr>
            <w:tcW w:type="dxa" w:w="7160"/>
            <w:tcBorders>
              <w:top w:val="single" w:color="C9C9C9" w:sz="1"/>
              <w:left w:val="single" w:color="C9C9C9" w:sz="1"/>
              <w:bottom w:val="single" w:color="C9C9C9" w:sz="1"/>
              <w:right w:val="single" w:color="C9C9C9" w:sz="1"/>
            </w:tcBorders>
            <w:tcMar>
              <w:top w:type="dxa" w:w="80"/>
              <w:left w:type="dxa" w:w="110"/>
              <w:bottom w:type="dxa" w:w="80"/>
              <w:right w:type="dxa" w:w="110"/>
            </w:tcMar>
          </w:tcPr>
          <w:p>
            <w:pPr>
              <w:spacing w:after="0" w:line="244"/>
              <w:jc w:val="left"/>
            </w:pPr>
            <w:r>
              <w:rPr>
                <w:b w:val="false"/>
                <w:bCs w:val="false"/>
                <w:i w:val="false"/>
                <w:iCs w:val="false"/>
                <w:sz w:val="18"/>
                <w:szCs w:val="18"/>
              </w:rPr>
              <w:t xml:space="preserve">The build logic behind the embedded assessment: one canonical zone system across all six instruments and the social teasers above them, routing each result to an anchor plus a product.</w:t>
            </w:r>
          </w:p>
        </w:tc>
      </w:tr>
      <w:tr>
        <w:tc>
          <w:tcPr>
            <w:tcW w:type="dxa" w:w="2200"/>
            <w:tcBorders>
              <w:top w:val="single" w:color="C9C9C9" w:sz="1"/>
              <w:left w:val="single" w:color="C9C9C9" w:sz="1"/>
              <w:bottom w:val="single" w:color="C9C9C9" w:sz="1"/>
              <w:right w:val="single" w:color="C9C9C9" w:sz="1"/>
            </w:tcBorders>
            <w:shd w:fill="EAF0F2" w:val="clear"/>
            <w:tcMar>
              <w:top w:type="dxa" w:w="80"/>
              <w:left w:type="dxa" w:w="110"/>
              <w:bottom w:type="dxa" w:w="80"/>
              <w:right w:type="dxa" w:w="110"/>
            </w:tcMar>
          </w:tcPr>
          <w:p>
            <w:pPr>
              <w:spacing w:after="0" w:line="244"/>
              <w:jc w:val="left"/>
            </w:pPr>
            <w:r>
              <w:rPr>
                <w:b/>
                <w:bCs/>
                <w:i w:val="false"/>
                <w:iCs w:val="false"/>
                <w:sz w:val="17"/>
                <w:szCs w:val="17"/>
              </w:rPr>
              <w:t xml:space="preserve">PROJECT</w:t>
            </w:r>
          </w:p>
        </w:tc>
        <w:tc>
          <w:tcPr>
            <w:tcW w:type="dxa" w:w="7160"/>
            <w:tcBorders>
              <w:top w:val="single" w:color="C9C9C9" w:sz="1"/>
              <w:left w:val="single" w:color="C9C9C9" w:sz="1"/>
              <w:bottom w:val="single" w:color="C9C9C9" w:sz="1"/>
              <w:right w:val="single" w:color="C9C9C9" w:sz="1"/>
            </w:tcBorders>
            <w:tcMar>
              <w:top w:type="dxa" w:w="80"/>
              <w:left w:type="dxa" w:w="110"/>
              <w:bottom w:type="dxa" w:w="80"/>
              <w:right w:type="dxa" w:w="110"/>
            </w:tcMar>
          </w:tcPr>
          <w:p>
            <w:pPr>
              <w:spacing w:after="0" w:line="244"/>
              <w:jc w:val="left"/>
            </w:pPr>
            <w:r>
              <w:rPr>
                <w:b w:val="false"/>
                <w:bCs w:val="false"/>
                <w:i w:val="false"/>
                <w:iCs w:val="false"/>
                <w:sz w:val="18"/>
                <w:szCs w:val="18"/>
              </w:rPr>
              <w:t xml:space="preserve">The Narrative Edge (book, Field Guide, assessments, GTM)</w:t>
            </w:r>
          </w:p>
        </w:tc>
      </w:tr>
      <w:tr>
        <w:tc>
          <w:tcPr>
            <w:tcW w:type="dxa" w:w="2200"/>
            <w:tcBorders>
              <w:top w:val="single" w:color="C9C9C9" w:sz="1"/>
              <w:left w:val="single" w:color="C9C9C9" w:sz="1"/>
              <w:bottom w:val="single" w:color="C9C9C9" w:sz="1"/>
              <w:right w:val="single" w:color="C9C9C9" w:sz="1"/>
            </w:tcBorders>
            <w:shd w:fill="EAF0F2" w:val="clear"/>
            <w:tcMar>
              <w:top w:type="dxa" w:w="80"/>
              <w:left w:type="dxa" w:w="110"/>
              <w:bottom w:type="dxa" w:w="80"/>
              <w:right w:type="dxa" w:w="110"/>
            </w:tcMar>
          </w:tcPr>
          <w:p>
            <w:pPr>
              <w:spacing w:after="0" w:line="244"/>
              <w:jc w:val="left"/>
            </w:pPr>
            <w:r>
              <w:rPr>
                <w:b/>
                <w:bCs/>
                <w:i w:val="false"/>
                <w:iCs w:val="false"/>
                <w:sz w:val="17"/>
                <w:szCs w:val="17"/>
              </w:rPr>
              <w:t xml:space="preserve">WORKSTREAM</w:t>
            </w:r>
          </w:p>
        </w:tc>
        <w:tc>
          <w:tcPr>
            <w:tcW w:type="dxa" w:w="7160"/>
            <w:tcBorders>
              <w:top w:val="single" w:color="C9C9C9" w:sz="1"/>
              <w:left w:val="single" w:color="C9C9C9" w:sz="1"/>
              <w:bottom w:val="single" w:color="C9C9C9" w:sz="1"/>
              <w:right w:val="single" w:color="C9C9C9" w:sz="1"/>
            </w:tcBorders>
            <w:tcMar>
              <w:top w:type="dxa" w:w="80"/>
              <w:left w:type="dxa" w:w="110"/>
              <w:bottom w:type="dxa" w:w="80"/>
              <w:right w:type="dxa" w:w="110"/>
            </w:tcMar>
          </w:tcPr>
          <w:p>
            <w:pPr>
              <w:spacing w:after="0" w:line="244"/>
              <w:jc w:val="left"/>
            </w:pPr>
            <w:r>
              <w:rPr>
                <w:b w:val="false"/>
                <w:bCs w:val="false"/>
                <w:i w:val="false"/>
                <w:iCs w:val="false"/>
                <w:sz w:val="18"/>
                <w:szCs w:val="18"/>
              </w:rPr>
              <w:t xml:space="preserve">Assessment funnel and embedded-assessment build (Claude Code / Netlify)</w:t>
            </w:r>
          </w:p>
        </w:tc>
      </w:tr>
      <w:tr>
        <w:tc>
          <w:tcPr>
            <w:tcW w:type="dxa" w:w="2200"/>
            <w:tcBorders>
              <w:top w:val="single" w:color="C9C9C9" w:sz="1"/>
              <w:left w:val="single" w:color="C9C9C9" w:sz="1"/>
              <w:bottom w:val="single" w:color="C9C9C9" w:sz="1"/>
              <w:right w:val="single" w:color="C9C9C9" w:sz="1"/>
            </w:tcBorders>
            <w:shd w:fill="EAF0F2" w:val="clear"/>
            <w:tcMar>
              <w:top w:type="dxa" w:w="80"/>
              <w:left w:type="dxa" w:w="110"/>
              <w:bottom w:type="dxa" w:w="80"/>
              <w:right w:type="dxa" w:w="110"/>
            </w:tcMar>
          </w:tcPr>
          <w:p>
            <w:pPr>
              <w:spacing w:after="0" w:line="244"/>
              <w:jc w:val="left"/>
            </w:pPr>
            <w:r>
              <w:rPr>
                <w:b/>
                <w:bCs/>
                <w:i w:val="false"/>
                <w:iCs w:val="false"/>
                <w:sz w:val="17"/>
                <w:szCs w:val="17"/>
              </w:rPr>
              <w:t xml:space="preserve">FUNNEL TIER</w:t>
            </w:r>
          </w:p>
        </w:tc>
        <w:tc>
          <w:tcPr>
            <w:tcW w:type="dxa" w:w="7160"/>
            <w:tcBorders>
              <w:top w:val="single" w:color="C9C9C9" w:sz="1"/>
              <w:left w:val="single" w:color="C9C9C9" w:sz="1"/>
              <w:bottom w:val="single" w:color="C9C9C9" w:sz="1"/>
              <w:right w:val="single" w:color="C9C9C9" w:sz="1"/>
            </w:tcBorders>
            <w:tcMar>
              <w:top w:type="dxa" w:w="80"/>
              <w:left w:type="dxa" w:w="110"/>
              <w:bottom w:type="dxa" w:w="80"/>
              <w:right w:type="dxa" w:w="110"/>
            </w:tcMar>
          </w:tcPr>
          <w:p>
            <w:pPr>
              <w:spacing w:after="0" w:line="244"/>
              <w:jc w:val="left"/>
            </w:pPr>
            <w:r>
              <w:rPr>
                <w:b w:val="false"/>
                <w:bCs w:val="false"/>
                <w:i w:val="false"/>
                <w:iCs w:val="false"/>
                <w:sz w:val="18"/>
                <w:szCs w:val="18"/>
              </w:rPr>
              <w:t xml:space="preserve">Reference / build spec (not a market-facing asset)</w:t>
            </w:r>
          </w:p>
        </w:tc>
      </w:tr>
      <w:tr>
        <w:tc>
          <w:tcPr>
            <w:tcW w:type="dxa" w:w="2200"/>
            <w:tcBorders>
              <w:top w:val="single" w:color="C9C9C9" w:sz="1"/>
              <w:left w:val="single" w:color="C9C9C9" w:sz="1"/>
              <w:bottom w:val="single" w:color="C9C9C9" w:sz="1"/>
              <w:right w:val="single" w:color="C9C9C9" w:sz="1"/>
            </w:tcBorders>
            <w:shd w:fill="EAF0F2" w:val="clear"/>
            <w:tcMar>
              <w:top w:type="dxa" w:w="80"/>
              <w:left w:type="dxa" w:w="110"/>
              <w:bottom w:type="dxa" w:w="80"/>
              <w:right w:type="dxa" w:w="110"/>
            </w:tcMar>
          </w:tcPr>
          <w:p>
            <w:pPr>
              <w:spacing w:after="0" w:line="244"/>
              <w:jc w:val="left"/>
            </w:pPr>
            <w:r>
              <w:rPr>
                <w:b/>
                <w:bCs/>
                <w:i w:val="false"/>
                <w:iCs w:val="false"/>
                <w:sz w:val="17"/>
                <w:szCs w:val="17"/>
              </w:rPr>
              <w:t xml:space="preserve">CONNECTS TO</w:t>
            </w:r>
          </w:p>
        </w:tc>
        <w:tc>
          <w:tcPr>
            <w:tcW w:type="dxa" w:w="7160"/>
            <w:tcBorders>
              <w:top w:val="single" w:color="C9C9C9" w:sz="1"/>
              <w:left w:val="single" w:color="C9C9C9" w:sz="1"/>
              <w:bottom w:val="single" w:color="C9C9C9" w:sz="1"/>
              <w:right w:val="single" w:color="C9C9C9" w:sz="1"/>
            </w:tcBorders>
            <w:tcMar>
              <w:top w:type="dxa" w:w="80"/>
              <w:left w:type="dxa" w:w="110"/>
              <w:bottom w:type="dxa" w:w="80"/>
              <w:right w:type="dxa" w:w="110"/>
            </w:tcMar>
          </w:tcPr>
          <w:p>
            <w:pPr>
              <w:spacing w:after="0" w:line="244"/>
              <w:jc w:val="left"/>
            </w:pPr>
            <w:r>
              <w:rPr>
                <w:b w:val="false"/>
                <w:bCs w:val="false"/>
                <w:i w:val="false"/>
                <w:iCs w:val="false"/>
                <w:sz w:val="18"/>
                <w:szCs w:val="18"/>
              </w:rPr>
              <w:t xml:space="preserve">The Complete Offering Architecture V3; the six assessments; the six social teasers; the Trust(ed) Co-Author work</w:t>
            </w:r>
          </w:p>
        </w:tc>
      </w:tr>
      <w:tr>
        <w:tc>
          <w:tcPr>
            <w:tcW w:type="dxa" w:w="2200"/>
            <w:tcBorders>
              <w:top w:val="single" w:color="C9C9C9" w:sz="1"/>
              <w:left w:val="single" w:color="C9C9C9" w:sz="1"/>
              <w:bottom w:val="single" w:color="C9C9C9" w:sz="1"/>
              <w:right w:val="single" w:color="C9C9C9" w:sz="1"/>
            </w:tcBorders>
            <w:shd w:fill="EAF0F2" w:val="clear"/>
            <w:tcMar>
              <w:top w:type="dxa" w:w="80"/>
              <w:left w:type="dxa" w:w="110"/>
              <w:bottom w:type="dxa" w:w="80"/>
              <w:right w:type="dxa" w:w="110"/>
            </w:tcMar>
          </w:tcPr>
          <w:p>
            <w:pPr>
              <w:spacing w:after="0" w:line="244"/>
              <w:jc w:val="left"/>
            </w:pPr>
            <w:r>
              <w:rPr>
                <w:b/>
                <w:bCs/>
                <w:i w:val="false"/>
                <w:iCs w:val="false"/>
                <w:sz w:val="17"/>
                <w:szCs w:val="17"/>
              </w:rPr>
              <w:t xml:space="preserve">PORTABILITY</w:t>
            </w:r>
          </w:p>
        </w:tc>
        <w:tc>
          <w:tcPr>
            <w:tcW w:type="dxa" w:w="7160"/>
            <w:tcBorders>
              <w:top w:val="single" w:color="C9C9C9" w:sz="1"/>
              <w:left w:val="single" w:color="C9C9C9" w:sz="1"/>
              <w:bottom w:val="single" w:color="C9C9C9" w:sz="1"/>
              <w:right w:val="single" w:color="C9C9C9" w:sz="1"/>
            </w:tcBorders>
            <w:tcMar>
              <w:top w:type="dxa" w:w="80"/>
              <w:left w:type="dxa" w:w="110"/>
              <w:bottom w:type="dxa" w:w="80"/>
              <w:right w:type="dxa" w:w="110"/>
            </w:tcMar>
          </w:tcPr>
          <w:p>
            <w:pPr>
              <w:spacing w:after="0" w:line="244"/>
              <w:jc w:val="left"/>
            </w:pPr>
            <w:r>
              <w:rPr>
                <w:b w:val="false"/>
                <w:bCs w:val="false"/>
                <w:i w:val="false"/>
                <w:iCs w:val="false"/>
                <w:sz w:val="18"/>
                <w:szCs w:val="18"/>
              </w:rPr>
              <w:t xml:space="preserve">Portable. Download from here, then upload into the target project. I cannot move files across projects.</w:t>
            </w:r>
          </w:p>
        </w:tc>
      </w:tr>
      <w:tr>
        <w:tc>
          <w:tcPr>
            <w:tcW w:type="dxa" w:w="2200"/>
            <w:tcBorders>
              <w:top w:val="single" w:color="C9C9C9" w:sz="1"/>
              <w:left w:val="single" w:color="C9C9C9" w:sz="1"/>
              <w:bottom w:val="single" w:color="C9C9C9" w:sz="1"/>
              <w:right w:val="single" w:color="C9C9C9" w:sz="1"/>
            </w:tcBorders>
            <w:shd w:fill="EAF0F2" w:val="clear"/>
            <w:tcMar>
              <w:top w:type="dxa" w:w="80"/>
              <w:left w:type="dxa" w:w="110"/>
              <w:bottom w:type="dxa" w:w="80"/>
              <w:right w:type="dxa" w:w="110"/>
            </w:tcMar>
          </w:tcPr>
          <w:p>
            <w:pPr>
              <w:spacing w:after="0" w:line="244"/>
              <w:jc w:val="left"/>
            </w:pPr>
            <w:r>
              <w:rPr>
                <w:b/>
                <w:bCs/>
                <w:i w:val="false"/>
                <w:iCs w:val="false"/>
                <w:sz w:val="17"/>
                <w:szCs w:val="17"/>
              </w:rPr>
              <w:t xml:space="preserve">VERSION</w:t>
            </w:r>
          </w:p>
        </w:tc>
        <w:tc>
          <w:tcPr>
            <w:tcW w:type="dxa" w:w="7160"/>
            <w:tcBorders>
              <w:top w:val="single" w:color="C9C9C9" w:sz="1"/>
              <w:left w:val="single" w:color="C9C9C9" w:sz="1"/>
              <w:bottom w:val="single" w:color="C9C9C9" w:sz="1"/>
              <w:right w:val="single" w:color="C9C9C9" w:sz="1"/>
            </w:tcBorders>
            <w:tcMar>
              <w:top w:type="dxa" w:w="80"/>
              <w:left w:type="dxa" w:w="110"/>
              <w:bottom w:type="dxa" w:w="80"/>
              <w:right w:type="dxa" w:w="110"/>
            </w:tcMar>
          </w:tcPr>
          <w:p>
            <w:pPr>
              <w:spacing w:after="0" w:line="244"/>
              <w:jc w:val="left"/>
            </w:pPr>
            <w:r>
              <w:rPr>
                <w:b w:val="false"/>
                <w:bCs w:val="false"/>
                <w:i w:val="false"/>
                <w:iCs w:val="false"/>
                <w:sz w:val="18"/>
                <w:szCs w:val="18"/>
              </w:rPr>
              <w:t xml:space="preserve">V2 (supersedes V1: axes decoupled, teaser layer added, anchor made flexible)</w:t>
            </w:r>
          </w:p>
        </w:tc>
      </w:tr>
      <w:tr>
        <w:tc>
          <w:tcPr>
            <w:tcW w:type="dxa" w:w="2200"/>
            <w:tcBorders>
              <w:top w:val="single" w:color="C9C9C9" w:sz="1"/>
              <w:left w:val="single" w:color="C9C9C9" w:sz="1"/>
              <w:bottom w:val="single" w:color="C9C9C9" w:sz="1"/>
              <w:right w:val="single" w:color="C9C9C9" w:sz="1"/>
            </w:tcBorders>
            <w:shd w:fill="EAF0F2" w:val="clear"/>
            <w:tcMar>
              <w:top w:type="dxa" w:w="80"/>
              <w:left w:type="dxa" w:w="110"/>
              <w:bottom w:type="dxa" w:w="80"/>
              <w:right w:type="dxa" w:w="110"/>
            </w:tcMar>
          </w:tcPr>
          <w:p>
            <w:pPr>
              <w:spacing w:after="0" w:line="244"/>
              <w:jc w:val="left"/>
            </w:pPr>
            <w:r>
              <w:rPr>
                <w:b/>
                <w:bCs/>
                <w:i w:val="false"/>
                <w:iCs w:val="false"/>
                <w:sz w:val="17"/>
                <w:szCs w:val="17"/>
              </w:rPr>
              <w:t xml:space="preserve">DATE</w:t>
            </w:r>
          </w:p>
        </w:tc>
        <w:tc>
          <w:tcPr>
            <w:tcW w:type="dxa" w:w="7160"/>
            <w:tcBorders>
              <w:top w:val="single" w:color="C9C9C9" w:sz="1"/>
              <w:left w:val="single" w:color="C9C9C9" w:sz="1"/>
              <w:bottom w:val="single" w:color="C9C9C9" w:sz="1"/>
              <w:right w:val="single" w:color="C9C9C9" w:sz="1"/>
            </w:tcBorders>
            <w:tcMar>
              <w:top w:type="dxa" w:w="80"/>
              <w:left w:type="dxa" w:w="110"/>
              <w:bottom w:type="dxa" w:w="80"/>
              <w:right w:type="dxa" w:w="110"/>
            </w:tcMar>
          </w:tcPr>
          <w:p>
            <w:pPr>
              <w:spacing w:after="0" w:line="244"/>
              <w:jc w:val="left"/>
            </w:pPr>
            <w:r>
              <w:rPr>
                <w:b w:val="false"/>
                <w:bCs w:val="false"/>
                <w:i w:val="false"/>
                <w:iCs w:val="false"/>
                <w:sz w:val="18"/>
                <w:szCs w:val="18"/>
              </w:rPr>
              <w:t xml:space="preserve">May 29, 2026</w:t>
            </w:r>
          </w:p>
        </w:tc>
      </w:tr>
    </w:tbl>
    <w:p>
      <w:pPr>
        <w:pBdr>
          <w:bottom w:val="single" w:color="1F2A37" w:sz="8" w:space="6"/>
        </w:pBdr>
        <w:spacing w:after="60" w:before="60"/>
      </w:pPr>
      <w:r>
        <w:rPr>
          <w:sz w:val="2"/>
          <w:szCs w:val="2"/>
        </w:rPr>
        <w:t xml:space="preserve"/>
      </w:r>
    </w:p>
    <w:p>
      <w:pPr>
        <w:spacing w:after="160" w:line="288"/>
      </w:pPr>
      <w:r>
        <w:rPr>
          <w:sz w:val="23"/>
          <w:szCs w:val="23"/>
        </w:rPr>
        <w:t xml:space="preserve">This V2 folds in three things since the last pass. The funnel now shows its full shape, including the social teaser tier that feeds it. The band and the buyer's capacity are pulled apart into two independent axes, because a person's zone reflects their story and their goals, never their budget. And the anchor that pairs with each result is now flexible across your three rungs of core IP, not fixed to the Field Guide.</w:t>
      </w:r>
    </w:p>
    <w:p>
      <w:pPr>
        <w:spacing w:after="200" w:before="60"/>
      </w:pPr>
      <w:r>
        <w:rPr>
          <w:b/>
          <w:bCs/>
          <w:color w:val="2E5A6B"/>
          <w:sz w:val="23"/>
          <w:szCs w:val="23"/>
        </w:rPr>
        <w:t xml:space="preserve">The funnel first, because the teasers change where the top of it sits.</w:t>
      </w:r>
    </w:p>
    <w:p>
      <w:pPr>
        <w:pStyle w:val="Heading1"/>
        <w:pBdr>
          <w:bottom w:val="single" w:color="2E5A6B" w:sz="6" w:space="4"/>
        </w:pBdr>
        <w:spacing w:after="130" w:before="320"/>
      </w:pPr>
      <w:r>
        <w:rPr>
          <w:b/>
          <w:bCs/>
          <w:color w:val="1F2A37"/>
          <w:sz w:val="30"/>
          <w:szCs w:val="30"/>
        </w:rPr>
        <w:t xml:space="preserve">Section One: The Funnel, Top to Bottom</w:t>
      </w:r>
    </w:p>
    <w:p>
      <w:pPr>
        <w:spacing w:after="140" w:line="276"/>
      </w:pPr>
      <w:r>
        <w:rPr>
          <w:b w:val="false"/>
          <w:bCs w:val="false"/>
          <w:i w:val="false"/>
          <w:iCs w:val="false"/>
          <w:sz w:val="22"/>
          <w:szCs w:val="22"/>
        </w:rPr>
        <w:t xml:space="preserve">Your own materials describe a two-tier funnel, Start Here and Go Deeper, with a layer of social teasers above both. Here is the whole shape in one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700"/>
        <w:gridCol w:w="3360"/>
      </w:tblGrid>
      <w:tr>
        <w:trPr>
          <w:tblHeader/>
        </w:trPr>
        <w:tc>
          <w:tcPr>
            <w:tcW w:type="dxa" w:w="2300"/>
            <w:tcBorders>
              <w:top w:val="single" w:color="C9C9C9" w:sz="1"/>
              <w:left w:val="single" w:color="C9C9C9" w:sz="1"/>
              <w:bottom w:val="single" w:color="C9C9C9" w:sz="1"/>
              <w:right w:val="single" w:color="C9C9C9" w:sz="1"/>
            </w:tcBorders>
            <w:shd w:fill="1F2A37" w:val="clear"/>
            <w:tcMar>
              <w:top w:type="dxa" w:w="80"/>
              <w:left w:type="dxa" w:w="110"/>
              <w:bottom w:type="dxa" w:w="80"/>
              <w:right w:type="dxa" w:w="110"/>
            </w:tcMar>
          </w:tcPr>
          <w:p>
            <w:pPr>
              <w:spacing w:after="0" w:line="244"/>
              <w:jc w:val="center"/>
            </w:pPr>
            <w:r>
              <w:rPr>
                <w:b/>
                <w:bCs/>
                <w:i w:val="false"/>
                <w:iCs w:val="false"/>
                <w:color w:val="FFFFFF"/>
                <w:sz w:val="17"/>
                <w:szCs w:val="17"/>
              </w:rPr>
              <w:t xml:space="preserve">LAYER</w:t>
            </w:r>
          </w:p>
        </w:tc>
        <w:tc>
          <w:tcPr>
            <w:tcW w:type="dxa" w:w="3700"/>
            <w:tcBorders>
              <w:top w:val="single" w:color="C9C9C9" w:sz="1"/>
              <w:left w:val="single" w:color="C9C9C9" w:sz="1"/>
              <w:bottom w:val="single" w:color="C9C9C9" w:sz="1"/>
              <w:right w:val="single" w:color="C9C9C9" w:sz="1"/>
            </w:tcBorders>
            <w:shd w:fill="1F2A37" w:val="clear"/>
            <w:tcMar>
              <w:top w:type="dxa" w:w="80"/>
              <w:left w:type="dxa" w:w="110"/>
              <w:bottom w:type="dxa" w:w="80"/>
              <w:right w:type="dxa" w:w="110"/>
            </w:tcMar>
          </w:tcPr>
          <w:p>
            <w:pPr>
              <w:spacing w:after="0" w:line="244"/>
              <w:jc w:val="center"/>
            </w:pPr>
            <w:r>
              <w:rPr>
                <w:b/>
                <w:bCs/>
                <w:i w:val="false"/>
                <w:iCs w:val="false"/>
                <w:color w:val="FFFFFF"/>
                <w:sz w:val="17"/>
                <w:szCs w:val="17"/>
              </w:rPr>
              <w:t xml:space="preserve">WHAT IT IS</w:t>
            </w:r>
          </w:p>
        </w:tc>
        <w:tc>
          <w:tcPr>
            <w:tcW w:type="dxa" w:w="3360"/>
            <w:tcBorders>
              <w:top w:val="single" w:color="C9C9C9" w:sz="1"/>
              <w:left w:val="single" w:color="C9C9C9" w:sz="1"/>
              <w:bottom w:val="single" w:color="C9C9C9" w:sz="1"/>
              <w:right w:val="single" w:color="C9C9C9" w:sz="1"/>
            </w:tcBorders>
            <w:shd w:fill="1F2A37" w:val="clear"/>
            <w:tcMar>
              <w:top w:type="dxa" w:w="80"/>
              <w:left w:type="dxa" w:w="110"/>
              <w:bottom w:type="dxa" w:w="80"/>
              <w:right w:type="dxa" w:w="110"/>
            </w:tcMar>
          </w:tcPr>
          <w:p>
            <w:pPr>
              <w:spacing w:after="0" w:line="244"/>
              <w:jc w:val="center"/>
            </w:pPr>
            <w:r>
              <w:rPr>
                <w:b/>
                <w:bCs/>
                <w:i w:val="false"/>
                <w:iCs w:val="false"/>
                <w:color w:val="FFFFFF"/>
                <w:sz w:val="17"/>
                <w:szCs w:val="17"/>
              </w:rPr>
              <w:t xml:space="preserve">ROLE</w:t>
            </w:r>
          </w:p>
        </w:tc>
      </w:tr>
      <w:tr>
        <w:tc>
          <w:tcPr>
            <w:tcW w:type="dxa" w:w="2300"/>
            <w:tcBorders>
              <w:top w:val="single" w:color="C9C9C9" w:sz="1"/>
              <w:left w:val="single" w:color="C9C9C9" w:sz="1"/>
              <w:bottom w:val="single" w:color="C9C9C9" w:sz="1"/>
              <w:right w:val="single" w:color="C9C9C9" w:sz="1"/>
            </w:tcBorders>
            <w:shd w:fill="F2F2F2" w:val="clear"/>
            <w:tcMar>
              <w:top w:type="dxa" w:w="80"/>
              <w:left w:type="dxa" w:w="110"/>
              <w:bottom w:type="dxa" w:w="80"/>
              <w:right w:type="dxa" w:w="110"/>
            </w:tcMar>
          </w:tcPr>
          <w:p>
            <w:pPr>
              <w:spacing w:after="0" w:line="244"/>
              <w:jc w:val="left"/>
            </w:pPr>
            <w:r>
              <w:rPr>
                <w:b/>
                <w:bCs/>
                <w:i w:val="false"/>
                <w:iCs w:val="false"/>
                <w:sz w:val="18"/>
                <w:szCs w:val="18"/>
              </w:rPr>
              <w:t xml:space="preserve">Social teasers (6)</w:t>
            </w:r>
          </w:p>
        </w:tc>
        <w:tc>
          <w:tcPr>
            <w:tcW w:type="dxa" w:w="3700"/>
            <w:tcBorders>
              <w:top w:val="single" w:color="C9C9C9" w:sz="1"/>
              <w:left w:val="single" w:color="C9C9C9" w:sz="1"/>
              <w:bottom w:val="single" w:color="C9C9C9" w:sz="1"/>
              <w:right w:val="single" w:color="C9C9C9" w:sz="1"/>
            </w:tcBorders>
            <w:tcMar>
              <w:top w:type="dxa" w:w="80"/>
              <w:left w:type="dxa" w:w="110"/>
              <w:bottom w:type="dxa" w:w="80"/>
              <w:right w:type="dxa" w:w="110"/>
            </w:tcMar>
          </w:tcPr>
          <w:p>
            <w:pPr>
              <w:spacing w:after="0" w:line="244"/>
              <w:jc w:val="left"/>
            </w:pPr>
            <w:r>
              <w:rPr>
                <w:b w:val="false"/>
                <w:bCs w:val="false"/>
                <w:i w:val="false"/>
                <w:iCs w:val="false"/>
                <w:sz w:val="18"/>
                <w:szCs w:val="18"/>
              </w:rPr>
              <w:t xml:space="preserve">Short, shareable, 5 to 10 minutes on a phone. Each gives a real result and points to one instrument.</w:t>
            </w:r>
          </w:p>
        </w:tc>
        <w:tc>
          <w:tcPr>
            <w:tcW w:type="dxa" w:w="3360"/>
            <w:tcBorders>
              <w:top w:val="single" w:color="C9C9C9" w:sz="1"/>
              <w:left w:val="single" w:color="C9C9C9" w:sz="1"/>
              <w:bottom w:val="single" w:color="C9C9C9" w:sz="1"/>
              <w:right w:val="single" w:color="C9C9C9" w:sz="1"/>
            </w:tcBorders>
            <w:tcMar>
              <w:top w:type="dxa" w:w="80"/>
              <w:left w:type="dxa" w:w="110"/>
              <w:bottom w:type="dxa" w:w="80"/>
              <w:right w:type="dxa" w:w="110"/>
            </w:tcMar>
          </w:tcPr>
          <w:p>
            <w:pPr>
              <w:spacing w:after="0" w:line="244"/>
              <w:jc w:val="left"/>
            </w:pPr>
            <w:r>
              <w:rPr>
                <w:b w:val="false"/>
                <w:bCs w:val="false"/>
                <w:i w:val="false"/>
                <w:iCs w:val="false"/>
                <w:sz w:val="18"/>
                <w:szCs w:val="18"/>
              </w:rPr>
              <w:t xml:space="preserve">The social face. Opens the door, drives traffic to Start Here and Go Deeper.</w:t>
            </w:r>
          </w:p>
        </w:tc>
      </w:tr>
      <w:tr>
        <w:tc>
          <w:tcPr>
            <w:tcW w:type="dxa" w:w="2300"/>
            <w:tcBorders>
              <w:top w:val="single" w:color="C9C9C9" w:sz="1"/>
              <w:left w:val="single" w:color="C9C9C9" w:sz="1"/>
              <w:bottom w:val="single" w:color="C9C9C9" w:sz="1"/>
              <w:right w:val="single" w:color="C9C9C9" w:sz="1"/>
            </w:tcBorders>
            <w:shd w:fill="DCE8DC" w:val="clear"/>
            <w:tcMar>
              <w:top w:type="dxa" w:w="80"/>
              <w:left w:type="dxa" w:w="110"/>
              <w:bottom w:type="dxa" w:w="80"/>
              <w:right w:type="dxa" w:w="110"/>
            </w:tcMar>
          </w:tcPr>
          <w:p>
            <w:pPr>
              <w:spacing w:after="0" w:line="244"/>
              <w:jc w:val="left"/>
            </w:pPr>
            <w:r>
              <w:rPr>
                <w:b/>
                <w:bCs/>
                <w:i w:val="false"/>
                <w:iCs w:val="false"/>
                <w:sz w:val="18"/>
                <w:szCs w:val="18"/>
              </w:rPr>
              <w:t xml:space="preserve">Start Here (free)</w:t>
            </w:r>
          </w:p>
        </w:tc>
        <w:tc>
          <w:tcPr>
            <w:tcW w:type="dxa" w:w="3700"/>
            <w:tcBorders>
              <w:top w:val="single" w:color="C9C9C9" w:sz="1"/>
              <w:left w:val="single" w:color="C9C9C9" w:sz="1"/>
              <w:bottom w:val="single" w:color="C9C9C9" w:sz="1"/>
              <w:right w:val="single" w:color="C9C9C9" w:sz="1"/>
            </w:tcBorders>
            <w:tcMar>
              <w:top w:type="dxa" w:w="80"/>
              <w:left w:type="dxa" w:w="110"/>
              <w:bottom w:type="dxa" w:w="80"/>
              <w:right w:type="dxa" w:w="110"/>
            </w:tcMar>
          </w:tcPr>
          <w:p>
            <w:pPr>
              <w:spacing w:after="0" w:line="244"/>
              <w:jc w:val="left"/>
            </w:pPr>
            <w:r>
              <w:rPr>
                <w:b w:val="false"/>
                <w:bCs w:val="false"/>
                <w:i w:val="false"/>
                <w:iCs w:val="false"/>
                <w:sz w:val="18"/>
                <w:szCs w:val="18"/>
              </w:rPr>
              <w:t xml:space="preserve">The Quick Leadership Assessment. Free, five minutes, captures an email, with the one question you read yourself.</w:t>
            </w:r>
          </w:p>
        </w:tc>
        <w:tc>
          <w:tcPr>
            <w:tcW w:type="dxa" w:w="3360"/>
            <w:tcBorders>
              <w:top w:val="single" w:color="C9C9C9" w:sz="1"/>
              <w:left w:val="single" w:color="C9C9C9" w:sz="1"/>
              <w:bottom w:val="single" w:color="C9C9C9" w:sz="1"/>
              <w:right w:val="single" w:color="C9C9C9" w:sz="1"/>
            </w:tcBorders>
            <w:tcMar>
              <w:top w:type="dxa" w:w="80"/>
              <w:left w:type="dxa" w:w="110"/>
              <w:bottom w:type="dxa" w:w="80"/>
              <w:right w:type="dxa" w:w="110"/>
            </w:tcMar>
          </w:tcPr>
          <w:p>
            <w:pPr>
              <w:spacing w:after="0" w:line="244"/>
              <w:jc w:val="left"/>
            </w:pPr>
            <w:r>
              <w:rPr>
                <w:b w:val="false"/>
                <w:bCs w:val="false"/>
                <w:i w:val="false"/>
                <w:iCs w:val="false"/>
                <w:sz w:val="18"/>
                <w:szCs w:val="18"/>
              </w:rPr>
              <w:t xml:space="preserve">The free front door and email capture. The Leadership Quick-Check teaser is its social face, not a rival.</w:t>
            </w:r>
          </w:p>
        </w:tc>
      </w:tr>
      <w:tr>
        <w:tc>
          <w:tcPr>
            <w:tcW w:type="dxa" w:w="2300"/>
            <w:tcBorders>
              <w:top w:val="single" w:color="C9C9C9" w:sz="1"/>
              <w:left w:val="single" w:color="C9C9C9" w:sz="1"/>
              <w:bottom w:val="single" w:color="C9C9C9" w:sz="1"/>
              <w:right w:val="single" w:color="C9C9C9" w:sz="1"/>
            </w:tcBorders>
            <w:shd w:fill="E2EAF0" w:val="clear"/>
            <w:tcMar>
              <w:top w:type="dxa" w:w="80"/>
              <w:left w:type="dxa" w:w="110"/>
              <w:bottom w:type="dxa" w:w="80"/>
              <w:right w:type="dxa" w:w="110"/>
            </w:tcMar>
          </w:tcPr>
          <w:p>
            <w:pPr>
              <w:spacing w:after="0" w:line="244"/>
              <w:jc w:val="left"/>
            </w:pPr>
            <w:r>
              <w:rPr>
                <w:b/>
                <w:bCs/>
                <w:i w:val="false"/>
                <w:iCs w:val="false"/>
                <w:sz w:val="18"/>
                <w:szCs w:val="18"/>
              </w:rPr>
              <w:t xml:space="preserve">Go Deeper (purchased)</w:t>
            </w:r>
          </w:p>
        </w:tc>
        <w:tc>
          <w:tcPr>
            <w:tcW w:type="dxa" w:w="3700"/>
            <w:tcBorders>
              <w:top w:val="single" w:color="C9C9C9" w:sz="1"/>
              <w:left w:val="single" w:color="C9C9C9" w:sz="1"/>
              <w:bottom w:val="single" w:color="C9C9C9" w:sz="1"/>
              <w:right w:val="single" w:color="C9C9C9" w:sz="1"/>
            </w:tcBorders>
            <w:tcMar>
              <w:top w:type="dxa" w:w="80"/>
              <w:left w:type="dxa" w:w="110"/>
              <w:bottom w:type="dxa" w:w="80"/>
              <w:right w:type="dxa" w:w="110"/>
            </w:tcMar>
          </w:tcPr>
          <w:p>
            <w:pPr>
              <w:spacing w:after="0" w:line="244"/>
              <w:jc w:val="left"/>
            </w:pPr>
            <w:r>
              <w:rPr>
                <w:b w:val="false"/>
                <w:bCs w:val="false"/>
                <w:i w:val="false"/>
                <w:iCs w:val="false"/>
                <w:sz w:val="18"/>
                <w:szCs w:val="18"/>
              </w:rPr>
              <w:t xml:space="preserve">Personal Narrative, Next-Gen, Org Leadership Complete, and Narrative Edge for Leaders &amp; Orgs.</w:t>
            </w:r>
          </w:p>
        </w:tc>
        <w:tc>
          <w:tcPr>
            <w:tcW w:type="dxa" w:w="3360"/>
            <w:tcBorders>
              <w:top w:val="single" w:color="C9C9C9" w:sz="1"/>
              <w:left w:val="single" w:color="C9C9C9" w:sz="1"/>
              <w:bottom w:val="single" w:color="C9C9C9" w:sz="1"/>
              <w:right w:val="single" w:color="C9C9C9" w:sz="1"/>
            </w:tcBorders>
            <w:tcMar>
              <w:top w:type="dxa" w:w="80"/>
              <w:left w:type="dxa" w:w="110"/>
              <w:bottom w:type="dxa" w:w="80"/>
              <w:right w:type="dxa" w:w="110"/>
            </w:tcMar>
          </w:tcPr>
          <w:p>
            <w:pPr>
              <w:spacing w:after="0" w:line="244"/>
              <w:jc w:val="left"/>
            </w:pPr>
            <w:r>
              <w:rPr>
                <w:b w:val="false"/>
                <w:bCs w:val="false"/>
                <w:i w:val="false"/>
                <w:iCs w:val="false"/>
                <w:sz w:val="18"/>
                <w:szCs w:val="18"/>
              </w:rPr>
              <w:t xml:space="preserve">The paid or bundled instruments. The other five teasers each preview one of these.</w:t>
            </w:r>
          </w:p>
        </w:tc>
      </w:tr>
      <w:tr>
        <w:tc>
          <w:tcPr>
            <w:tcW w:type="dxa" w:w="2300"/>
            <w:tcBorders>
              <w:top w:val="single" w:color="C9C9C9" w:sz="1"/>
              <w:left w:val="single" w:color="C9C9C9" w:sz="1"/>
              <w:bottom w:val="single" w:color="C9C9C9" w:sz="1"/>
              <w:right w:val="single" w:color="C9C9C9" w:sz="1"/>
            </w:tcBorders>
            <w:shd w:fill="EDE6F2" w:val="clear"/>
            <w:tcMar>
              <w:top w:type="dxa" w:w="80"/>
              <w:left w:type="dxa" w:w="110"/>
              <w:bottom w:type="dxa" w:w="80"/>
              <w:right w:type="dxa" w:w="110"/>
            </w:tcMar>
          </w:tcPr>
          <w:p>
            <w:pPr>
              <w:spacing w:after="0" w:line="244"/>
              <w:jc w:val="left"/>
            </w:pPr>
            <w:r>
              <w:rPr>
                <w:b/>
                <w:bCs/>
                <w:i w:val="false"/>
                <w:iCs w:val="false"/>
                <w:sz w:val="18"/>
                <w:szCs w:val="18"/>
              </w:rPr>
              <w:t xml:space="preserve">Engagements</w:t>
            </w:r>
          </w:p>
        </w:tc>
        <w:tc>
          <w:tcPr>
            <w:tcW w:type="dxa" w:w="3700"/>
            <w:tcBorders>
              <w:top w:val="single" w:color="C9C9C9" w:sz="1"/>
              <w:left w:val="single" w:color="C9C9C9" w:sz="1"/>
              <w:bottom w:val="single" w:color="C9C9C9" w:sz="1"/>
              <w:right w:val="single" w:color="C9C9C9" w:sz="1"/>
            </w:tcBorders>
            <w:tcMar>
              <w:top w:type="dxa" w:w="80"/>
              <w:left w:type="dxa" w:w="110"/>
              <w:bottom w:type="dxa" w:w="80"/>
              <w:right w:type="dxa" w:w="110"/>
            </w:tcMar>
          </w:tcPr>
          <w:p>
            <w:pPr>
              <w:spacing w:after="0" w:line="244"/>
              <w:jc w:val="left"/>
            </w:pPr>
            <w:r>
              <w:rPr>
                <w:b w:val="false"/>
                <w:bCs w:val="false"/>
                <w:i w:val="false"/>
                <w:iCs w:val="false"/>
                <w:sz w:val="18"/>
                <w:szCs w:val="18"/>
              </w:rPr>
              <w:t xml:space="preserve">The Trust(ed) Co-Author session and program, advisory, and Storyteller in Residence.</w:t>
            </w:r>
          </w:p>
        </w:tc>
        <w:tc>
          <w:tcPr>
            <w:tcW w:type="dxa" w:w="3360"/>
            <w:tcBorders>
              <w:top w:val="single" w:color="C9C9C9" w:sz="1"/>
              <w:left w:val="single" w:color="C9C9C9" w:sz="1"/>
              <w:bottom w:val="single" w:color="C9C9C9" w:sz="1"/>
              <w:right w:val="single" w:color="C9C9C9" w:sz="1"/>
            </w:tcBorders>
            <w:tcMar>
              <w:top w:type="dxa" w:w="80"/>
              <w:left w:type="dxa" w:w="110"/>
              <w:bottom w:type="dxa" w:w="80"/>
              <w:right w:type="dxa" w:w="110"/>
            </w:tcMar>
          </w:tcPr>
          <w:p>
            <w:pPr>
              <w:spacing w:after="0" w:line="244"/>
              <w:jc w:val="left"/>
            </w:pPr>
            <w:r>
              <w:rPr>
                <w:b w:val="false"/>
                <w:bCs w:val="false"/>
                <w:i w:val="false"/>
                <w:iCs w:val="false"/>
                <w:sz w:val="18"/>
                <w:szCs w:val="18"/>
              </w:rPr>
              <w:t xml:space="preserve">The work itself. A qualified result routes here through a conversation.</w:t>
            </w:r>
          </w:p>
        </w:tc>
      </w:tr>
    </w:tbl>
    <w:p>
      <w:pPr>
        <w:pStyle w:val="Heading2"/>
        <w:spacing w:after="80" w:before="220"/>
      </w:pPr>
      <w:r>
        <w:rPr>
          <w:b/>
          <w:bCs/>
          <w:color w:val="2E5A6B"/>
          <w:sz w:val="24"/>
          <w:szCs w:val="24"/>
        </w:rPr>
        <w:t xml:space="preserve">The collision the five zones resolve</w:t>
      </w:r>
    </w:p>
    <w:p>
      <w:pPr>
        <w:spacing w:after="140" w:line="276"/>
      </w:pPr>
      <w:r>
        <w:rPr>
          <w:b w:val="false"/>
          <w:bCs w:val="false"/>
          <w:i w:val="false"/>
          <w:iCs w:val="false"/>
          <w:sz w:val="22"/>
          <w:szCs w:val="22"/>
        </w:rPr>
        <w:t xml:space="preserve">Underneath, the instruments still speak different band languages, and none matches the five-zone language your videos, result pages, and Kit tags already run on. The teasers add a third variation, each using three coarse bands. A person can score Emerging Narrator on the instrument, Police Report Seller on a teaser, and get routed to a Story Emerging video. Three labels, one person. The five zones, used as the single routing key, end that. The teasers can stay coarse on the surface and still route by tier underneath.</w:t>
      </w:r>
    </w:p>
    <w:p>
      <w:pPr>
        <w:pStyle w:val="Heading1"/>
        <w:pBdr>
          <w:bottom w:val="single" w:color="2E5A6B" w:sz="6" w:space="4"/>
        </w:pBdr>
        <w:spacing w:after="130" w:before="320"/>
      </w:pPr>
      <w:r>
        <w:rPr>
          <w:b/>
          <w:bCs/>
          <w:color w:val="1F2A37"/>
          <w:sz w:val="30"/>
          <w:szCs w:val="30"/>
        </w:rPr>
        <w:t xml:space="preserve">Section Two: Five Zones, Confirmed</w:t>
      </w:r>
    </w:p>
    <w:p>
      <w:pPr>
        <w:spacing w:after="60" w:line="268"/>
      </w:pPr>
      <w:r>
        <w:rPr>
          <w:b/>
          <w:bCs/>
          <w:color w:val="2F5D3A"/>
          <w:sz w:val="21"/>
          <w:szCs w:val="21"/>
        </w:rPr>
        <w:t xml:space="preserve">Confirmed: </w:t>
      </w:r>
      <w:r>
        <w:rPr>
          <w:sz w:val="21"/>
          <w:szCs w:val="21"/>
        </w:rPr>
        <w:t xml:space="preserve">five zones are canonical: Story At Risk, Story Emerging, Story Drift, Story Developing, Story Aligned. You have already built five async videos, five result pages, and five Kit tags. Five it is.</w:t>
      </w:r>
    </w:p>
    <w:p>
      <w:pPr>
        <w:spacing w:after="60" w:line="276"/>
      </w:pPr>
      <w:r>
        <w:rPr>
          <w:b w:val="false"/>
          <w:bCs w:val="false"/>
          <w:i w:val="false"/>
          <w:iCs w:val="false"/>
          <w:sz w:val="22"/>
          <w:szCs w:val="22"/>
        </w:rPr>
        <w:t xml:space="preserve">Behind the scenes, the five zones are the one key for the code, the tags, the automations, and the analytics, so you can see every person in one view no matter which instrument or teaser they entered through. Forward facing, the same five names appear across the leader, org, and personal instruments, with the result copy doing the audience adaptation. Next-Gen is the single exception: it keeps Character-to-Author language, mapped one to one onto the five tiers.</w:t>
      </w:r>
    </w:p>
    <w:p>
      <w:r>
        <w:br w:type="page"/>
      </w:r>
    </w:p>
    <w:p>
      <w:pPr>
        <w:pStyle w:val="Heading1"/>
        <w:pBdr>
          <w:bottom w:val="single" w:color="2E5A6B" w:sz="6" w:space="4"/>
        </w:pBdr>
        <w:spacing w:after="130" w:before="320"/>
      </w:pPr>
      <w:r>
        <w:rPr>
          <w:b/>
          <w:bCs/>
          <w:color w:val="1F2A37"/>
          <w:sz w:val="30"/>
          <w:szCs w:val="30"/>
        </w:rPr>
        <w:t xml:space="preserve">Section Three: Two Axes, Pulled Apart</w:t>
      </w:r>
    </w:p>
    <w:p>
      <w:pPr>
        <w:spacing w:after="140" w:line="276"/>
      </w:pPr>
      <w:r>
        <w:rPr>
          <w:b w:val="false"/>
          <w:bCs w:val="false"/>
          <w:i w:val="false"/>
          <w:iCs w:val="false"/>
          <w:sz w:val="22"/>
          <w:szCs w:val="22"/>
        </w:rPr>
        <w:t xml:space="preserve">This is the correction from the last pass. The band and the buyer's capacity are independent. The band reflects where the story is and what the person wants. Capacity reflects what they can fund. The two meet to produce a recommendation, but neither defines the other.</w:t>
      </w:r>
    </w:p>
    <w:p>
      <w:pPr>
        <w:pStyle w:val="Heading2"/>
        <w:spacing w:after="80" w:before="220"/>
      </w:pPr>
      <w:r>
        <w:rPr>
          <w:b/>
          <w:bCs/>
          <w:color w:val="2E5A6B"/>
          <w:sz w:val="24"/>
          <w:szCs w:val="24"/>
        </w:rPr>
        <w:t xml:space="preserve">Axis one: the band (state plus objective)</w:t>
      </w:r>
    </w:p>
    <w:p>
      <w:pPr>
        <w:spacing w:after="140" w:line="276"/>
      </w:pPr>
      <w:r>
        <w:rPr>
          <w:b w:val="false"/>
          <w:bCs w:val="false"/>
          <w:i w:val="false"/>
          <w:iCs w:val="false"/>
          <w:sz w:val="22"/>
          <w:szCs w:val="22"/>
        </w:rPr>
        <w:t xml:space="preserve">The assessment returns the zone, the read of the current state. A short objective question returns the ambition, where they want the story to go. Together they decide the kind of work, the engagement, the depth. Funds play no part in setting the band. A Story Aligned founder with no budget is still Story Aligned.</w:t>
      </w:r>
    </w:p>
    <w:p>
      <w:pPr>
        <w:pStyle w:val="Heading2"/>
        <w:spacing w:after="80" w:before="220"/>
      </w:pPr>
      <w:r>
        <w:rPr>
          <w:b/>
          <w:bCs/>
          <w:color w:val="2E5A6B"/>
          <w:sz w:val="24"/>
          <w:szCs w:val="24"/>
        </w:rPr>
        <w:t xml:space="preserve">Axis two: capacity (inferred, independent)</w:t>
      </w:r>
    </w:p>
    <w:p>
      <w:pPr>
        <w:spacing w:after="140" w:line="276"/>
      </w:pPr>
      <w:r>
        <w:rPr>
          <w:b w:val="false"/>
          <w:bCs w:val="false"/>
          <w:i w:val="false"/>
          <w:iCs w:val="false"/>
          <w:sz w:val="22"/>
          <w:szCs w:val="22"/>
        </w:rPr>
        <w:t xml:space="preserve">Capacity is read separately and quietly, inferred from role, organization size, and timeframe, never asked as a budget question on a free assessment. It sets the format and price point the person can actually reach for the work their band calls for.</w:t>
      </w:r>
    </w:p>
    <w:p>
      <w:pPr>
        <w:pStyle w:val="Heading2"/>
        <w:spacing w:after="80" w:before="220"/>
      </w:pPr>
      <w:r>
        <w:rPr>
          <w:b/>
          <w:bCs/>
          <w:color w:val="2E5A6B"/>
          <w:sz w:val="24"/>
          <w:szCs w:val="24"/>
        </w:rPr>
        <w:t xml:space="preserve">Where they meet: the flexible anchor plus a product</w:t>
      </w:r>
    </w:p>
    <w:p>
      <w:pPr>
        <w:spacing w:after="40" w:line="276"/>
      </w:pPr>
      <w:r>
        <w:rPr>
          <w:b w:val="false"/>
          <w:bCs w:val="false"/>
          <w:i w:val="false"/>
          <w:iCs w:val="false"/>
          <w:sz w:val="22"/>
          <w:szCs w:val="22"/>
        </w:rPr>
        <w:t xml:space="preserve">Every result still pairs an anchor with a product, so nothing dead-ends. But the anchor is no longer always the Field Guide. It flexes across your three rungs of core IP, chosen for fit:</w:t>
      </w:r>
    </w:p>
    <w:p>
      <w:pPr>
        <w:pStyle w:val="ListParagraph"/>
        <w:numPr>
          <w:ilvl w:val="0"/>
          <w:numId w:val="2"/>
        </w:numPr>
        <w:spacing w:after="60" w:line="266"/>
      </w:pPr>
      <w:r>
        <w:rPr>
          <w:sz w:val="21"/>
          <w:szCs w:val="21"/>
        </w:rPr>
        <w:t xml:space="preserve">The Narrative Edge, the full book, for newcomers and readers who want the whole argument first.</w:t>
      </w:r>
    </w:p>
    <w:p>
      <w:pPr>
        <w:pStyle w:val="ListParagraph"/>
        <w:numPr>
          <w:ilvl w:val="0"/>
          <w:numId w:val="2"/>
        </w:numPr>
        <w:spacing w:after="60" w:line="266"/>
      </w:pPr>
      <w:r>
        <w:rPr>
          <w:sz w:val="21"/>
          <w:szCs w:val="21"/>
        </w:rPr>
        <w:t xml:space="preserve">The condensed go-between, for those who want more than the book but are not yet ready for the full workbook. (Title and positioning still to confirm.)</w:t>
      </w:r>
    </w:p>
    <w:p>
      <w:pPr>
        <w:pStyle w:val="ListParagraph"/>
        <w:numPr>
          <w:ilvl w:val="0"/>
          <w:numId w:val="2"/>
        </w:numPr>
        <w:spacing w:after="60" w:line="266"/>
      </w:pPr>
      <w:r>
        <w:rPr>
          <w:sz w:val="21"/>
          <w:szCs w:val="21"/>
        </w:rPr>
        <w:t xml:space="preserve">The Field Guide, for those ready to do the work with the instrument in hand.</w:t>
      </w:r>
    </w:p>
    <w:p>
      <w:pPr>
        <w:spacing w:after="140" w:line="276"/>
      </w:pPr>
      <w:r>
        <w:rPr>
          <w:b w:val="false"/>
          <w:bCs w:val="false"/>
          <w:i/>
          <w:iCs/>
          <w:sz w:val="21"/>
          <w:szCs w:val="21"/>
        </w:rPr>
        <w:t xml:space="preserve">So the recommendation reads: the right anchor for this reader, paired with the product or engagement that matches their band and their capacity. Under-funded buyers settle on the retail anchor as their ceiling. Funded buyers pass through it as their on-ramp. Same IP, different role.</w:t>
      </w:r>
    </w:p>
    <w:p>
      <w:r>
        <w:br w:type="page"/>
      </w:r>
    </w:p>
    <w:p>
      <w:pPr>
        <w:pStyle w:val="Heading1"/>
        <w:pBdr>
          <w:bottom w:val="single" w:color="2E5A6B" w:sz="6" w:space="4"/>
        </w:pBdr>
        <w:spacing w:after="130" w:before="320"/>
      </w:pPr>
      <w:r>
        <w:rPr>
          <w:b/>
          <w:bCs/>
          <w:color w:val="1F2A37"/>
          <w:sz w:val="30"/>
          <w:szCs w:val="30"/>
        </w:rPr>
        <w:t xml:space="preserve">Section Four: The Crosswalk</w:t>
      </w:r>
    </w:p>
    <w:p>
      <w:pPr>
        <w:spacing w:after="140" w:line="276"/>
      </w:pPr>
      <w:r>
        <w:rPr>
          <w:b w:val="false"/>
          <w:bCs w:val="false"/>
          <w:i w:val="false"/>
          <w:iCs w:val="false"/>
          <w:sz w:val="22"/>
          <w:szCs w:val="22"/>
        </w:rPr>
        <w:t xml:space="preserve">Every instrument and every teaser maps onto the same five tiers. Native bands keep their audience labels; the tier is what the code reads.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50"/>
        <w:gridCol w:w="1500"/>
        <w:gridCol w:w="5310"/>
      </w:tblGrid>
      <w:tr>
        <w:trPr>
          <w:tblHeader/>
        </w:trPr>
        <w:tc>
          <w:tcPr>
            <w:tcW w:type="dxa" w:w="2550"/>
            <w:tcBorders>
              <w:top w:val="single" w:color="C9C9C9" w:sz="1"/>
              <w:left w:val="single" w:color="C9C9C9" w:sz="1"/>
              <w:bottom w:val="single" w:color="C9C9C9" w:sz="1"/>
              <w:right w:val="single" w:color="C9C9C9" w:sz="1"/>
            </w:tcBorders>
            <w:shd w:fill="1F2A37" w:val="clear"/>
            <w:tcMar>
              <w:top w:type="dxa" w:w="80"/>
              <w:left w:type="dxa" w:w="110"/>
              <w:bottom w:type="dxa" w:w="80"/>
              <w:right w:type="dxa" w:w="110"/>
            </w:tcMar>
          </w:tcPr>
          <w:p>
            <w:pPr>
              <w:spacing w:after="0" w:line="244"/>
              <w:jc w:val="center"/>
            </w:pPr>
            <w:r>
              <w:rPr>
                <w:b/>
                <w:bCs/>
                <w:i w:val="false"/>
                <w:iCs w:val="false"/>
                <w:color w:val="FFFFFF"/>
                <w:sz w:val="17"/>
                <w:szCs w:val="17"/>
              </w:rPr>
              <w:t xml:space="preserve">INSTRUMENT</w:t>
            </w:r>
          </w:p>
        </w:tc>
        <w:tc>
          <w:tcPr>
            <w:tcW w:type="dxa" w:w="1500"/>
            <w:tcBorders>
              <w:top w:val="single" w:color="C9C9C9" w:sz="1"/>
              <w:left w:val="single" w:color="C9C9C9" w:sz="1"/>
              <w:bottom w:val="single" w:color="C9C9C9" w:sz="1"/>
              <w:right w:val="single" w:color="C9C9C9" w:sz="1"/>
            </w:tcBorders>
            <w:shd w:fill="1F2A37" w:val="clear"/>
            <w:tcMar>
              <w:top w:type="dxa" w:w="80"/>
              <w:left w:type="dxa" w:w="110"/>
              <w:bottom w:type="dxa" w:w="80"/>
              <w:right w:type="dxa" w:w="110"/>
            </w:tcMar>
          </w:tcPr>
          <w:p>
            <w:pPr>
              <w:spacing w:after="0" w:line="244"/>
              <w:jc w:val="center"/>
            </w:pPr>
            <w:r>
              <w:rPr>
                <w:b/>
                <w:bCs/>
                <w:i w:val="false"/>
                <w:iCs w:val="false"/>
                <w:color w:val="FFFFFF"/>
                <w:sz w:val="17"/>
                <w:szCs w:val="17"/>
              </w:rPr>
              <w:t xml:space="preserve">SCALE</w:t>
            </w:r>
          </w:p>
        </w:tc>
        <w:tc>
          <w:tcPr>
            <w:tcW w:type="dxa" w:w="5310"/>
            <w:tcBorders>
              <w:top w:val="single" w:color="C9C9C9" w:sz="1"/>
              <w:left w:val="single" w:color="C9C9C9" w:sz="1"/>
              <w:bottom w:val="single" w:color="C9C9C9" w:sz="1"/>
              <w:right w:val="single" w:color="C9C9C9" w:sz="1"/>
            </w:tcBorders>
            <w:shd w:fill="1F2A37" w:val="clear"/>
            <w:tcMar>
              <w:top w:type="dxa" w:w="80"/>
              <w:left w:type="dxa" w:w="110"/>
              <w:bottom w:type="dxa" w:w="80"/>
              <w:right w:type="dxa" w:w="110"/>
            </w:tcMar>
          </w:tcPr>
          <w:p>
            <w:pPr>
              <w:spacing w:after="0" w:line="244"/>
              <w:jc w:val="center"/>
            </w:pPr>
            <w:r>
              <w:rPr>
                <w:b/>
                <w:bCs/>
                <w:i w:val="false"/>
                <w:iCs w:val="false"/>
                <w:color w:val="FFFFFF"/>
                <w:sz w:val="17"/>
                <w:szCs w:val="17"/>
              </w:rPr>
              <w:t xml:space="preserve">NATIVE BANDS  →  CANONICAL TIER</w:t>
            </w:r>
          </w:p>
        </w:tc>
      </w:tr>
      <w:tr>
        <w:tc>
          <w:tcPr>
            <w:tcW w:type="dxa" w:w="2550"/>
            <w:tcBorders>
              <w:top w:val="single" w:color="C9C9C9" w:sz="1"/>
              <w:left w:val="single" w:color="C9C9C9" w:sz="1"/>
              <w:bottom w:val="single" w:color="C9C9C9" w:sz="1"/>
              <w:right w:val="single" w:color="C9C9C9" w:sz="1"/>
            </w:tcBorders>
            <w:tcMar>
              <w:top w:type="dxa" w:w="80"/>
              <w:left w:type="dxa" w:w="110"/>
              <w:bottom w:type="dxa" w:w="80"/>
              <w:right w:type="dxa" w:w="110"/>
            </w:tcMar>
          </w:tcPr>
          <w:p>
            <w:pPr>
              <w:spacing w:after="0" w:line="244"/>
              <w:jc w:val="left"/>
            </w:pPr>
            <w:r>
              <w:rPr>
                <w:b/>
                <w:bCs/>
                <w:i w:val="false"/>
                <w:iCs w:val="false"/>
                <w:sz w:val="18"/>
                <w:szCs w:val="18"/>
              </w:rPr>
              <w:t xml:space="preserve">Quick Leadership (free front door)</w:t>
            </w:r>
          </w:p>
        </w:tc>
        <w:tc>
          <w:tcPr>
            <w:tcW w:type="dxa" w:w="1500"/>
            <w:tcBorders>
              <w:top w:val="single" w:color="C9C9C9" w:sz="1"/>
              <w:left w:val="single" w:color="C9C9C9" w:sz="1"/>
              <w:bottom w:val="single" w:color="C9C9C9" w:sz="1"/>
              <w:right w:val="single" w:color="C9C9C9" w:sz="1"/>
            </w:tcBorders>
            <w:tcMar>
              <w:top w:type="dxa" w:w="80"/>
              <w:left w:type="dxa" w:w="110"/>
              <w:bottom w:type="dxa" w:w="80"/>
              <w:right w:type="dxa" w:w="110"/>
            </w:tcMar>
          </w:tcPr>
          <w:p>
            <w:pPr>
              <w:spacing w:after="0" w:line="244"/>
              <w:jc w:val="center"/>
            </w:pPr>
            <w:r>
              <w:rPr>
                <w:b w:val="false"/>
                <w:bCs w:val="false"/>
                <w:i w:val="false"/>
                <w:iCs w:val="false"/>
                <w:sz w:val="18"/>
                <w:szCs w:val="18"/>
              </w:rPr>
              <w:t xml:space="preserve">/ 60</w:t>
            </w:r>
          </w:p>
        </w:tc>
        <w:tc>
          <w:tcPr>
            <w:tcW w:type="dxa" w:w="5310"/>
            <w:tcBorders>
              <w:top w:val="single" w:color="C9C9C9" w:sz="1"/>
              <w:left w:val="single" w:color="C9C9C9" w:sz="1"/>
              <w:bottom w:val="single" w:color="C9C9C9" w:sz="1"/>
              <w:right w:val="single" w:color="C9C9C9" w:sz="1"/>
            </w:tcBorders>
            <w:tcMar>
              <w:top w:type="dxa" w:w="80"/>
              <w:left w:type="dxa" w:w="110"/>
              <w:bottom w:type="dxa" w:w="80"/>
              <w:right w:type="dxa" w:w="110"/>
            </w:tcMar>
          </w:tcPr>
          <w:p>
            <w:pPr>
              <w:spacing w:after="0" w:line="244"/>
              <w:jc w:val="left"/>
            </w:pPr>
            <w:r>
              <w:rPr>
                <w:b w:val="false"/>
                <w:bCs w:val="false"/>
                <w:i w:val="false"/>
                <w:iCs w:val="false"/>
                <w:sz w:val="18"/>
                <w:szCs w:val="18"/>
              </w:rPr>
              <w:t xml:space="preserve">Story Opportunity → T1. Emerging Narrator → T2/T3. Developing Storyteller → T4. Narrative Leader → T5. Expanded to five in Section Five.</w:t>
            </w:r>
          </w:p>
        </w:tc>
      </w:tr>
      <w:tr>
        <w:tc>
          <w:tcPr>
            <w:tcW w:type="dxa" w:w="2550"/>
            <w:tcBorders>
              <w:top w:val="single" w:color="C9C9C9" w:sz="1"/>
              <w:left w:val="single" w:color="C9C9C9" w:sz="1"/>
              <w:bottom w:val="single" w:color="C9C9C9" w:sz="1"/>
              <w:right w:val="single" w:color="C9C9C9" w:sz="1"/>
            </w:tcBorders>
            <w:tcMar>
              <w:top w:type="dxa" w:w="80"/>
              <w:left w:type="dxa" w:w="110"/>
              <w:bottom w:type="dxa" w:w="80"/>
              <w:right w:type="dxa" w:w="110"/>
            </w:tcMar>
          </w:tcPr>
          <w:p>
            <w:pPr>
              <w:spacing w:after="0" w:line="244"/>
              <w:jc w:val="left"/>
            </w:pPr>
            <w:r>
              <w:rPr>
                <w:b/>
                <w:bCs/>
                <w:i w:val="false"/>
                <w:iCs w:val="false"/>
                <w:sz w:val="18"/>
                <w:szCs w:val="18"/>
              </w:rPr>
              <w:t xml:space="preserve">Org Leadership Complete</w:t>
            </w:r>
          </w:p>
        </w:tc>
        <w:tc>
          <w:tcPr>
            <w:tcW w:type="dxa" w:w="1500"/>
            <w:tcBorders>
              <w:top w:val="single" w:color="C9C9C9" w:sz="1"/>
              <w:left w:val="single" w:color="C9C9C9" w:sz="1"/>
              <w:bottom w:val="single" w:color="C9C9C9" w:sz="1"/>
              <w:right w:val="single" w:color="C9C9C9" w:sz="1"/>
            </w:tcBorders>
            <w:tcMar>
              <w:top w:type="dxa" w:w="80"/>
              <w:left w:type="dxa" w:w="110"/>
              <w:bottom w:type="dxa" w:w="80"/>
              <w:right w:type="dxa" w:w="110"/>
            </w:tcMar>
          </w:tcPr>
          <w:p>
            <w:pPr>
              <w:spacing w:after="0" w:line="244"/>
              <w:jc w:val="center"/>
            </w:pPr>
            <w:r>
              <w:rPr>
                <w:b w:val="false"/>
                <w:bCs w:val="false"/>
                <w:i w:val="false"/>
                <w:iCs w:val="false"/>
                <w:sz w:val="18"/>
                <w:szCs w:val="18"/>
              </w:rPr>
              <w:t xml:space="preserve">/ 400</w:t>
            </w:r>
          </w:p>
        </w:tc>
        <w:tc>
          <w:tcPr>
            <w:tcW w:type="dxa" w:w="5310"/>
            <w:tcBorders>
              <w:top w:val="single" w:color="C9C9C9" w:sz="1"/>
              <w:left w:val="single" w:color="C9C9C9" w:sz="1"/>
              <w:bottom w:val="single" w:color="C9C9C9" w:sz="1"/>
              <w:right w:val="single" w:color="C9C9C9" w:sz="1"/>
            </w:tcBorders>
            <w:tcMar>
              <w:top w:type="dxa" w:w="80"/>
              <w:left w:type="dxa" w:w="110"/>
              <w:bottom w:type="dxa" w:w="80"/>
              <w:right w:type="dxa" w:w="110"/>
            </w:tcMar>
          </w:tcPr>
          <w:p>
            <w:pPr>
              <w:spacing w:after="0" w:line="244"/>
              <w:jc w:val="left"/>
            </w:pPr>
            <w:r>
              <w:rPr>
                <w:b w:val="false"/>
                <w:bCs w:val="false"/>
                <w:i w:val="false"/>
                <w:iCs w:val="false"/>
                <w:sz w:val="18"/>
                <w:szCs w:val="18"/>
              </w:rPr>
              <w:t xml:space="preserve">Same four leader bands → T1, T2/T3, T4, T5. Four section sub-scores feed the result page.</w:t>
            </w:r>
          </w:p>
        </w:tc>
      </w:tr>
      <w:tr>
        <w:tc>
          <w:tcPr>
            <w:tcW w:type="dxa" w:w="2550"/>
            <w:tcBorders>
              <w:top w:val="single" w:color="C9C9C9" w:sz="1"/>
              <w:left w:val="single" w:color="C9C9C9" w:sz="1"/>
              <w:bottom w:val="single" w:color="C9C9C9" w:sz="1"/>
              <w:right w:val="single" w:color="C9C9C9" w:sz="1"/>
            </w:tcBorders>
            <w:tcMar>
              <w:top w:type="dxa" w:w="80"/>
              <w:left w:type="dxa" w:w="110"/>
              <w:bottom w:type="dxa" w:w="80"/>
              <w:right w:type="dxa" w:w="110"/>
            </w:tcMar>
          </w:tcPr>
          <w:p>
            <w:pPr>
              <w:spacing w:after="0" w:line="244"/>
              <w:jc w:val="left"/>
            </w:pPr>
            <w:r>
              <w:rPr>
                <w:b/>
                <w:bCs/>
                <w:i w:val="false"/>
                <w:iCs w:val="false"/>
                <w:sz w:val="18"/>
                <w:szCs w:val="18"/>
              </w:rPr>
              <w:t xml:space="preserve">Narrative Edge for Leaders &amp; Orgs</w:t>
            </w:r>
          </w:p>
        </w:tc>
        <w:tc>
          <w:tcPr>
            <w:tcW w:type="dxa" w:w="1500"/>
            <w:tcBorders>
              <w:top w:val="single" w:color="C9C9C9" w:sz="1"/>
              <w:left w:val="single" w:color="C9C9C9" w:sz="1"/>
              <w:bottom w:val="single" w:color="C9C9C9" w:sz="1"/>
              <w:right w:val="single" w:color="C9C9C9" w:sz="1"/>
            </w:tcBorders>
            <w:tcMar>
              <w:top w:type="dxa" w:w="80"/>
              <w:left w:type="dxa" w:w="110"/>
              <w:bottom w:type="dxa" w:w="80"/>
              <w:right w:type="dxa" w:w="110"/>
            </w:tcMar>
          </w:tcPr>
          <w:p>
            <w:pPr>
              <w:spacing w:after="0" w:line="244"/>
              <w:jc w:val="center"/>
            </w:pPr>
            <w:r>
              <w:rPr>
                <w:b w:val="false"/>
                <w:bCs w:val="false"/>
                <w:i w:val="false"/>
                <w:iCs w:val="false"/>
                <w:sz w:val="18"/>
                <w:szCs w:val="18"/>
              </w:rPr>
              <w:t xml:space="preserve">/ 400</w:t>
            </w:r>
          </w:p>
        </w:tc>
        <w:tc>
          <w:tcPr>
            <w:tcW w:type="dxa" w:w="5310"/>
            <w:tcBorders>
              <w:top w:val="single" w:color="C9C9C9" w:sz="1"/>
              <w:left w:val="single" w:color="C9C9C9" w:sz="1"/>
              <w:bottom w:val="single" w:color="C9C9C9" w:sz="1"/>
              <w:right w:val="single" w:color="C9C9C9" w:sz="1"/>
            </w:tcBorders>
            <w:tcMar>
              <w:top w:type="dxa" w:w="80"/>
              <w:left w:type="dxa" w:w="110"/>
              <w:bottom w:type="dxa" w:w="80"/>
              <w:right w:type="dxa" w:w="110"/>
            </w:tcMar>
          </w:tcPr>
          <w:p>
            <w:pPr>
              <w:spacing w:after="0" w:line="244"/>
              <w:jc w:val="left"/>
            </w:pPr>
            <w:r>
              <w:rPr>
                <w:b w:val="false"/>
                <w:bCs w:val="false"/>
                <w:i w:val="false"/>
                <w:iCs w:val="false"/>
                <w:sz w:val="18"/>
                <w:szCs w:val="18"/>
              </w:rPr>
              <w:t xml:space="preserve">Below mid → T1/T2. Story-Aware Organization → T3/T4. Story-Driven Organization → T5.</w:t>
            </w:r>
          </w:p>
        </w:tc>
      </w:tr>
      <w:tr>
        <w:tc>
          <w:tcPr>
            <w:tcW w:type="dxa" w:w="2550"/>
            <w:tcBorders>
              <w:top w:val="single" w:color="C9C9C9" w:sz="1"/>
              <w:left w:val="single" w:color="C9C9C9" w:sz="1"/>
              <w:bottom w:val="single" w:color="C9C9C9" w:sz="1"/>
              <w:right w:val="single" w:color="C9C9C9" w:sz="1"/>
            </w:tcBorders>
            <w:shd w:fill="FBEEDD" w:val="clear"/>
            <w:tcMar>
              <w:top w:type="dxa" w:w="80"/>
              <w:left w:type="dxa" w:w="110"/>
              <w:bottom w:type="dxa" w:w="80"/>
              <w:right w:type="dxa" w:w="110"/>
            </w:tcMar>
          </w:tcPr>
          <w:p>
            <w:pPr>
              <w:spacing w:after="0" w:line="244"/>
              <w:jc w:val="left"/>
            </w:pPr>
            <w:r>
              <w:rPr>
                <w:b/>
                <w:bCs/>
                <w:i w:val="false"/>
                <w:iCs w:val="false"/>
                <w:sz w:val="18"/>
                <w:szCs w:val="18"/>
              </w:rPr>
              <w:t xml:space="preserve">Personal Narrative (was Personal Life)</w:t>
            </w:r>
          </w:p>
        </w:tc>
        <w:tc>
          <w:tcPr>
            <w:tcW w:type="dxa" w:w="1500"/>
            <w:tcBorders>
              <w:top w:val="single" w:color="C9C9C9" w:sz="1"/>
              <w:left w:val="single" w:color="C9C9C9" w:sz="1"/>
              <w:bottom w:val="single" w:color="C9C9C9" w:sz="1"/>
              <w:right w:val="single" w:color="C9C9C9" w:sz="1"/>
            </w:tcBorders>
            <w:tcMar>
              <w:top w:type="dxa" w:w="80"/>
              <w:left w:type="dxa" w:w="110"/>
              <w:bottom w:type="dxa" w:w="80"/>
              <w:right w:type="dxa" w:w="110"/>
            </w:tcMar>
          </w:tcPr>
          <w:p>
            <w:pPr>
              <w:spacing w:after="0" w:line="244"/>
              <w:jc w:val="center"/>
            </w:pPr>
            <w:r>
              <w:rPr>
                <w:b w:val="false"/>
                <w:bCs w:val="false"/>
                <w:i w:val="false"/>
                <w:iCs w:val="false"/>
                <w:sz w:val="18"/>
                <w:szCs w:val="18"/>
              </w:rPr>
              <w:t xml:space="preserve">/ 800</w:t>
            </w:r>
          </w:p>
        </w:tc>
        <w:tc>
          <w:tcPr>
            <w:tcW w:type="dxa" w:w="5310"/>
            <w:tcBorders>
              <w:top w:val="single" w:color="C9C9C9" w:sz="1"/>
              <w:left w:val="single" w:color="C9C9C9" w:sz="1"/>
              <w:bottom w:val="single" w:color="C9C9C9" w:sz="1"/>
              <w:right w:val="single" w:color="C9C9C9" w:sz="1"/>
            </w:tcBorders>
            <w:tcMar>
              <w:top w:type="dxa" w:w="80"/>
              <w:left w:type="dxa" w:w="110"/>
              <w:bottom w:type="dxa" w:w="80"/>
              <w:right w:type="dxa" w:w="110"/>
            </w:tcMar>
          </w:tcPr>
          <w:p>
            <w:pPr>
              <w:spacing w:after="0" w:line="244"/>
              <w:jc w:val="left"/>
            </w:pPr>
            <w:r>
              <w:rPr>
                <w:b w:val="false"/>
                <w:bCs w:val="false"/>
                <w:i w:val="false"/>
                <w:iCs w:val="false"/>
                <w:sz w:val="18"/>
                <w:szCs w:val="18"/>
              </w:rPr>
              <w:t xml:space="preserve">Story Disconnection → T1/T2. Developing Story Awareness → T3/T4. Story-Centered Life → T5. Name confirmed as Personal Narrative.</w:t>
            </w:r>
          </w:p>
        </w:tc>
      </w:tr>
      <w:tr>
        <w:tc>
          <w:tcPr>
            <w:tcW w:type="dxa" w:w="2550"/>
            <w:tcBorders>
              <w:top w:val="single" w:color="C9C9C9" w:sz="1"/>
              <w:left w:val="single" w:color="C9C9C9" w:sz="1"/>
              <w:bottom w:val="single" w:color="C9C9C9" w:sz="1"/>
              <w:right w:val="single" w:color="C9C9C9" w:sz="1"/>
            </w:tcBorders>
            <w:tcMar>
              <w:top w:type="dxa" w:w="80"/>
              <w:left w:type="dxa" w:w="110"/>
              <w:bottom w:type="dxa" w:w="80"/>
              <w:right w:type="dxa" w:w="110"/>
            </w:tcMar>
          </w:tcPr>
          <w:p>
            <w:pPr>
              <w:spacing w:after="0" w:line="244"/>
              <w:jc w:val="left"/>
            </w:pPr>
            <w:r>
              <w:rPr>
                <w:b/>
                <w:bCs/>
                <w:i w:val="false"/>
                <w:iCs w:val="false"/>
                <w:sz w:val="18"/>
                <w:szCs w:val="18"/>
              </w:rPr>
              <w:t xml:space="preserve">Next-Gen</w:t>
            </w:r>
          </w:p>
        </w:tc>
        <w:tc>
          <w:tcPr>
            <w:tcW w:type="dxa" w:w="1500"/>
            <w:tcBorders>
              <w:top w:val="single" w:color="C9C9C9" w:sz="1"/>
              <w:left w:val="single" w:color="C9C9C9" w:sz="1"/>
              <w:bottom w:val="single" w:color="C9C9C9" w:sz="1"/>
              <w:right w:val="single" w:color="C9C9C9" w:sz="1"/>
            </w:tcBorders>
            <w:tcMar>
              <w:top w:type="dxa" w:w="80"/>
              <w:left w:type="dxa" w:w="110"/>
              <w:bottom w:type="dxa" w:w="80"/>
              <w:right w:type="dxa" w:w="110"/>
            </w:tcMar>
          </w:tcPr>
          <w:p>
            <w:pPr>
              <w:spacing w:after="0" w:line="244"/>
              <w:jc w:val="center"/>
            </w:pPr>
            <w:r>
              <w:rPr>
                <w:b w:val="false"/>
                <w:bCs w:val="false"/>
                <w:i w:val="false"/>
                <w:iCs w:val="false"/>
                <w:sz w:val="18"/>
                <w:szCs w:val="18"/>
              </w:rPr>
              <w:t xml:space="preserve">Profile</w:t>
            </w:r>
          </w:p>
        </w:tc>
        <w:tc>
          <w:tcPr>
            <w:tcW w:type="dxa" w:w="5310"/>
            <w:tcBorders>
              <w:top w:val="single" w:color="C9C9C9" w:sz="1"/>
              <w:left w:val="single" w:color="C9C9C9" w:sz="1"/>
              <w:bottom w:val="single" w:color="C9C9C9" w:sz="1"/>
              <w:right w:val="single" w:color="C9C9C9" w:sz="1"/>
            </w:tcBorders>
            <w:tcMar>
              <w:top w:type="dxa" w:w="80"/>
              <w:left w:type="dxa" w:w="110"/>
              <w:bottom w:type="dxa" w:w="80"/>
              <w:right w:type="dxa" w:w="110"/>
            </w:tcMar>
          </w:tcPr>
          <w:p>
            <w:pPr>
              <w:spacing w:after="0" w:line="244"/>
              <w:jc w:val="left"/>
            </w:pPr>
            <w:r>
              <w:rPr>
                <w:b w:val="false"/>
                <w:bCs w:val="false"/>
                <w:i w:val="false"/>
                <w:iCs w:val="false"/>
                <w:sz w:val="18"/>
                <w:szCs w:val="18"/>
              </w:rPr>
              <w:t xml:space="preserve">Character → T1. Co-Author → T2/T3. Author → T4/T5. Keeps Character-to-Author labels forward facing.</w:t>
            </w:r>
          </w:p>
        </w:tc>
      </w:tr>
    </w:tbl>
    <w:p>
      <w:pPr>
        <w:pStyle w:val="Heading2"/>
        <w:spacing w:after="80" w:before="220"/>
      </w:pPr>
      <w:r>
        <w:rPr>
          <w:b/>
          <w:bCs/>
          <w:color w:val="2E5A6B"/>
          <w:sz w:val="24"/>
          <w:szCs w:val="24"/>
        </w:rPr>
        <w:t xml:space="preserve">The six teasers and where they send people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gridCol w:w="3160"/>
      </w:tblGrid>
      <w:tr>
        <w:trPr>
          <w:tblHeader/>
        </w:trPr>
        <w:tc>
          <w:tcPr>
            <w:tcW w:type="dxa" w:w="3100"/>
            <w:tcBorders>
              <w:top w:val="single" w:color="C9C9C9" w:sz="1"/>
              <w:left w:val="single" w:color="C9C9C9" w:sz="1"/>
              <w:bottom w:val="single" w:color="C9C9C9" w:sz="1"/>
              <w:right w:val="single" w:color="C9C9C9" w:sz="1"/>
            </w:tcBorders>
            <w:shd w:fill="1F2A37" w:val="clear"/>
            <w:tcMar>
              <w:top w:type="dxa" w:w="80"/>
              <w:left w:type="dxa" w:w="110"/>
              <w:bottom w:type="dxa" w:w="80"/>
              <w:right w:type="dxa" w:w="110"/>
            </w:tcMar>
          </w:tcPr>
          <w:p>
            <w:pPr>
              <w:spacing w:after="0" w:line="244"/>
              <w:jc w:val="center"/>
            </w:pPr>
            <w:r>
              <w:rPr>
                <w:b/>
                <w:bCs/>
                <w:i w:val="false"/>
                <w:iCs w:val="false"/>
                <w:color w:val="FFFFFF"/>
                <w:sz w:val="17"/>
                <w:szCs w:val="17"/>
              </w:rPr>
              <w:t xml:space="preserve">TEASER</w:t>
            </w:r>
          </w:p>
        </w:tc>
        <w:tc>
          <w:tcPr>
            <w:tcW w:type="dxa" w:w="3100"/>
            <w:tcBorders>
              <w:top w:val="single" w:color="C9C9C9" w:sz="1"/>
              <w:left w:val="single" w:color="C9C9C9" w:sz="1"/>
              <w:bottom w:val="single" w:color="C9C9C9" w:sz="1"/>
              <w:right w:val="single" w:color="C9C9C9" w:sz="1"/>
            </w:tcBorders>
            <w:shd w:fill="1F2A37" w:val="clear"/>
            <w:tcMar>
              <w:top w:type="dxa" w:w="80"/>
              <w:left w:type="dxa" w:w="110"/>
              <w:bottom w:type="dxa" w:w="80"/>
              <w:right w:type="dxa" w:w="110"/>
            </w:tcMar>
          </w:tcPr>
          <w:p>
            <w:pPr>
              <w:spacing w:after="0" w:line="244"/>
              <w:jc w:val="center"/>
            </w:pPr>
            <w:r>
              <w:rPr>
                <w:b/>
                <w:bCs/>
                <w:i w:val="false"/>
                <w:iCs w:val="false"/>
                <w:color w:val="FFFFFF"/>
                <w:sz w:val="17"/>
                <w:szCs w:val="17"/>
              </w:rPr>
              <w:t xml:space="preserve">SENDS THE READER TO</w:t>
            </w:r>
          </w:p>
        </w:tc>
        <w:tc>
          <w:tcPr>
            <w:tcW w:type="dxa" w:w="3160"/>
            <w:tcBorders>
              <w:top w:val="single" w:color="C9C9C9" w:sz="1"/>
              <w:left w:val="single" w:color="C9C9C9" w:sz="1"/>
              <w:bottom w:val="single" w:color="C9C9C9" w:sz="1"/>
              <w:right w:val="single" w:color="C9C9C9" w:sz="1"/>
            </w:tcBorders>
            <w:shd w:fill="1F2A37" w:val="clear"/>
            <w:tcMar>
              <w:top w:type="dxa" w:w="80"/>
              <w:left w:type="dxa" w:w="110"/>
              <w:bottom w:type="dxa" w:w="80"/>
              <w:right w:type="dxa" w:w="110"/>
            </w:tcMar>
          </w:tcPr>
          <w:p>
            <w:pPr>
              <w:spacing w:after="0" w:line="244"/>
              <w:jc w:val="center"/>
            </w:pPr>
            <w:r>
              <w:rPr>
                <w:b/>
                <w:bCs/>
                <w:i w:val="false"/>
                <w:iCs w:val="false"/>
                <w:color w:val="FFFFFF"/>
                <w:sz w:val="17"/>
                <w:szCs w:val="17"/>
              </w:rPr>
              <w:t xml:space="preserve">TIER</w:t>
            </w:r>
          </w:p>
        </w:tc>
      </w:tr>
      <w:tr>
        <w:tc>
          <w:tcPr>
            <w:tcW w:type="dxa" w:w="3100"/>
            <w:tcBorders>
              <w:top w:val="single" w:color="C9C9C9" w:sz="1"/>
              <w:left w:val="single" w:color="C9C9C9" w:sz="1"/>
              <w:bottom w:val="single" w:color="C9C9C9" w:sz="1"/>
              <w:right w:val="single" w:color="C9C9C9" w:sz="1"/>
            </w:tcBorders>
            <w:tcMar>
              <w:top w:type="dxa" w:w="80"/>
              <w:left w:type="dxa" w:w="110"/>
              <w:bottom w:type="dxa" w:w="80"/>
              <w:right w:type="dxa" w:w="110"/>
            </w:tcMar>
          </w:tcPr>
          <w:p>
            <w:pPr>
              <w:spacing w:after="0" w:line="244"/>
              <w:jc w:val="left"/>
            </w:pPr>
            <w:r>
              <w:rPr>
                <w:b w:val="false"/>
                <w:bCs w:val="false"/>
                <w:i w:val="false"/>
                <w:iCs w:val="false"/>
                <w:sz w:val="18"/>
                <w:szCs w:val="18"/>
              </w:rPr>
              <w:t xml:space="preserve">Leadership Quick-Check</w:t>
            </w:r>
          </w:p>
        </w:tc>
        <w:tc>
          <w:tcPr>
            <w:tcW w:type="dxa" w:w="3100"/>
            <w:tcBorders>
              <w:top w:val="single" w:color="C9C9C9" w:sz="1"/>
              <w:left w:val="single" w:color="C9C9C9" w:sz="1"/>
              <w:bottom w:val="single" w:color="C9C9C9" w:sz="1"/>
              <w:right w:val="single" w:color="C9C9C9" w:sz="1"/>
            </w:tcBorders>
            <w:tcMar>
              <w:top w:type="dxa" w:w="80"/>
              <w:left w:type="dxa" w:w="110"/>
              <w:bottom w:type="dxa" w:w="80"/>
              <w:right w:type="dxa" w:w="110"/>
            </w:tcMar>
          </w:tcPr>
          <w:p>
            <w:pPr>
              <w:spacing w:after="0" w:line="244"/>
              <w:jc w:val="left"/>
            </w:pPr>
            <w:r>
              <w:rPr>
                <w:b w:val="false"/>
                <w:bCs w:val="false"/>
                <w:i w:val="false"/>
                <w:iCs w:val="false"/>
                <w:sz w:val="18"/>
                <w:szCs w:val="18"/>
              </w:rPr>
              <w:t xml:space="preserve">Quick Leadership Assessment</w:t>
            </w:r>
          </w:p>
        </w:tc>
        <w:tc>
          <w:tcPr>
            <w:tcW w:type="dxa" w:w="3160"/>
            <w:tcBorders>
              <w:top w:val="single" w:color="C9C9C9" w:sz="1"/>
              <w:left w:val="single" w:color="C9C9C9" w:sz="1"/>
              <w:bottom w:val="single" w:color="C9C9C9" w:sz="1"/>
              <w:right w:val="single" w:color="C9C9C9" w:sz="1"/>
            </w:tcBorders>
            <w:shd w:fill="DCE8DC" w:val="clear"/>
            <w:tcMar>
              <w:top w:type="dxa" w:w="80"/>
              <w:left w:type="dxa" w:w="110"/>
              <w:bottom w:type="dxa" w:w="80"/>
              <w:right w:type="dxa" w:w="110"/>
            </w:tcMar>
          </w:tcPr>
          <w:p>
            <w:pPr>
              <w:spacing w:after="0" w:line="244"/>
              <w:jc w:val="left"/>
            </w:pPr>
            <w:r>
              <w:rPr>
                <w:b w:val="false"/>
                <w:bCs w:val="false"/>
                <w:i w:val="false"/>
                <w:iCs w:val="false"/>
                <w:sz w:val="18"/>
                <w:szCs w:val="18"/>
              </w:rPr>
              <w:t xml:space="preserve">Start Here (free)</w:t>
            </w:r>
          </w:p>
        </w:tc>
      </w:tr>
      <w:tr>
        <w:tc>
          <w:tcPr>
            <w:tcW w:type="dxa" w:w="3100"/>
            <w:tcBorders>
              <w:top w:val="single" w:color="C9C9C9" w:sz="1"/>
              <w:left w:val="single" w:color="C9C9C9" w:sz="1"/>
              <w:bottom w:val="single" w:color="C9C9C9" w:sz="1"/>
              <w:right w:val="single" w:color="C9C9C9" w:sz="1"/>
            </w:tcBorders>
            <w:tcMar>
              <w:top w:type="dxa" w:w="80"/>
              <w:left w:type="dxa" w:w="110"/>
              <w:bottom w:type="dxa" w:w="80"/>
              <w:right w:type="dxa" w:w="110"/>
            </w:tcMar>
          </w:tcPr>
          <w:p>
            <w:pPr>
              <w:spacing w:after="0" w:line="244"/>
              <w:jc w:val="left"/>
            </w:pPr>
            <w:r>
              <w:rPr>
                <w:b w:val="false"/>
                <w:bCs w:val="false"/>
                <w:i w:val="false"/>
                <w:iCs w:val="false"/>
                <w:sz w:val="18"/>
                <w:szCs w:val="18"/>
              </w:rPr>
              <w:t xml:space="preserve">Personal Story Check</w:t>
            </w:r>
          </w:p>
        </w:tc>
        <w:tc>
          <w:tcPr>
            <w:tcW w:type="dxa" w:w="3100"/>
            <w:tcBorders>
              <w:top w:val="single" w:color="C9C9C9" w:sz="1"/>
              <w:left w:val="single" w:color="C9C9C9" w:sz="1"/>
              <w:bottom w:val="single" w:color="C9C9C9" w:sz="1"/>
              <w:right w:val="single" w:color="C9C9C9" w:sz="1"/>
            </w:tcBorders>
            <w:tcMar>
              <w:top w:type="dxa" w:w="80"/>
              <w:left w:type="dxa" w:w="110"/>
              <w:bottom w:type="dxa" w:w="80"/>
              <w:right w:type="dxa" w:w="110"/>
            </w:tcMar>
          </w:tcPr>
          <w:p>
            <w:pPr>
              <w:spacing w:after="0" w:line="244"/>
              <w:jc w:val="left"/>
            </w:pPr>
            <w:r>
              <w:rPr>
                <w:b w:val="false"/>
                <w:bCs w:val="false"/>
                <w:i w:val="false"/>
                <w:iCs w:val="false"/>
                <w:sz w:val="18"/>
                <w:szCs w:val="18"/>
              </w:rPr>
              <w:t xml:space="preserve">Personal Narrative Assessment</w:t>
            </w:r>
          </w:p>
        </w:tc>
        <w:tc>
          <w:tcPr>
            <w:tcW w:type="dxa" w:w="3160"/>
            <w:tcBorders>
              <w:top w:val="single" w:color="C9C9C9" w:sz="1"/>
              <w:left w:val="single" w:color="C9C9C9" w:sz="1"/>
              <w:bottom w:val="single" w:color="C9C9C9" w:sz="1"/>
              <w:right w:val="single" w:color="C9C9C9" w:sz="1"/>
            </w:tcBorders>
            <w:shd w:fill="E2EAF0" w:val="clear"/>
            <w:tcMar>
              <w:top w:type="dxa" w:w="80"/>
              <w:left w:type="dxa" w:w="110"/>
              <w:bottom w:type="dxa" w:w="80"/>
              <w:right w:type="dxa" w:w="110"/>
            </w:tcMar>
          </w:tcPr>
          <w:p>
            <w:pPr>
              <w:spacing w:after="0" w:line="244"/>
              <w:jc w:val="left"/>
            </w:pPr>
            <w:r>
              <w:rPr>
                <w:b w:val="false"/>
                <w:bCs w:val="false"/>
                <w:i w:val="false"/>
                <w:iCs w:val="false"/>
                <w:sz w:val="18"/>
                <w:szCs w:val="18"/>
              </w:rPr>
              <w:t xml:space="preserve">Go Deeper</w:t>
            </w:r>
          </w:p>
        </w:tc>
      </w:tr>
      <w:tr>
        <w:tc>
          <w:tcPr>
            <w:tcW w:type="dxa" w:w="3100"/>
            <w:tcBorders>
              <w:top w:val="single" w:color="C9C9C9" w:sz="1"/>
              <w:left w:val="single" w:color="C9C9C9" w:sz="1"/>
              <w:bottom w:val="single" w:color="C9C9C9" w:sz="1"/>
              <w:right w:val="single" w:color="C9C9C9" w:sz="1"/>
            </w:tcBorders>
            <w:tcMar>
              <w:top w:type="dxa" w:w="80"/>
              <w:left w:type="dxa" w:w="110"/>
              <w:bottom w:type="dxa" w:w="80"/>
              <w:right w:type="dxa" w:w="110"/>
            </w:tcMar>
          </w:tcPr>
          <w:p>
            <w:pPr>
              <w:spacing w:after="0" w:line="244"/>
              <w:jc w:val="left"/>
            </w:pPr>
            <w:r>
              <w:rPr>
                <w:b w:val="false"/>
                <w:bCs w:val="false"/>
                <w:i w:val="false"/>
                <w:iCs w:val="false"/>
                <w:sz w:val="18"/>
                <w:szCs w:val="18"/>
              </w:rPr>
              <w:t xml:space="preserve">Path-Finder</w:t>
            </w:r>
          </w:p>
        </w:tc>
        <w:tc>
          <w:tcPr>
            <w:tcW w:type="dxa" w:w="3100"/>
            <w:tcBorders>
              <w:top w:val="single" w:color="C9C9C9" w:sz="1"/>
              <w:left w:val="single" w:color="C9C9C9" w:sz="1"/>
              <w:bottom w:val="single" w:color="C9C9C9" w:sz="1"/>
              <w:right w:val="single" w:color="C9C9C9" w:sz="1"/>
            </w:tcBorders>
            <w:tcMar>
              <w:top w:type="dxa" w:w="80"/>
              <w:left w:type="dxa" w:w="110"/>
              <w:bottom w:type="dxa" w:w="80"/>
              <w:right w:type="dxa" w:w="110"/>
            </w:tcMar>
          </w:tcPr>
          <w:p>
            <w:pPr>
              <w:spacing w:after="0" w:line="244"/>
              <w:jc w:val="left"/>
            </w:pPr>
            <w:r>
              <w:rPr>
                <w:b w:val="false"/>
                <w:bCs w:val="false"/>
                <w:i w:val="false"/>
                <w:iCs w:val="false"/>
                <w:sz w:val="18"/>
                <w:szCs w:val="18"/>
              </w:rPr>
              <w:t xml:space="preserve">Next-Gen Assessment</w:t>
            </w:r>
          </w:p>
        </w:tc>
        <w:tc>
          <w:tcPr>
            <w:tcW w:type="dxa" w:w="3160"/>
            <w:tcBorders>
              <w:top w:val="single" w:color="C9C9C9" w:sz="1"/>
              <w:left w:val="single" w:color="C9C9C9" w:sz="1"/>
              <w:bottom w:val="single" w:color="C9C9C9" w:sz="1"/>
              <w:right w:val="single" w:color="C9C9C9" w:sz="1"/>
            </w:tcBorders>
            <w:shd w:fill="E2EAF0" w:val="clear"/>
            <w:tcMar>
              <w:top w:type="dxa" w:w="80"/>
              <w:left w:type="dxa" w:w="110"/>
              <w:bottom w:type="dxa" w:w="80"/>
              <w:right w:type="dxa" w:w="110"/>
            </w:tcMar>
          </w:tcPr>
          <w:p>
            <w:pPr>
              <w:spacing w:after="0" w:line="244"/>
              <w:jc w:val="left"/>
            </w:pPr>
            <w:r>
              <w:rPr>
                <w:b w:val="false"/>
                <w:bCs w:val="false"/>
                <w:i w:val="false"/>
                <w:iCs w:val="false"/>
                <w:sz w:val="18"/>
                <w:szCs w:val="18"/>
              </w:rPr>
              <w:t xml:space="preserve">Go Deeper</w:t>
            </w:r>
          </w:p>
        </w:tc>
      </w:tr>
      <w:tr>
        <w:tc>
          <w:tcPr>
            <w:tcW w:type="dxa" w:w="3100"/>
            <w:tcBorders>
              <w:top w:val="single" w:color="C9C9C9" w:sz="1"/>
              <w:left w:val="single" w:color="C9C9C9" w:sz="1"/>
              <w:bottom w:val="single" w:color="C9C9C9" w:sz="1"/>
              <w:right w:val="single" w:color="C9C9C9" w:sz="1"/>
            </w:tcBorders>
            <w:tcMar>
              <w:top w:type="dxa" w:w="80"/>
              <w:left w:type="dxa" w:w="110"/>
              <w:bottom w:type="dxa" w:w="80"/>
              <w:right w:type="dxa" w:w="110"/>
            </w:tcMar>
          </w:tcPr>
          <w:p>
            <w:pPr>
              <w:spacing w:after="0" w:line="244"/>
              <w:jc w:val="left"/>
            </w:pPr>
            <w:r>
              <w:rPr>
                <w:b w:val="false"/>
                <w:bCs w:val="false"/>
                <w:i w:val="false"/>
                <w:iCs w:val="false"/>
                <w:sz w:val="18"/>
                <w:szCs w:val="18"/>
              </w:rPr>
              <w:t xml:space="preserve">Team Story Check</w:t>
            </w:r>
          </w:p>
        </w:tc>
        <w:tc>
          <w:tcPr>
            <w:tcW w:type="dxa" w:w="3100"/>
            <w:tcBorders>
              <w:top w:val="single" w:color="C9C9C9" w:sz="1"/>
              <w:left w:val="single" w:color="C9C9C9" w:sz="1"/>
              <w:bottom w:val="single" w:color="C9C9C9" w:sz="1"/>
              <w:right w:val="single" w:color="C9C9C9" w:sz="1"/>
            </w:tcBorders>
            <w:tcMar>
              <w:top w:type="dxa" w:w="80"/>
              <w:left w:type="dxa" w:w="110"/>
              <w:bottom w:type="dxa" w:w="80"/>
              <w:right w:type="dxa" w:w="110"/>
            </w:tcMar>
          </w:tcPr>
          <w:p>
            <w:pPr>
              <w:spacing w:after="0" w:line="244"/>
              <w:jc w:val="left"/>
            </w:pPr>
            <w:r>
              <w:rPr>
                <w:b w:val="false"/>
                <w:bCs w:val="false"/>
                <w:i w:val="false"/>
                <w:iCs w:val="false"/>
                <w:sz w:val="18"/>
                <w:szCs w:val="18"/>
              </w:rPr>
              <w:t xml:space="preserve">Org Leadership Complete</w:t>
            </w:r>
          </w:p>
        </w:tc>
        <w:tc>
          <w:tcPr>
            <w:tcW w:type="dxa" w:w="3160"/>
            <w:tcBorders>
              <w:top w:val="single" w:color="C9C9C9" w:sz="1"/>
              <w:left w:val="single" w:color="C9C9C9" w:sz="1"/>
              <w:bottom w:val="single" w:color="C9C9C9" w:sz="1"/>
              <w:right w:val="single" w:color="C9C9C9" w:sz="1"/>
            </w:tcBorders>
            <w:shd w:fill="E2EAF0" w:val="clear"/>
            <w:tcMar>
              <w:top w:type="dxa" w:w="80"/>
              <w:left w:type="dxa" w:w="110"/>
              <w:bottom w:type="dxa" w:w="80"/>
              <w:right w:type="dxa" w:w="110"/>
            </w:tcMar>
          </w:tcPr>
          <w:p>
            <w:pPr>
              <w:spacing w:after="0" w:line="244"/>
              <w:jc w:val="left"/>
            </w:pPr>
            <w:r>
              <w:rPr>
                <w:b w:val="false"/>
                <w:bCs w:val="false"/>
                <w:i w:val="false"/>
                <w:iCs w:val="false"/>
                <w:sz w:val="18"/>
                <w:szCs w:val="18"/>
              </w:rPr>
              <w:t xml:space="preserve">Go Deeper</w:t>
            </w:r>
          </w:p>
        </w:tc>
      </w:tr>
      <w:tr>
        <w:tc>
          <w:tcPr>
            <w:tcW w:type="dxa" w:w="3100"/>
            <w:tcBorders>
              <w:top w:val="single" w:color="C9C9C9" w:sz="1"/>
              <w:left w:val="single" w:color="C9C9C9" w:sz="1"/>
              <w:bottom w:val="single" w:color="C9C9C9" w:sz="1"/>
              <w:right w:val="single" w:color="C9C9C9" w:sz="1"/>
            </w:tcBorders>
            <w:tcMar>
              <w:top w:type="dxa" w:w="80"/>
              <w:left w:type="dxa" w:w="110"/>
              <w:bottom w:type="dxa" w:w="80"/>
              <w:right w:type="dxa" w:w="110"/>
            </w:tcMar>
          </w:tcPr>
          <w:p>
            <w:pPr>
              <w:spacing w:after="0" w:line="244"/>
              <w:jc w:val="left"/>
            </w:pPr>
            <w:r>
              <w:rPr>
                <w:b w:val="false"/>
                <w:bCs w:val="false"/>
                <w:i w:val="false"/>
                <w:iCs w:val="false"/>
                <w:sz w:val="18"/>
                <w:szCs w:val="18"/>
              </w:rPr>
              <w:t xml:space="preserve">Sales Story Quick-Check</w:t>
            </w:r>
          </w:p>
        </w:tc>
        <w:tc>
          <w:tcPr>
            <w:tcW w:type="dxa" w:w="3100"/>
            <w:tcBorders>
              <w:top w:val="single" w:color="C9C9C9" w:sz="1"/>
              <w:left w:val="single" w:color="C9C9C9" w:sz="1"/>
              <w:bottom w:val="single" w:color="C9C9C9" w:sz="1"/>
              <w:right w:val="single" w:color="C9C9C9" w:sz="1"/>
            </w:tcBorders>
            <w:tcMar>
              <w:top w:type="dxa" w:w="80"/>
              <w:left w:type="dxa" w:w="110"/>
              <w:bottom w:type="dxa" w:w="80"/>
              <w:right w:type="dxa" w:w="110"/>
            </w:tcMar>
          </w:tcPr>
          <w:p>
            <w:pPr>
              <w:spacing w:after="0" w:line="244"/>
              <w:jc w:val="left"/>
            </w:pPr>
            <w:r>
              <w:rPr>
                <w:b w:val="false"/>
                <w:bCs w:val="false"/>
                <w:i w:val="false"/>
                <w:iCs w:val="false"/>
                <w:sz w:val="18"/>
                <w:szCs w:val="18"/>
              </w:rPr>
              <w:t xml:space="preserve">Narrative Edge for Leaders &amp; Orgs</w:t>
            </w:r>
          </w:p>
        </w:tc>
        <w:tc>
          <w:tcPr>
            <w:tcW w:type="dxa" w:w="3160"/>
            <w:tcBorders>
              <w:top w:val="single" w:color="C9C9C9" w:sz="1"/>
              <w:left w:val="single" w:color="C9C9C9" w:sz="1"/>
              <w:bottom w:val="single" w:color="C9C9C9" w:sz="1"/>
              <w:right w:val="single" w:color="C9C9C9" w:sz="1"/>
            </w:tcBorders>
            <w:shd w:fill="E2EAF0" w:val="clear"/>
            <w:tcMar>
              <w:top w:type="dxa" w:w="80"/>
              <w:left w:type="dxa" w:w="110"/>
              <w:bottom w:type="dxa" w:w="80"/>
              <w:right w:type="dxa" w:w="110"/>
            </w:tcMar>
          </w:tcPr>
          <w:p>
            <w:pPr>
              <w:spacing w:after="0" w:line="244"/>
              <w:jc w:val="left"/>
            </w:pPr>
            <w:r>
              <w:rPr>
                <w:b w:val="false"/>
                <w:bCs w:val="false"/>
                <w:i w:val="false"/>
                <w:iCs w:val="false"/>
                <w:sz w:val="18"/>
                <w:szCs w:val="18"/>
              </w:rPr>
              <w:t xml:space="preserve">Go Deeper</w:t>
            </w:r>
          </w:p>
        </w:tc>
      </w:tr>
      <w:tr>
        <w:tc>
          <w:tcPr>
            <w:tcW w:type="dxa" w:w="3100"/>
            <w:tcBorders>
              <w:top w:val="single" w:color="C9C9C9" w:sz="1"/>
              <w:left w:val="single" w:color="C9C9C9" w:sz="1"/>
              <w:bottom w:val="single" w:color="C9C9C9" w:sz="1"/>
              <w:right w:val="single" w:color="C9C9C9" w:sz="1"/>
            </w:tcBorders>
            <w:tcMar>
              <w:top w:type="dxa" w:w="80"/>
              <w:left w:type="dxa" w:w="110"/>
              <w:bottom w:type="dxa" w:w="80"/>
              <w:right w:type="dxa" w:w="110"/>
            </w:tcMar>
          </w:tcPr>
          <w:p>
            <w:pPr>
              <w:spacing w:after="0" w:line="244"/>
              <w:jc w:val="left"/>
            </w:pPr>
            <w:r>
              <w:rPr>
                <w:b w:val="false"/>
                <w:bCs w:val="false"/>
                <w:i w:val="false"/>
                <w:iCs w:val="false"/>
                <w:sz w:val="18"/>
                <w:szCs w:val="18"/>
              </w:rPr>
              <w:t xml:space="preserve">Entrepreneur Quick-Check</w:t>
            </w:r>
          </w:p>
        </w:tc>
        <w:tc>
          <w:tcPr>
            <w:tcW w:type="dxa" w:w="3100"/>
            <w:tcBorders>
              <w:top w:val="single" w:color="C9C9C9" w:sz="1"/>
              <w:left w:val="single" w:color="C9C9C9" w:sz="1"/>
              <w:bottom w:val="single" w:color="C9C9C9" w:sz="1"/>
              <w:right w:val="single" w:color="C9C9C9" w:sz="1"/>
            </w:tcBorders>
            <w:tcMar>
              <w:top w:type="dxa" w:w="80"/>
              <w:left w:type="dxa" w:w="110"/>
              <w:bottom w:type="dxa" w:w="80"/>
              <w:right w:type="dxa" w:w="110"/>
            </w:tcMar>
          </w:tcPr>
          <w:p>
            <w:pPr>
              <w:spacing w:after="0" w:line="244"/>
              <w:jc w:val="left"/>
            </w:pPr>
            <w:r>
              <w:rPr>
                <w:b w:val="false"/>
                <w:bCs w:val="false"/>
                <w:i w:val="false"/>
                <w:iCs w:val="false"/>
                <w:sz w:val="18"/>
                <w:szCs w:val="18"/>
              </w:rPr>
              <w:t xml:space="preserve">Narrative Edge for Leaders &amp; Orgs (founder lane)</w:t>
            </w:r>
          </w:p>
        </w:tc>
        <w:tc>
          <w:tcPr>
            <w:tcW w:type="dxa" w:w="3160"/>
            <w:tcBorders>
              <w:top w:val="single" w:color="C9C9C9" w:sz="1"/>
              <w:left w:val="single" w:color="C9C9C9" w:sz="1"/>
              <w:bottom w:val="single" w:color="C9C9C9" w:sz="1"/>
              <w:right w:val="single" w:color="C9C9C9" w:sz="1"/>
            </w:tcBorders>
            <w:shd w:fill="E2EAF0" w:val="clear"/>
            <w:tcMar>
              <w:top w:type="dxa" w:w="80"/>
              <w:left w:type="dxa" w:w="110"/>
              <w:bottom w:type="dxa" w:w="80"/>
              <w:right w:type="dxa" w:w="110"/>
            </w:tcMar>
          </w:tcPr>
          <w:p>
            <w:pPr>
              <w:spacing w:after="0" w:line="244"/>
              <w:jc w:val="left"/>
            </w:pPr>
            <w:r>
              <w:rPr>
                <w:b w:val="false"/>
                <w:bCs w:val="false"/>
                <w:i w:val="false"/>
                <w:iCs w:val="false"/>
                <w:sz w:val="18"/>
                <w:szCs w:val="18"/>
              </w:rPr>
              <w:t xml:space="preserve">Go Deeper</w:t>
            </w:r>
          </w:p>
        </w:tc>
      </w:tr>
    </w:tbl>
    <w:p>
      <w:pPr>
        <w:spacing w:after="140" w:line="276"/>
      </w:pPr>
      <w:r>
        <w:rPr>
          <w:b w:val="false"/>
          <w:bCs w:val="false"/>
          <w:i/>
          <w:iCs/>
          <w:sz w:val="20"/>
          <w:szCs w:val="20"/>
        </w:rPr>
        <w:t xml:space="preserve">Two cleanups the teasers need: their CTAs still name “Personal Life Assessment,” which becomes Personal Narrative, and they still use three coarse bands, which should be relabeled to read against the five tiers underneath.</w:t>
      </w:r>
    </w:p>
    <w:p>
      <w:r>
        <w:br w:type="page"/>
      </w:r>
    </w:p>
    <w:p>
      <w:pPr>
        <w:pStyle w:val="Heading1"/>
        <w:pBdr>
          <w:bottom w:val="single" w:color="2E5A6B" w:sz="6" w:space="4"/>
        </w:pBdr>
        <w:spacing w:after="130" w:before="320"/>
      </w:pPr>
      <w:r>
        <w:rPr>
          <w:b/>
          <w:bCs/>
          <w:color w:val="1F2A37"/>
          <w:sz w:val="30"/>
          <w:szCs w:val="30"/>
        </w:rPr>
        <w:t xml:space="preserve">Section Five: The Quick Leadership Assessment, the First Build</w:t>
      </w:r>
    </w:p>
    <w:p>
      <w:pPr>
        <w:spacing w:after="140" w:line="276"/>
      </w:pPr>
      <w:r>
        <w:rPr>
          <w:b w:val="false"/>
          <w:bCs w:val="false"/>
          <w:i w:val="false"/>
          <w:iCs w:val="false"/>
          <w:sz w:val="22"/>
          <w:szCs w:val="22"/>
        </w:rPr>
        <w:t xml:space="preserve">The free, five-minute front door, and the first thing to code. It scores out of 60 across the four signature leader stories (Origin, Vision, Values, Transformation) and the behavioral and impact items, and closes with the one question you read yourself: if every title and credential were stripped away, what story would you tell about who you are and why you do this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300"/>
        <w:gridCol w:w="5460"/>
      </w:tblGrid>
      <w:tr>
        <w:trPr>
          <w:tblHeader/>
        </w:trPr>
        <w:tc>
          <w:tcPr>
            <w:tcW w:type="dxa" w:w="1600"/>
            <w:tcBorders>
              <w:top w:val="single" w:color="C9C9C9" w:sz="1"/>
              <w:left w:val="single" w:color="C9C9C9" w:sz="1"/>
              <w:bottom w:val="single" w:color="C9C9C9" w:sz="1"/>
              <w:right w:val="single" w:color="C9C9C9" w:sz="1"/>
            </w:tcBorders>
            <w:shd w:fill="1F2A37" w:val="clear"/>
            <w:tcMar>
              <w:top w:type="dxa" w:w="80"/>
              <w:left w:type="dxa" w:w="110"/>
              <w:bottom w:type="dxa" w:w="80"/>
              <w:right w:type="dxa" w:w="110"/>
            </w:tcMar>
          </w:tcPr>
          <w:p>
            <w:pPr>
              <w:spacing w:after="0" w:line="244"/>
              <w:jc w:val="center"/>
            </w:pPr>
            <w:r>
              <w:rPr>
                <w:b/>
                <w:bCs/>
                <w:i w:val="false"/>
                <w:iCs w:val="false"/>
                <w:color w:val="FFFFFF"/>
                <w:sz w:val="17"/>
                <w:szCs w:val="17"/>
              </w:rPr>
              <w:t xml:space="preserve">SCORE / 60</w:t>
            </w:r>
          </w:p>
        </w:tc>
        <w:tc>
          <w:tcPr>
            <w:tcW w:type="dxa" w:w="2300"/>
            <w:tcBorders>
              <w:top w:val="single" w:color="C9C9C9" w:sz="1"/>
              <w:left w:val="single" w:color="C9C9C9" w:sz="1"/>
              <w:bottom w:val="single" w:color="C9C9C9" w:sz="1"/>
              <w:right w:val="single" w:color="C9C9C9" w:sz="1"/>
            </w:tcBorders>
            <w:shd w:fill="1F2A37" w:val="clear"/>
            <w:tcMar>
              <w:top w:type="dxa" w:w="80"/>
              <w:left w:type="dxa" w:w="110"/>
              <w:bottom w:type="dxa" w:w="80"/>
              <w:right w:type="dxa" w:w="110"/>
            </w:tcMar>
          </w:tcPr>
          <w:p>
            <w:pPr>
              <w:spacing w:after="0" w:line="244"/>
              <w:jc w:val="center"/>
            </w:pPr>
            <w:r>
              <w:rPr>
                <w:b/>
                <w:bCs/>
                <w:i w:val="false"/>
                <w:iCs w:val="false"/>
                <w:color w:val="FFFFFF"/>
                <w:sz w:val="17"/>
                <w:szCs w:val="17"/>
              </w:rPr>
              <w:t xml:space="preserve">ZONE</w:t>
            </w:r>
          </w:p>
        </w:tc>
        <w:tc>
          <w:tcPr>
            <w:tcW w:type="dxa" w:w="5460"/>
            <w:tcBorders>
              <w:top w:val="single" w:color="C9C9C9" w:sz="1"/>
              <w:left w:val="single" w:color="C9C9C9" w:sz="1"/>
              <w:bottom w:val="single" w:color="C9C9C9" w:sz="1"/>
              <w:right w:val="single" w:color="C9C9C9" w:sz="1"/>
            </w:tcBorders>
            <w:shd w:fill="1F2A37" w:val="clear"/>
            <w:tcMar>
              <w:top w:type="dxa" w:w="80"/>
              <w:left w:type="dxa" w:w="110"/>
              <w:bottom w:type="dxa" w:w="80"/>
              <w:right w:type="dxa" w:w="110"/>
            </w:tcMar>
          </w:tcPr>
          <w:p>
            <w:pPr>
              <w:spacing w:after="0" w:line="244"/>
              <w:jc w:val="center"/>
            </w:pPr>
            <w:r>
              <w:rPr>
                <w:b/>
                <w:bCs/>
                <w:i w:val="false"/>
                <w:iCs w:val="false"/>
                <w:color w:val="FFFFFF"/>
                <w:sz w:val="17"/>
                <w:szCs w:val="17"/>
              </w:rPr>
              <w:t xml:space="preserve">WHAT THE RESULT PAGE LEADS WITH</w:t>
            </w:r>
          </w:p>
        </w:tc>
      </w:tr>
      <w:tr>
        <w:tc>
          <w:tcPr>
            <w:tcW w:type="dxa" w:w="1600"/>
            <w:tcBorders>
              <w:top w:val="single" w:color="C9C9C9" w:sz="1"/>
              <w:left w:val="single" w:color="C9C9C9" w:sz="1"/>
              <w:bottom w:val="single" w:color="C9C9C9" w:sz="1"/>
              <w:right w:val="single" w:color="C9C9C9" w:sz="1"/>
            </w:tcBorders>
            <w:shd w:fill="F1D9D2" w:val="clear"/>
            <w:tcMar>
              <w:top w:type="dxa" w:w="80"/>
              <w:left w:type="dxa" w:w="110"/>
              <w:bottom w:type="dxa" w:w="80"/>
              <w:right w:type="dxa" w:w="110"/>
            </w:tcMar>
          </w:tcPr>
          <w:p>
            <w:pPr>
              <w:spacing w:after="0" w:line="244"/>
              <w:jc w:val="center"/>
            </w:pPr>
            <w:r>
              <w:rPr>
                <w:b/>
                <w:bCs/>
                <w:i w:val="false"/>
                <w:iCs w:val="false"/>
                <w:sz w:val="18"/>
                <w:szCs w:val="18"/>
              </w:rPr>
              <w:t xml:space="preserve">0 to 19</w:t>
            </w:r>
          </w:p>
        </w:tc>
        <w:tc>
          <w:tcPr>
            <w:tcW w:type="dxa" w:w="2300"/>
            <w:tcBorders>
              <w:top w:val="single" w:color="C9C9C9" w:sz="1"/>
              <w:left w:val="single" w:color="C9C9C9" w:sz="1"/>
              <w:bottom w:val="single" w:color="C9C9C9" w:sz="1"/>
              <w:right w:val="single" w:color="C9C9C9" w:sz="1"/>
            </w:tcBorders>
            <w:shd w:fill="F1D9D2" w:val="clear"/>
            <w:tcMar>
              <w:top w:type="dxa" w:w="80"/>
              <w:left w:type="dxa" w:w="110"/>
              <w:bottom w:type="dxa" w:w="80"/>
              <w:right w:type="dxa" w:w="110"/>
            </w:tcMar>
          </w:tcPr>
          <w:p>
            <w:pPr>
              <w:spacing w:after="0" w:line="244"/>
              <w:jc w:val="left"/>
            </w:pPr>
            <w:r>
              <w:rPr>
                <w:b/>
                <w:bCs/>
                <w:i w:val="false"/>
                <w:iCs w:val="false"/>
                <w:sz w:val="18"/>
                <w:szCs w:val="18"/>
              </w:rPr>
              <w:t xml:space="preserve">Story At Risk</w:t>
            </w:r>
          </w:p>
        </w:tc>
        <w:tc>
          <w:tcPr>
            <w:tcW w:type="dxa" w:w="5460"/>
            <w:tcBorders>
              <w:top w:val="single" w:color="C9C9C9" w:sz="1"/>
              <w:left w:val="single" w:color="C9C9C9" w:sz="1"/>
              <w:bottom w:val="single" w:color="C9C9C9" w:sz="1"/>
              <w:right w:val="single" w:color="C9C9C9" w:sz="1"/>
            </w:tcBorders>
            <w:tcMar>
              <w:top w:type="dxa" w:w="80"/>
              <w:left w:type="dxa" w:w="110"/>
              <w:bottom w:type="dxa" w:w="80"/>
              <w:right w:type="dxa" w:w="110"/>
            </w:tcMar>
          </w:tcPr>
          <w:p>
            <w:pPr>
              <w:spacing w:after="0" w:line="244"/>
              <w:jc w:val="left"/>
            </w:pPr>
            <w:r>
              <w:rPr>
                <w:b w:val="false"/>
                <w:bCs w:val="false"/>
                <w:i w:val="false"/>
                <w:iCs w:val="false"/>
                <w:sz w:val="18"/>
                <w:szCs w:val="18"/>
              </w:rPr>
              <w:t xml:space="preserve">Leading on credentials and data. The gap is costing influence now.</w:t>
            </w:r>
          </w:p>
        </w:tc>
      </w:tr>
      <w:tr>
        <w:tc>
          <w:tcPr>
            <w:tcW w:type="dxa" w:w="1600"/>
            <w:tcBorders>
              <w:top w:val="single" w:color="C9C9C9" w:sz="1"/>
              <w:left w:val="single" w:color="C9C9C9" w:sz="1"/>
              <w:bottom w:val="single" w:color="C9C9C9" w:sz="1"/>
              <w:right w:val="single" w:color="C9C9C9" w:sz="1"/>
            </w:tcBorders>
            <w:shd w:fill="F7E7CE" w:val="clear"/>
            <w:tcMar>
              <w:top w:type="dxa" w:w="80"/>
              <w:left w:type="dxa" w:w="110"/>
              <w:bottom w:type="dxa" w:w="80"/>
              <w:right w:type="dxa" w:w="110"/>
            </w:tcMar>
          </w:tcPr>
          <w:p>
            <w:pPr>
              <w:spacing w:after="0" w:line="244"/>
              <w:jc w:val="center"/>
            </w:pPr>
            <w:r>
              <w:rPr>
                <w:b/>
                <w:bCs/>
                <w:i w:val="false"/>
                <w:iCs w:val="false"/>
                <w:sz w:val="18"/>
                <w:szCs w:val="18"/>
              </w:rPr>
              <w:t xml:space="preserve">20 to 31</w:t>
            </w:r>
          </w:p>
        </w:tc>
        <w:tc>
          <w:tcPr>
            <w:tcW w:type="dxa" w:w="2300"/>
            <w:tcBorders>
              <w:top w:val="single" w:color="C9C9C9" w:sz="1"/>
              <w:left w:val="single" w:color="C9C9C9" w:sz="1"/>
              <w:bottom w:val="single" w:color="C9C9C9" w:sz="1"/>
              <w:right w:val="single" w:color="C9C9C9" w:sz="1"/>
            </w:tcBorders>
            <w:shd w:fill="F7E7CE" w:val="clear"/>
            <w:tcMar>
              <w:top w:type="dxa" w:w="80"/>
              <w:left w:type="dxa" w:w="110"/>
              <w:bottom w:type="dxa" w:w="80"/>
              <w:right w:type="dxa" w:w="110"/>
            </w:tcMar>
          </w:tcPr>
          <w:p>
            <w:pPr>
              <w:spacing w:after="0" w:line="244"/>
              <w:jc w:val="left"/>
            </w:pPr>
            <w:r>
              <w:rPr>
                <w:b/>
                <w:bCs/>
                <w:i w:val="false"/>
                <w:iCs w:val="false"/>
                <w:sz w:val="18"/>
                <w:szCs w:val="18"/>
              </w:rPr>
              <w:t xml:space="preserve">Story Emerging</w:t>
            </w:r>
          </w:p>
        </w:tc>
        <w:tc>
          <w:tcPr>
            <w:tcW w:type="dxa" w:w="5460"/>
            <w:tcBorders>
              <w:top w:val="single" w:color="C9C9C9" w:sz="1"/>
              <w:left w:val="single" w:color="C9C9C9" w:sz="1"/>
              <w:bottom w:val="single" w:color="C9C9C9" w:sz="1"/>
              <w:right w:val="single" w:color="C9C9C9" w:sz="1"/>
            </w:tcBorders>
            <w:tcMar>
              <w:top w:type="dxa" w:w="80"/>
              <w:left w:type="dxa" w:w="110"/>
              <w:bottom w:type="dxa" w:w="80"/>
              <w:right w:type="dxa" w:w="110"/>
            </w:tcMar>
          </w:tcPr>
          <w:p>
            <w:pPr>
              <w:spacing w:after="0" w:line="244"/>
              <w:jc w:val="left"/>
            </w:pPr>
            <w:r>
              <w:rPr>
                <w:b w:val="false"/>
                <w:bCs w:val="false"/>
                <w:i w:val="false"/>
                <w:iCs w:val="false"/>
                <w:sz w:val="18"/>
                <w:szCs w:val="18"/>
              </w:rPr>
              <w:t xml:space="preserve">Defaults to the Police Report under pressure. Aware, but fragile.</w:t>
            </w:r>
          </w:p>
        </w:tc>
      </w:tr>
      <w:tr>
        <w:tc>
          <w:tcPr>
            <w:tcW w:type="dxa" w:w="1600"/>
            <w:tcBorders>
              <w:top w:val="single" w:color="C9C9C9" w:sz="1"/>
              <w:left w:val="single" w:color="C9C9C9" w:sz="1"/>
              <w:bottom w:val="single" w:color="C9C9C9" w:sz="1"/>
              <w:right w:val="single" w:color="C9C9C9" w:sz="1"/>
            </w:tcBorders>
            <w:shd w:fill="EDE6F2" w:val="clear"/>
            <w:tcMar>
              <w:top w:type="dxa" w:w="80"/>
              <w:left w:type="dxa" w:w="110"/>
              <w:bottom w:type="dxa" w:w="80"/>
              <w:right w:type="dxa" w:w="110"/>
            </w:tcMar>
          </w:tcPr>
          <w:p>
            <w:pPr>
              <w:spacing w:after="0" w:line="244"/>
              <w:jc w:val="center"/>
            </w:pPr>
            <w:r>
              <w:rPr>
                <w:b/>
                <w:bCs/>
                <w:i w:val="false"/>
                <w:iCs w:val="false"/>
                <w:sz w:val="18"/>
                <w:szCs w:val="18"/>
              </w:rPr>
              <w:t xml:space="preserve">32 to 41</w:t>
            </w:r>
          </w:p>
        </w:tc>
        <w:tc>
          <w:tcPr>
            <w:tcW w:type="dxa" w:w="2300"/>
            <w:tcBorders>
              <w:top w:val="single" w:color="C9C9C9" w:sz="1"/>
              <w:left w:val="single" w:color="C9C9C9" w:sz="1"/>
              <w:bottom w:val="single" w:color="C9C9C9" w:sz="1"/>
              <w:right w:val="single" w:color="C9C9C9" w:sz="1"/>
            </w:tcBorders>
            <w:shd w:fill="EDE6F2" w:val="clear"/>
            <w:tcMar>
              <w:top w:type="dxa" w:w="80"/>
              <w:left w:type="dxa" w:w="110"/>
              <w:bottom w:type="dxa" w:w="80"/>
              <w:right w:type="dxa" w:w="110"/>
            </w:tcMar>
          </w:tcPr>
          <w:p>
            <w:pPr>
              <w:spacing w:after="0" w:line="244"/>
              <w:jc w:val="left"/>
            </w:pPr>
            <w:r>
              <w:rPr>
                <w:b/>
                <w:bCs/>
                <w:i w:val="false"/>
                <w:iCs w:val="false"/>
                <w:sz w:val="18"/>
                <w:szCs w:val="18"/>
              </w:rPr>
              <w:t xml:space="preserve">Story Drift</w:t>
            </w:r>
          </w:p>
        </w:tc>
        <w:tc>
          <w:tcPr>
            <w:tcW w:type="dxa" w:w="5460"/>
            <w:tcBorders>
              <w:top w:val="single" w:color="C9C9C9" w:sz="1"/>
              <w:left w:val="single" w:color="C9C9C9" w:sz="1"/>
              <w:bottom w:val="single" w:color="C9C9C9" w:sz="1"/>
              <w:right w:val="single" w:color="C9C9C9" w:sz="1"/>
            </w:tcBorders>
            <w:tcMar>
              <w:top w:type="dxa" w:w="80"/>
              <w:left w:type="dxa" w:w="110"/>
              <w:bottom w:type="dxa" w:w="80"/>
              <w:right w:type="dxa" w:w="110"/>
            </w:tcMar>
          </w:tcPr>
          <w:p>
            <w:pPr>
              <w:spacing w:after="0" w:line="244"/>
              <w:jc w:val="left"/>
            </w:pPr>
            <w:r>
              <w:rPr>
                <w:b w:val="false"/>
                <w:bCs w:val="false"/>
                <w:i w:val="false"/>
                <w:iCs w:val="false"/>
                <w:sz w:val="18"/>
                <w:szCs w:val="18"/>
              </w:rPr>
              <w:t xml:space="preserve">Go-to stories that work, but no consistent spine.</w:t>
            </w:r>
          </w:p>
        </w:tc>
      </w:tr>
      <w:tr>
        <w:tc>
          <w:tcPr>
            <w:tcW w:type="dxa" w:w="1600"/>
            <w:tcBorders>
              <w:top w:val="single" w:color="C9C9C9" w:sz="1"/>
              <w:left w:val="single" w:color="C9C9C9" w:sz="1"/>
              <w:bottom w:val="single" w:color="C9C9C9" w:sz="1"/>
              <w:right w:val="single" w:color="C9C9C9" w:sz="1"/>
            </w:tcBorders>
            <w:shd w:fill="E2EAF0" w:val="clear"/>
            <w:tcMar>
              <w:top w:type="dxa" w:w="80"/>
              <w:left w:type="dxa" w:w="110"/>
              <w:bottom w:type="dxa" w:w="80"/>
              <w:right w:type="dxa" w:w="110"/>
            </w:tcMar>
          </w:tcPr>
          <w:p>
            <w:pPr>
              <w:spacing w:after="0" w:line="244"/>
              <w:jc w:val="center"/>
            </w:pPr>
            <w:r>
              <w:rPr>
                <w:b/>
                <w:bCs/>
                <w:i w:val="false"/>
                <w:iCs w:val="false"/>
                <w:sz w:val="18"/>
                <w:szCs w:val="18"/>
              </w:rPr>
              <w:t xml:space="preserve">42 to 51</w:t>
            </w:r>
          </w:p>
        </w:tc>
        <w:tc>
          <w:tcPr>
            <w:tcW w:type="dxa" w:w="2300"/>
            <w:tcBorders>
              <w:top w:val="single" w:color="C9C9C9" w:sz="1"/>
              <w:left w:val="single" w:color="C9C9C9" w:sz="1"/>
              <w:bottom w:val="single" w:color="C9C9C9" w:sz="1"/>
              <w:right w:val="single" w:color="C9C9C9" w:sz="1"/>
            </w:tcBorders>
            <w:shd w:fill="E2EAF0" w:val="clear"/>
            <w:tcMar>
              <w:top w:type="dxa" w:w="80"/>
              <w:left w:type="dxa" w:w="110"/>
              <w:bottom w:type="dxa" w:w="80"/>
              <w:right w:type="dxa" w:w="110"/>
            </w:tcMar>
          </w:tcPr>
          <w:p>
            <w:pPr>
              <w:spacing w:after="0" w:line="244"/>
              <w:jc w:val="left"/>
            </w:pPr>
            <w:r>
              <w:rPr>
                <w:b/>
                <w:bCs/>
                <w:i w:val="false"/>
                <w:iCs w:val="false"/>
                <w:sz w:val="18"/>
                <w:szCs w:val="18"/>
              </w:rPr>
              <w:t xml:space="preserve">Story Developing</w:t>
            </w:r>
          </w:p>
        </w:tc>
        <w:tc>
          <w:tcPr>
            <w:tcW w:type="dxa" w:w="5460"/>
            <w:tcBorders>
              <w:top w:val="single" w:color="C9C9C9" w:sz="1"/>
              <w:left w:val="single" w:color="C9C9C9" w:sz="1"/>
              <w:bottom w:val="single" w:color="C9C9C9" w:sz="1"/>
              <w:right w:val="single" w:color="C9C9C9" w:sz="1"/>
            </w:tcBorders>
            <w:tcMar>
              <w:top w:type="dxa" w:w="80"/>
              <w:left w:type="dxa" w:w="110"/>
              <w:bottom w:type="dxa" w:w="80"/>
              <w:right w:type="dxa" w:w="110"/>
            </w:tcMar>
          </w:tcPr>
          <w:p>
            <w:pPr>
              <w:spacing w:after="0" w:line="244"/>
              <w:jc w:val="left"/>
            </w:pPr>
            <w:r>
              <w:rPr>
                <w:b w:val="false"/>
                <w:bCs w:val="false"/>
                <w:i w:val="false"/>
                <w:iCs w:val="false"/>
                <w:sz w:val="18"/>
                <w:szCs w:val="18"/>
              </w:rPr>
              <w:t xml:space="preserve">Real strengths, ready to codify the full range and deploy it.</w:t>
            </w:r>
          </w:p>
        </w:tc>
      </w:tr>
      <w:tr>
        <w:tc>
          <w:tcPr>
            <w:tcW w:type="dxa" w:w="1600"/>
            <w:tcBorders>
              <w:top w:val="single" w:color="C9C9C9" w:sz="1"/>
              <w:left w:val="single" w:color="C9C9C9" w:sz="1"/>
              <w:bottom w:val="single" w:color="C9C9C9" w:sz="1"/>
              <w:right w:val="single" w:color="C9C9C9" w:sz="1"/>
            </w:tcBorders>
            <w:shd w:fill="DCE8DC" w:val="clear"/>
            <w:tcMar>
              <w:top w:type="dxa" w:w="80"/>
              <w:left w:type="dxa" w:w="110"/>
              <w:bottom w:type="dxa" w:w="80"/>
              <w:right w:type="dxa" w:w="110"/>
            </w:tcMar>
          </w:tcPr>
          <w:p>
            <w:pPr>
              <w:spacing w:after="0" w:line="244"/>
              <w:jc w:val="center"/>
            </w:pPr>
            <w:r>
              <w:rPr>
                <w:b/>
                <w:bCs/>
                <w:i w:val="false"/>
                <w:iCs w:val="false"/>
                <w:sz w:val="18"/>
                <w:szCs w:val="18"/>
              </w:rPr>
              <w:t xml:space="preserve">52 to 60</w:t>
            </w:r>
          </w:p>
        </w:tc>
        <w:tc>
          <w:tcPr>
            <w:tcW w:type="dxa" w:w="2300"/>
            <w:tcBorders>
              <w:top w:val="single" w:color="C9C9C9" w:sz="1"/>
              <w:left w:val="single" w:color="C9C9C9" w:sz="1"/>
              <w:bottom w:val="single" w:color="C9C9C9" w:sz="1"/>
              <w:right w:val="single" w:color="C9C9C9" w:sz="1"/>
            </w:tcBorders>
            <w:shd w:fill="DCE8DC" w:val="clear"/>
            <w:tcMar>
              <w:top w:type="dxa" w:w="80"/>
              <w:left w:type="dxa" w:w="110"/>
              <w:bottom w:type="dxa" w:w="80"/>
              <w:right w:type="dxa" w:w="110"/>
            </w:tcMar>
          </w:tcPr>
          <w:p>
            <w:pPr>
              <w:spacing w:after="0" w:line="244"/>
              <w:jc w:val="left"/>
            </w:pPr>
            <w:r>
              <w:rPr>
                <w:b/>
                <w:bCs/>
                <w:i w:val="false"/>
                <w:iCs w:val="false"/>
                <w:sz w:val="18"/>
                <w:szCs w:val="18"/>
              </w:rPr>
              <w:t xml:space="preserve">Story Aligned</w:t>
            </w:r>
          </w:p>
        </w:tc>
        <w:tc>
          <w:tcPr>
            <w:tcW w:type="dxa" w:w="5460"/>
            <w:tcBorders>
              <w:top w:val="single" w:color="C9C9C9" w:sz="1"/>
              <w:left w:val="single" w:color="C9C9C9" w:sz="1"/>
              <w:bottom w:val="single" w:color="C9C9C9" w:sz="1"/>
              <w:right w:val="single" w:color="C9C9C9" w:sz="1"/>
            </w:tcBorders>
            <w:tcMar>
              <w:top w:type="dxa" w:w="80"/>
              <w:left w:type="dxa" w:w="110"/>
              <w:bottom w:type="dxa" w:w="80"/>
              <w:right w:type="dxa" w:w="110"/>
            </w:tcMar>
          </w:tcPr>
          <w:p>
            <w:pPr>
              <w:spacing w:after="0" w:line="244"/>
              <w:jc w:val="left"/>
            </w:pPr>
            <w:r>
              <w:rPr>
                <w:b w:val="false"/>
                <w:bCs w:val="false"/>
                <w:i w:val="false"/>
                <w:iCs w:val="false"/>
                <w:sz w:val="18"/>
                <w:szCs w:val="18"/>
              </w:rPr>
              <w:t xml:space="preserve">Already using story as a leadership tool. The work is building it in others.</w:t>
            </w:r>
          </w:p>
        </w:tc>
      </w:tr>
    </w:tbl>
    <w:p>
      <w:pPr>
        <w:spacing w:after="60" w:line="276"/>
      </w:pPr>
      <w:r>
        <w:rPr>
          <w:b w:val="false"/>
          <w:bCs w:val="false"/>
          <w:i w:val="false"/>
          <w:iCs w:val="false"/>
          <w:sz w:val="22"/>
          <w:szCs w:val="22"/>
        </w:rPr>
        <w:t xml:space="preserve">Result flow: score, then zone, then a result page with the zone video and worksheet, then the Kit email sequence, then the anchor-plus-product call to action. The band writes the message. The qualifier sets the rung. The anchor flexes to fit the reader.</w:t>
      </w:r>
    </w:p>
    <w:p>
      <w:pPr>
        <w:pStyle w:val="Heading1"/>
        <w:pBdr>
          <w:bottom w:val="single" w:color="2E5A6B" w:sz="6" w:space="4"/>
        </w:pBdr>
        <w:spacing w:after="130" w:before="320"/>
      </w:pPr>
      <w:r>
        <w:rPr>
          <w:b/>
          <w:bCs/>
          <w:color w:val="1F2A37"/>
          <w:sz w:val="30"/>
          <w:szCs w:val="30"/>
        </w:rPr>
        <w:t xml:space="preserve">Section Six: Build Notes for Claude Code and Netlify</w:t>
      </w:r>
    </w:p>
    <w:p>
      <w:pPr>
        <w:pStyle w:val="ListParagraph"/>
        <w:numPr>
          <w:ilvl w:val="0"/>
          <w:numId w:val="2"/>
        </w:numPr>
        <w:spacing w:after="60" w:line="266"/>
      </w:pPr>
      <w:r>
        <w:rPr>
          <w:sz w:val="21"/>
          <w:szCs w:val="21"/>
        </w:rPr>
        <w:t xml:space="preserve">One embeddable component, shared across both sites, in the pattern of the CultureCon webinar flow, so a visitor gets the same instrument and result wherever they start.</w:t>
      </w:r>
    </w:p>
    <w:p>
      <w:pPr>
        <w:pStyle w:val="ListParagraph"/>
        <w:numPr>
          <w:ilvl w:val="0"/>
          <w:numId w:val="2"/>
        </w:numPr>
        <w:spacing w:after="60" w:line="266"/>
      </w:pPr>
      <w:r>
        <w:rPr>
          <w:sz w:val="21"/>
          <w:szCs w:val="21"/>
        </w:rPr>
        <w:t xml:space="preserve">Capture email, the one open question you read yourself, and a light qualifier (role or title, organization size, timeframe). Never a budget field.</w:t>
      </w:r>
    </w:p>
    <w:p>
      <w:pPr>
        <w:pStyle w:val="ListParagraph"/>
        <w:numPr>
          <w:ilvl w:val="0"/>
          <w:numId w:val="2"/>
        </w:numPr>
        <w:spacing w:after="60" w:line="266"/>
      </w:pPr>
      <w:r>
        <w:rPr>
          <w:sz w:val="21"/>
          <w:szCs w:val="21"/>
        </w:rPr>
        <w:t xml:space="preserve">Score by summing to a total, then threshold into one of the five tiers. Keep thresholds in a config file so you can tune them with real data without a rebuild.</w:t>
      </w:r>
    </w:p>
    <w:p>
      <w:pPr>
        <w:pStyle w:val="ListParagraph"/>
        <w:numPr>
          <w:ilvl w:val="0"/>
          <w:numId w:val="2"/>
        </w:numPr>
        <w:spacing w:after="60" w:line="266"/>
      </w:pPr>
      <w:r>
        <w:rPr>
          <w:sz w:val="21"/>
          <w:szCs w:val="21"/>
        </w:rPr>
        <w:t xml:space="preserve">Store three things separately: tier, objective, and inferred capacity. Tier and objective set the work; capacity sets the rung; keeping them apart is what lets the band stay independent of funds.</w:t>
      </w:r>
    </w:p>
    <w:p>
      <w:pPr>
        <w:pStyle w:val="ListParagraph"/>
        <w:numPr>
          <w:ilvl w:val="0"/>
          <w:numId w:val="2"/>
        </w:numPr>
        <w:spacing w:after="60" w:line="266"/>
      </w:pPr>
      <w:r>
        <w:rPr>
          <w:sz w:val="21"/>
          <w:szCs w:val="21"/>
        </w:rPr>
        <w:t xml:space="preserve">On result: route to the zone result page, apply Kit tags (one shared completed tag plus one zone tag), trigger the zone email sequence, and surface the anchor-plus-product offer.</w:t>
      </w:r>
    </w:p>
    <w:p>
      <w:pPr>
        <w:pStyle w:val="ListParagraph"/>
        <w:numPr>
          <w:ilvl w:val="0"/>
          <w:numId w:val="2"/>
        </w:numPr>
        <w:spacing w:after="60" w:line="266"/>
      </w:pPr>
      <w:r>
        <w:rPr>
          <w:sz w:val="21"/>
          <w:szCs w:val="21"/>
        </w:rPr>
        <w:t xml:space="preserve">The six teasers are lightweight versions of the same logic. Each ends with a link to its mapped instrument. Build the free Quick Leadership Assessment first; the rest reuse the pattern.</w:t>
      </w:r>
    </w:p>
    <w:p>
      <w:pPr>
        <w:pStyle w:val="Heading1"/>
        <w:pBdr>
          <w:bottom w:val="single" w:color="2E5A6B" w:sz="6" w:space="4"/>
        </w:pBdr>
        <w:spacing w:after="130" w:before="320"/>
      </w:pPr>
      <w:r>
        <w:rPr>
          <w:b/>
          <w:bCs/>
          <w:color w:val="1F2A37"/>
          <w:sz w:val="30"/>
          <w:szCs w:val="30"/>
        </w:rPr>
        <w:t xml:space="preserve">Section Seven: Confirmed, and the Few Still Open</w:t>
      </w:r>
    </w:p>
    <w:p>
      <w:pPr>
        <w:spacing w:after="60" w:line="268"/>
      </w:pPr>
      <w:r>
        <w:rPr>
          <w:b/>
          <w:bCs/>
          <w:color w:val="2F5D3A"/>
          <w:sz w:val="21"/>
          <w:szCs w:val="21"/>
        </w:rPr>
        <w:t xml:space="preserve">Confirmed and locked: </w:t>
      </w:r>
      <w:r>
        <w:rPr>
          <w:sz w:val="21"/>
          <w:szCs w:val="21"/>
        </w:rPr>
        <w:t xml:space="preserve">five zones canonical; the 60-point thresholds above; the anchor-plus-product pairing with a flexible anchor; Personal Narrative kept and Personal Life retired; band decoupled from funds; qualify by inference.</w:t>
      </w:r>
    </w:p>
    <w:p>
      <w:pPr>
        <w:spacing w:after="40" w:line="276"/>
      </w:pPr>
      <w:r>
        <w:rPr>
          <w:b w:val="false"/>
          <w:bCs w:val="false"/>
          <w:i w:val="false"/>
          <w:iCs w:val="false"/>
          <w:sz w:val="22"/>
          <w:szCs w:val="22"/>
        </w:rPr>
        <w:t xml:space="preserve">Still open, and small:</w:t>
      </w:r>
    </w:p>
    <w:p>
      <w:pPr>
        <w:pStyle w:val="ListParagraph"/>
        <w:numPr>
          <w:ilvl w:val="0"/>
          <w:numId w:val="3"/>
        </w:numPr>
        <w:spacing w:after="90" w:line="270"/>
      </w:pPr>
      <w:r>
        <w:rPr>
          <w:sz w:val="21"/>
          <w:szCs w:val="21"/>
        </w:rPr>
        <w:t xml:space="preserve">The condensed go-between book: its title and one-line positioning, so it can take its place on the anchor ladder.</w:t>
      </w:r>
    </w:p>
    <w:p>
      <w:pPr>
        <w:pStyle w:val="ListParagraph"/>
        <w:numPr>
          <w:ilvl w:val="0"/>
          <w:numId w:val="3"/>
        </w:numPr>
        <w:spacing w:after="90" w:line="270"/>
      </w:pPr>
      <w:r>
        <w:rPr>
          <w:sz w:val="21"/>
          <w:szCs w:val="21"/>
        </w:rPr>
        <w:t xml:space="preserve">Dedicated landing-page URLs per instrument, so each teaser wires to its own page instead of the shared drrodberger.com door.</w:t>
      </w:r>
    </w:p>
    <w:p>
      <w:pPr>
        <w:pStyle w:val="ListParagraph"/>
        <w:numPr>
          <w:ilvl w:val="0"/>
          <w:numId w:val="3"/>
        </w:numPr>
        <w:spacing w:after="90" w:line="270"/>
      </w:pPr>
      <w:r>
        <w:rPr>
          <w:sz w:val="21"/>
          <w:szCs w:val="21"/>
        </w:rPr>
        <w:t xml:space="preserve">Whether to relabel the teasers' three coarse bands to the five-zone language now, or leave them coarse and route by tier underneath.</w:t>
      </w:r>
    </w:p>
    <w:p>
      <w:pPr>
        <w:spacing w:after="100" w:before="220"/>
      </w:pPr>
      <w:r>
        <w:rPr>
          <w:b/>
          <w:bCs/>
          <w:color w:val="1F2A37"/>
          <w:sz w:val="23"/>
          <w:szCs w:val="23"/>
        </w:rPr>
        <w:t xml:space="preserve">One question before the build.</w:t>
      </w:r>
    </w:p>
    <w:p>
      <w:pPr>
        <w:spacing w:after="140" w:line="276"/>
      </w:pPr>
      <w:r>
        <w:rPr>
          <w:b w:val="false"/>
          <w:bCs w:val="false"/>
          <w:i w:val="false"/>
          <w:iCs w:val="false"/>
          <w:sz w:val="22"/>
          <w:szCs w:val="22"/>
        </w:rPr>
        <w:t xml:space="preserve">The teasers are the only thing most people will ever meet, because they live where the scrolling happens. If a stranger reads one teaser and nothing else, does it leave them with a result worth keeping and a single clear next step, or does it leave them admiring the question and forgetting the door?</w:t>
      </w:r>
    </w:p>
    <w:p>
      <w:pPr>
        <w:spacing w:before="240"/>
      </w:pPr>
      <w:r>
        <w:rPr>
          <w:i/>
          <w:iCs/>
          <w:color w:val="2E5A6B"/>
          <w:sz w:val="23"/>
          <w:szCs w:val="23"/>
        </w:rPr>
        <w:t xml:space="preserve">Yours in Narrative.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30" w:before="320"/>
      <w:outlineLvl w:val="0"/>
    </w:pPr>
    <w:rPr>
      <w:rFonts w:ascii="Arial" w:cs="Arial" w:eastAsia="Arial" w:hAnsi="Arial"/>
      <w:b/>
      <w:bCs/>
      <w:color w:val="1F2A37"/>
      <w:sz w:val="30"/>
      <w:szCs w:val="30"/>
    </w:rPr>
  </w:style>
  <w:style w:type="paragraph" w:styleId="Heading2">
    <w:name w:val="Heading 2"/>
    <w:basedOn w:val="Normal"/>
    <w:next w:val="Normal"/>
    <w:qFormat/>
    <w:pPr>
      <w:spacing w:after="80" w:before="220"/>
      <w:outlineLvl w:val="1"/>
    </w:pPr>
    <w:rPr>
      <w:rFonts w:ascii="Arial" w:cs="Arial" w:eastAsia="Arial" w:hAnsi="Arial"/>
      <w:b/>
      <w:bCs/>
      <w:color w:val="2E5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2026-05-30T01:09:20.726Z</dcterms:created>
  <dcterms:modified xsi:type="dcterms:W3CDTF">2026-05-30T01:09:20.738Z</dcterms:modified>
</cp:coreProperties>
</file>

<file path=docProps/custom.xml><?xml version="1.0" encoding="utf-8"?>
<Properties xmlns="http://schemas.openxmlformats.org/officeDocument/2006/custom-properties" xmlns:vt="http://schemas.openxmlformats.org/officeDocument/2006/docPropsVTypes"/>
</file>