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37"/>
          <w:sz w:val="48"/>
          <w:szCs w:val="48"/>
        </w:rPr>
        <w:t xml:space="preserve">THE NARRATIVE STACK</w:t>
      </w:r>
    </w:p>
    <w:p>
      <w:pPr>
        <w:spacing w:after="120"/>
      </w:pPr>
      <w:r>
        <w:rPr>
          <w:i/>
          <w:iCs/>
          <w:color w:val="2E5A6B"/>
          <w:sz w:val="26"/>
          <w:szCs w:val="26"/>
        </w:rPr>
        <w:t xml:space="preserve">From Quadrant to Offering  ·  V2, Rebuilt on the Mature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WHAT IT IS</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The standalone explainer of the Quadrant-by-Pillar matrix and how it becomes what Rod sells. Rebuilt on the CultureCon Trust(ed) Co-Author logic.</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PROJECT</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The Narrative Edge (book, Field Guide, assessments, GTM)</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WORKSTREAM</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Go-to-market architecture for drrodberger.com and narrativestack.ai</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FUNNEL TIER</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Reference / foundational explainer (not a market-facing asset)</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CONNECTS TO</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The Complete Offering Architecture V3; the Assessment Routing Spec V2; the Trust(ed) Co-Author work</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PORTABILITY</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Portable. Download from here, then upload into the target project. I cannot move files across projects.</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VERSION</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V2 (supersedes V1; rebuilt on the mature matrix: pillar order, Source-Examine-Author spine, flexible anchor, Trust(ed) Co-Author naming)</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0"/>
              <w:jc w:val="left"/>
            </w:pPr>
            <w:r>
              <w:rPr>
                <w:b/>
                <w:bCs/>
                <w:i w:val="false"/>
                <w:iCs w:val="false"/>
                <w:sz w:val="17"/>
                <w:szCs w:val="17"/>
              </w:rPr>
              <w:t xml:space="preserve">DATE</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0"/>
              <w:jc w:val="left"/>
            </w:pPr>
            <w:r>
              <w:rPr>
                <w:b w:val="false"/>
                <w:bCs w:val="false"/>
                <w:i w:val="false"/>
                <w:iCs w:val="false"/>
                <w:sz w:val="18"/>
                <w:szCs w:val="18"/>
              </w:rPr>
              <w:t xml:space="preserve">May 29, 2026</w:t>
            </w:r>
          </w:p>
        </w:tc>
      </w:tr>
    </w:tbl>
    <w:p>
      <w:pPr>
        <w:pBdr>
          <w:bottom w:val="single" w:color="1F2A37" w:sz="8" w:space="6"/>
        </w:pBdr>
        <w:spacing w:after="60" w:before="60"/>
      </w:pPr>
      <w:r>
        <w:rPr>
          <w:sz w:val="2"/>
          <w:szCs w:val="2"/>
        </w:rPr>
        <w:t xml:space="preserve"/>
      </w:r>
    </w:p>
    <w:p>
      <w:pPr>
        <w:spacing w:after="160" w:line="288"/>
      </w:pPr>
      <w:r>
        <w:rPr>
          <w:sz w:val="23"/>
          <w:szCs w:val="23"/>
        </w:rPr>
        <w:t xml:space="preserve">The first version of this document mapped the quadrants to the pillars before the thinking had fully matured. The CultureCon Trust(ed) Co-Author work changed that. It turned a loose idea into a grid with structure, and that grid now governs the work. This version is rebuilt on it.</w:t>
      </w:r>
    </w:p>
    <w:p>
      <w:pPr>
        <w:spacing w:after="160" w:line="288"/>
      </w:pPr>
      <w:r>
        <w:rPr>
          <w:sz w:val="23"/>
          <w:szCs w:val="23"/>
        </w:rPr>
        <w:t xml:space="preserve">The change is not cosmetic. A mature matrix is what lets you say, with a straight face, that the work has substance, that there is a method underneath the story, that a leader's result is not a vibe but a reading. It is the difference between a storyteller and what your client John Dewey calls you, a Storytelling Scientist. The grid is the science.</w:t>
      </w:r>
    </w:p>
    <w:p>
      <w:pPr>
        <w:spacing w:after="200" w:before="60"/>
      </w:pPr>
      <w:r>
        <w:rPr>
          <w:b/>
          <w:bCs/>
          <w:color w:val="2E5A6B"/>
          <w:sz w:val="23"/>
          <w:szCs w:val="23"/>
        </w:rPr>
        <w:t xml:space="preserve">Four Quadrants. Four pillars. Sixteen intersections. One mature instrument.</w:t>
      </w:r>
    </w:p>
    <w:p>
      <w:pPr>
        <w:pStyle w:val="Heading1"/>
        <w:pBdr>
          <w:bottom w:val="single" w:color="2E5A6B" w:sz="6" w:space="4"/>
        </w:pBdr>
        <w:spacing w:after="120" w:before="300"/>
      </w:pPr>
      <w:r>
        <w:rPr>
          <w:b/>
          <w:bCs/>
          <w:color w:val="1F2A37"/>
          <w:sz w:val="30"/>
          <w:szCs w:val="30"/>
        </w:rPr>
        <w:t xml:space="preserve">The Mature Matrix</w:t>
      </w:r>
    </w:p>
    <w:p>
      <w:pPr>
        <w:pStyle w:val="Heading2"/>
        <w:spacing w:after="90" w:before="220"/>
      </w:pPr>
      <w:r>
        <w:rPr>
          <w:b/>
          <w:bCs/>
          <w:color w:val="2E5A6B"/>
          <w:sz w:val="25"/>
          <w:szCs w:val="25"/>
        </w:rPr>
        <w:t xml:space="preserve">The Four Quadrants</w:t>
      </w:r>
    </w:p>
    <w:p>
      <w:pPr>
        <w:spacing w:after="80" w:line="276"/>
      </w:pPr>
      <w:r>
        <w:rPr>
          <w:b w:val="false"/>
          <w:bCs w:val="false"/>
          <w:i w:val="false"/>
          <w:iCs w:val="false"/>
          <w:sz w:val="22"/>
          <w:szCs w:val="22"/>
        </w:rPr>
        <w:t xml:space="preserve">The four rooms of a life. Every pillar operates across all four, which is what makes them the connective tissue of the whole Stack.</w:t>
      </w:r>
    </w:p>
    <w:p>
      <w:pPr>
        <w:pStyle w:val="ListParagraph"/>
        <w:numPr>
          <w:ilvl w:val="0"/>
          <w:numId w:val="2"/>
        </w:numPr>
        <w:spacing w:after="70" w:line="268"/>
      </w:pPr>
      <w:r>
        <w:rPr>
          <w:b/>
          <w:bCs/>
          <w:sz w:val="22"/>
          <w:szCs w:val="22"/>
        </w:rPr>
        <w:t xml:space="preserve">Professional: </w:t>
      </w:r>
      <w:r>
        <w:rPr>
          <w:sz w:val="22"/>
          <w:szCs w:val="22"/>
        </w:rPr>
        <w:t xml:space="preserve">career, advancement, skill. Where most leaders are most fluent.</w:t>
      </w:r>
    </w:p>
    <w:p>
      <w:pPr>
        <w:pStyle w:val="ListParagraph"/>
        <w:numPr>
          <w:ilvl w:val="0"/>
          <w:numId w:val="2"/>
        </w:numPr>
        <w:spacing w:after="70" w:line="268"/>
      </w:pPr>
      <w:r>
        <w:rPr>
          <w:b/>
          <w:bCs/>
          <w:sz w:val="22"/>
          <w:szCs w:val="22"/>
        </w:rPr>
        <w:t xml:space="preserve">Personal: </w:t>
      </w:r>
      <w:r>
        <w:rPr>
          <w:sz w:val="22"/>
          <w:szCs w:val="22"/>
        </w:rPr>
        <w:t xml:space="preserve">inner life, relationships, identity. The chapter the team rarely sees.</w:t>
      </w:r>
    </w:p>
    <w:p>
      <w:pPr>
        <w:pStyle w:val="ListParagraph"/>
        <w:numPr>
          <w:ilvl w:val="0"/>
          <w:numId w:val="2"/>
        </w:numPr>
        <w:spacing w:after="70" w:line="268"/>
      </w:pPr>
      <w:r>
        <w:rPr>
          <w:b/>
          <w:bCs/>
          <w:sz w:val="22"/>
          <w:szCs w:val="22"/>
        </w:rPr>
        <w:t xml:space="preserve">Passions: </w:t>
      </w:r>
      <w:r>
        <w:rPr>
          <w:sz w:val="22"/>
          <w:szCs w:val="22"/>
        </w:rPr>
        <w:t xml:space="preserve">what lights you up, what you would do for free. The quadrant most leaders have starved without naming it.</w:t>
      </w:r>
    </w:p>
    <w:p>
      <w:pPr>
        <w:pStyle w:val="ListParagraph"/>
        <w:numPr>
          <w:ilvl w:val="0"/>
          <w:numId w:val="2"/>
        </w:numPr>
        <w:spacing w:after="70" w:line="268"/>
      </w:pPr>
      <w:r>
        <w:rPr>
          <w:b/>
          <w:bCs/>
          <w:sz w:val="22"/>
          <w:szCs w:val="22"/>
        </w:rPr>
        <w:t xml:space="preserve">Pursuits: </w:t>
      </w:r>
      <w:r>
        <w:rPr>
          <w:sz w:val="22"/>
          <w:szCs w:val="22"/>
        </w:rPr>
        <w:t xml:space="preserve">what you are chasing, building, becoming. The roadmap.</w:t>
      </w:r>
    </w:p>
    <w:p>
      <w:pPr>
        <w:pStyle w:val="Heading2"/>
        <w:spacing w:after="90" w:before="220"/>
      </w:pPr>
      <w:r>
        <w:rPr>
          <w:b/>
          <w:bCs/>
          <w:color w:val="2E5A6B"/>
          <w:sz w:val="25"/>
          <w:szCs w:val="25"/>
        </w:rPr>
        <w:t xml:space="preserve">The Four Pillars</w:t>
      </w:r>
    </w:p>
    <w:p>
      <w:pPr>
        <w:spacing w:after="80" w:line="276"/>
      </w:pPr>
      <w:r>
        <w:rPr>
          <w:b w:val="false"/>
          <w:bCs w:val="false"/>
          <w:i w:val="false"/>
          <w:iCs w:val="false"/>
          <w:sz w:val="22"/>
          <w:szCs w:val="22"/>
        </w:rPr>
        <w:t xml:space="preserve">The four tests a story has to pass, in the order the Trust(ed) work settled.</w:t>
      </w:r>
    </w:p>
    <w:p>
      <w:pPr>
        <w:pStyle w:val="ListParagraph"/>
        <w:numPr>
          <w:ilvl w:val="0"/>
          <w:numId w:val="2"/>
        </w:numPr>
        <w:spacing w:after="70" w:line="268"/>
      </w:pPr>
      <w:r>
        <w:rPr>
          <w:b/>
          <w:bCs/>
          <w:sz w:val="22"/>
          <w:szCs w:val="22"/>
        </w:rPr>
        <w:t xml:space="preserve">Coherence: </w:t>
      </w:r>
      <w:r>
        <w:rPr>
          <w:sz w:val="22"/>
          <w:szCs w:val="22"/>
        </w:rPr>
        <w:t xml:space="preserve">does one story hold across the rooms, or are there several?</w:t>
      </w:r>
    </w:p>
    <w:p>
      <w:pPr>
        <w:pStyle w:val="ListParagraph"/>
        <w:numPr>
          <w:ilvl w:val="0"/>
          <w:numId w:val="2"/>
        </w:numPr>
        <w:spacing w:after="70" w:line="268"/>
      </w:pPr>
      <w:r>
        <w:rPr>
          <w:b/>
          <w:bCs/>
          <w:sz w:val="22"/>
          <w:szCs w:val="22"/>
        </w:rPr>
        <w:t xml:space="preserve">Conviction: </w:t>
      </w:r>
      <w:r>
        <w:rPr>
          <w:sz w:val="22"/>
          <w:szCs w:val="22"/>
        </w:rPr>
        <w:t xml:space="preserve">does the leader still believe the story they carry, or was it assigned?</w:t>
      </w:r>
    </w:p>
    <w:p>
      <w:pPr>
        <w:pStyle w:val="ListParagraph"/>
        <w:numPr>
          <w:ilvl w:val="0"/>
          <w:numId w:val="2"/>
        </w:numPr>
        <w:spacing w:after="70" w:line="268"/>
      </w:pPr>
      <w:r>
        <w:rPr>
          <w:b/>
          <w:bCs/>
          <w:sz w:val="22"/>
          <w:szCs w:val="22"/>
        </w:rPr>
        <w:t xml:space="preserve">Resonance: </w:t>
      </w:r>
      <w:r>
        <w:rPr>
          <w:sz w:val="22"/>
          <w:szCs w:val="22"/>
        </w:rPr>
        <w:t xml:space="preserve">does the story reach people, or merely inform them?</w:t>
      </w:r>
    </w:p>
    <w:p>
      <w:pPr>
        <w:pStyle w:val="ListParagraph"/>
        <w:numPr>
          <w:ilvl w:val="0"/>
          <w:numId w:val="2"/>
        </w:numPr>
        <w:spacing w:after="70" w:line="268"/>
      </w:pPr>
      <w:r>
        <w:rPr>
          <w:b/>
          <w:bCs/>
          <w:sz w:val="22"/>
          <w:szCs w:val="22"/>
        </w:rPr>
        <w:t xml:space="preserve">Legibility: </w:t>
      </w:r>
      <w:r>
        <w:rPr>
          <w:sz w:val="22"/>
          <w:szCs w:val="22"/>
        </w:rPr>
        <w:t xml:space="preserve">can the outside world read the story when it matters most?</w:t>
      </w:r>
    </w:p>
    <w:p>
      <w:pPr>
        <w:pStyle w:val="Heading2"/>
        <w:spacing w:after="90" w:before="220"/>
      </w:pPr>
      <w:r>
        <w:rPr>
          <w:b/>
          <w:bCs/>
          <w:color w:val="2E5A6B"/>
          <w:sz w:val="25"/>
          <w:szCs w:val="25"/>
        </w:rPr>
        <w:t xml:space="preserve">The Grid</w:t>
      </w:r>
    </w:p>
    <w:p>
      <w:pPr>
        <w:spacing w:after="90" w:line="276"/>
      </w:pPr>
      <w:r>
        <w:rPr>
          <w:b w:val="false"/>
          <w:bCs w:val="false"/>
          <w:i w:val="false"/>
          <w:iCs w:val="false"/>
          <w:sz w:val="22"/>
          <w:szCs w:val="22"/>
        </w:rPr>
        <w:t xml:space="preserve">Sixteen intersections, all of them diagnosable. Five carry the signature Knockout questions: one per quadrant on its signature pillar, plus a through-line. The shaded cells are the signature pairings.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75"/>
        <w:gridCol w:w="1875"/>
        <w:gridCol w:w="1875"/>
        <w:gridCol w:w="1875"/>
      </w:tblGrid>
      <w:tr>
        <w:trPr>
          <w:tblHeader/>
        </w:trPr>
        <w:tc>
          <w:tcPr>
            <w:tcW w:type="dxa" w:w="186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0"/>
              <w:jc w:val="center"/>
            </w:pPr>
            <w:r>
              <w:rPr>
                <w:b/>
                <w:bCs/>
                <w:i w:val="false"/>
                <w:iCs w:val="false"/>
                <w:color w:val="1F2A37"/>
                <w:sz w:val="17"/>
                <w:szCs w:val="17"/>
              </w:rPr>
              <w:t xml:space="preserve">QUADRANT × PILLAR</w:t>
            </w:r>
          </w:p>
        </w:tc>
        <w:tc>
          <w:tcPr>
            <w:tcW w:type="dxa" w:w="1875"/>
            <w:tcBorders>
              <w:top w:val="single" w:color="C9C9C9" w:sz="1"/>
              <w:left w:val="single" w:color="C9C9C9" w:sz="1"/>
              <w:bottom w:val="single" w:color="C9C9C9" w:sz="1"/>
              <w:right w:val="single" w:color="C9C9C9" w:sz="1"/>
            </w:tcBorders>
            <w:shd w:fill="DDEAD6" w:val="clear"/>
            <w:tcMar>
              <w:top w:type="dxa" w:w="80"/>
              <w:left w:type="dxa" w:w="110"/>
              <w:bottom w:type="dxa" w:w="80"/>
              <w:right w:type="dxa" w:w="110"/>
            </w:tcMar>
          </w:tcPr>
          <w:p>
            <w:pPr>
              <w:spacing w:after="0" w:line="240"/>
              <w:jc w:val="center"/>
            </w:pPr>
            <w:r>
              <w:rPr>
                <w:b/>
                <w:bCs/>
                <w:i w:val="false"/>
                <w:iCs w:val="false"/>
                <w:color w:val="1F2A37"/>
                <w:sz w:val="17"/>
                <w:szCs w:val="17"/>
              </w:rPr>
              <w:t xml:space="preserve">COHERENCE</w:t>
            </w:r>
          </w:p>
        </w:tc>
        <w:tc>
          <w:tcPr>
            <w:tcW w:type="dxa" w:w="1875"/>
            <w:tcBorders>
              <w:top w:val="single" w:color="C9C9C9" w:sz="1"/>
              <w:left w:val="single" w:color="C9C9C9" w:sz="1"/>
              <w:bottom w:val="single" w:color="C9C9C9" w:sz="1"/>
              <w:right w:val="single" w:color="C9C9C9" w:sz="1"/>
            </w:tcBorders>
            <w:shd w:fill="F4E4E4" w:val="clear"/>
            <w:tcMar>
              <w:top w:type="dxa" w:w="80"/>
              <w:left w:type="dxa" w:w="110"/>
              <w:bottom w:type="dxa" w:w="80"/>
              <w:right w:type="dxa" w:w="110"/>
            </w:tcMar>
          </w:tcPr>
          <w:p>
            <w:pPr>
              <w:spacing w:after="0" w:line="240"/>
              <w:jc w:val="center"/>
            </w:pPr>
            <w:r>
              <w:rPr>
                <w:b/>
                <w:bCs/>
                <w:i w:val="false"/>
                <w:iCs w:val="false"/>
                <w:color w:val="1F2A37"/>
                <w:sz w:val="17"/>
                <w:szCs w:val="17"/>
              </w:rPr>
              <w:t xml:space="preserve">CONVICTION</w:t>
            </w:r>
          </w:p>
        </w:tc>
        <w:tc>
          <w:tcPr>
            <w:tcW w:type="dxa" w:w="1875"/>
            <w:tcBorders>
              <w:top w:val="single" w:color="C9C9C9" w:sz="1"/>
              <w:left w:val="single" w:color="C9C9C9" w:sz="1"/>
              <w:bottom w:val="single" w:color="C9C9C9" w:sz="1"/>
              <w:right w:val="single" w:color="C9C9C9" w:sz="1"/>
            </w:tcBorders>
            <w:shd w:fill="FAF1D6" w:val="clear"/>
            <w:tcMar>
              <w:top w:type="dxa" w:w="80"/>
              <w:left w:type="dxa" w:w="110"/>
              <w:bottom w:type="dxa" w:w="80"/>
              <w:right w:type="dxa" w:w="110"/>
            </w:tcMar>
          </w:tcPr>
          <w:p>
            <w:pPr>
              <w:spacing w:after="0" w:line="240"/>
              <w:jc w:val="center"/>
            </w:pPr>
            <w:r>
              <w:rPr>
                <w:b/>
                <w:bCs/>
                <w:i w:val="false"/>
                <w:iCs w:val="false"/>
                <w:color w:val="1F2A37"/>
                <w:sz w:val="17"/>
                <w:szCs w:val="17"/>
              </w:rPr>
              <w:t xml:space="preserve">RESONANCE</w:t>
            </w:r>
          </w:p>
        </w:tc>
        <w:tc>
          <w:tcPr>
            <w:tcW w:type="dxa" w:w="1875"/>
            <w:tcBorders>
              <w:top w:val="single" w:color="C9C9C9" w:sz="1"/>
              <w:left w:val="single" w:color="C9C9C9" w:sz="1"/>
              <w:bottom w:val="single" w:color="C9C9C9" w:sz="1"/>
              <w:right w:val="single" w:color="C9C9C9" w:sz="1"/>
            </w:tcBorders>
            <w:shd w:fill="DCE6F2" w:val="clear"/>
            <w:tcMar>
              <w:top w:type="dxa" w:w="80"/>
              <w:left w:type="dxa" w:w="110"/>
              <w:bottom w:type="dxa" w:w="80"/>
              <w:right w:type="dxa" w:w="110"/>
            </w:tcMar>
          </w:tcPr>
          <w:p>
            <w:pPr>
              <w:spacing w:after="0" w:line="240"/>
              <w:jc w:val="center"/>
            </w:pPr>
            <w:r>
              <w:rPr>
                <w:b/>
                <w:bCs/>
                <w:i w:val="false"/>
                <w:iCs w:val="false"/>
                <w:color w:val="1F2A37"/>
                <w:sz w:val="17"/>
                <w:szCs w:val="17"/>
              </w:rPr>
              <w:t xml:space="preserve">LEGIBILITY</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10"/>
              <w:bottom w:type="dxa" w:w="80"/>
              <w:right w:type="dxa" w:w="110"/>
            </w:tcMar>
          </w:tcPr>
          <w:p>
            <w:pPr>
              <w:spacing w:after="0" w:line="240"/>
              <w:jc w:val="left"/>
            </w:pPr>
            <w:r>
              <w:rPr>
                <w:b/>
                <w:bCs/>
                <w:i w:val="false"/>
                <w:iCs w:val="false"/>
                <w:sz w:val="18"/>
                <w:szCs w:val="18"/>
              </w:rPr>
              <w:t xml:space="preserve">Professional</w:t>
            </w:r>
          </w:p>
        </w:tc>
        <w:tc>
          <w:tcPr>
            <w:tcW w:type="dxa" w:w="1875"/>
            <w:tcBorders>
              <w:top w:val="single" w:color="C9C9C9" w:sz="1"/>
              <w:left w:val="single" w:color="C9C9C9" w:sz="1"/>
              <w:bottom w:val="single" w:color="C9C9C9" w:sz="1"/>
              <w:right w:val="single" w:color="C9C9C9" w:sz="1"/>
            </w:tcBorders>
            <w:shd w:fill="DDEAD6" w:val="clear"/>
            <w:tcMar>
              <w:top w:type="dxa" w:w="80"/>
              <w:left w:type="dxa" w:w="110"/>
              <w:bottom w:type="dxa" w:w="80"/>
              <w:right w:type="dxa" w:w="110"/>
            </w:tcMar>
          </w:tcPr>
          <w:p>
            <w:pPr>
              <w:spacing w:after="0" w:line="240"/>
              <w:jc w:val="center"/>
            </w:pPr>
            <w:r>
              <w:rPr>
                <w:b/>
                <w:bCs/>
                <w:i w:val="false"/>
                <w:iCs w:val="false"/>
                <w:sz w:val="16"/>
                <w:szCs w:val="16"/>
              </w:rPr>
              <w:t xml:space="preserve">Three versions of why?</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10"/>
              <w:bottom w:type="dxa" w:w="80"/>
              <w:right w:type="dxa" w:w="110"/>
            </w:tcMar>
          </w:tcPr>
          <w:p>
            <w:pPr>
              <w:spacing w:after="0" w:line="240"/>
              <w:jc w:val="left"/>
            </w:pPr>
            <w:r>
              <w:rPr>
                <w:b/>
                <w:bCs/>
                <w:i w:val="false"/>
                <w:iCs w:val="false"/>
                <w:sz w:val="18"/>
                <w:szCs w:val="18"/>
              </w:rPr>
              <w:t xml:space="preserve">Personal</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4E4E4" w:val="clear"/>
            <w:tcMar>
              <w:top w:type="dxa" w:w="80"/>
              <w:left w:type="dxa" w:w="110"/>
              <w:bottom w:type="dxa" w:w="80"/>
              <w:right w:type="dxa" w:w="110"/>
            </w:tcMar>
          </w:tcPr>
          <w:p>
            <w:pPr>
              <w:spacing w:after="0" w:line="240"/>
              <w:jc w:val="center"/>
            </w:pPr>
            <w:r>
              <w:rPr>
                <w:b/>
                <w:bCs/>
                <w:i w:val="false"/>
                <w:iCs w:val="false"/>
                <w:sz w:val="16"/>
                <w:szCs w:val="16"/>
              </w:rPr>
              <w:t xml:space="preserve">The chapter you stopped telling</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10"/>
              <w:bottom w:type="dxa" w:w="80"/>
              <w:right w:type="dxa" w:w="110"/>
            </w:tcMar>
          </w:tcPr>
          <w:p>
            <w:pPr>
              <w:spacing w:after="0" w:line="240"/>
              <w:jc w:val="left"/>
            </w:pPr>
            <w:r>
              <w:rPr>
                <w:b/>
                <w:bCs/>
                <w:i w:val="false"/>
                <w:iCs w:val="false"/>
                <w:sz w:val="18"/>
                <w:szCs w:val="18"/>
              </w:rPr>
              <w:t xml:space="preserve">Passions</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AF1D6" w:val="clear"/>
            <w:tcMar>
              <w:top w:type="dxa" w:w="80"/>
              <w:left w:type="dxa" w:w="110"/>
              <w:bottom w:type="dxa" w:w="80"/>
              <w:right w:type="dxa" w:w="110"/>
            </w:tcMar>
          </w:tcPr>
          <w:p>
            <w:pPr>
              <w:spacing w:after="0" w:line="240"/>
              <w:jc w:val="center"/>
            </w:pPr>
            <w:r>
              <w:rPr>
                <w:b/>
                <w:bCs/>
                <w:i w:val="false"/>
                <w:iCs w:val="false"/>
                <w:sz w:val="16"/>
                <w:szCs w:val="16"/>
              </w:rPr>
              <w:t xml:space="preserve">Let the room see you care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10"/>
              <w:bottom w:type="dxa" w:w="80"/>
              <w:right w:type="dxa" w:w="110"/>
            </w:tcMar>
          </w:tcPr>
          <w:p>
            <w:pPr>
              <w:spacing w:after="0" w:line="240"/>
              <w:jc w:val="left"/>
            </w:pPr>
            <w:r>
              <w:rPr>
                <w:b/>
                <w:bCs/>
                <w:i w:val="false"/>
                <w:iCs w:val="false"/>
                <w:sz w:val="18"/>
                <w:szCs w:val="18"/>
              </w:rPr>
              <w:t xml:space="preserve">Pursuits</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F7F7F5" w:val="clear"/>
            <w:tcMar>
              <w:top w:type="dxa" w:w="80"/>
              <w:left w:type="dxa" w:w="110"/>
              <w:bottom w:type="dxa" w:w="80"/>
              <w:right w:type="dxa" w:w="110"/>
            </w:tcMar>
          </w:tcPr>
          <w:p>
            <w:pPr>
              <w:spacing w:after="0" w:line="240"/>
              <w:jc w:val="center"/>
            </w:pPr>
            <w:r>
              <w:rPr>
                <w:b w:val="false"/>
                <w:bCs w:val="false"/>
                <w:i w:val="false"/>
                <w:iCs w:val="false"/>
                <w:color w:val="AAAAAA"/>
                <w:sz w:val="18"/>
                <w:szCs w:val="18"/>
              </w:rPr>
              <w:t xml:space="preserve">·</w:t>
            </w:r>
          </w:p>
        </w:tc>
        <w:tc>
          <w:tcPr>
            <w:tcW w:type="dxa" w:w="1875"/>
            <w:tcBorders>
              <w:top w:val="single" w:color="C9C9C9" w:sz="1"/>
              <w:left w:val="single" w:color="C9C9C9" w:sz="1"/>
              <w:bottom w:val="single" w:color="C9C9C9" w:sz="1"/>
              <w:right w:val="single" w:color="C9C9C9" w:sz="1"/>
            </w:tcBorders>
            <w:shd w:fill="DCE6F2" w:val="clear"/>
            <w:tcMar>
              <w:top w:type="dxa" w:w="80"/>
              <w:left w:type="dxa" w:w="110"/>
              <w:bottom w:type="dxa" w:w="80"/>
              <w:right w:type="dxa" w:w="110"/>
            </w:tcMar>
          </w:tcPr>
          <w:p>
            <w:pPr>
              <w:spacing w:after="0" w:line="240"/>
              <w:jc w:val="center"/>
            </w:pPr>
            <w:r>
              <w:rPr>
                <w:b/>
                <w:bCs/>
                <w:i w:val="false"/>
                <w:iCs w:val="false"/>
                <w:sz w:val="16"/>
                <w:szCs w:val="16"/>
              </w:rPr>
              <w:t xml:space="preserve">Would their words match yours?</w:t>
            </w:r>
          </w:p>
        </w:tc>
      </w:tr>
    </w:tbl>
    <w:p>
      <w:pPr>
        <w:spacing w:after="140" w:line="276"/>
      </w:pPr>
      <w:r>
        <w:rPr>
          <w:b w:val="false"/>
          <w:bCs w:val="false"/>
          <w:i/>
          <w:iCs/>
          <w:sz w:val="21"/>
          <w:szCs w:val="21"/>
        </w:rPr>
        <w:t xml:space="preserve">The fifth question is the Through-Line, and it sits above the grid rather than in a single cell: are you the author of your story, or a character in someone else's, and which of the four quadrants will tell you the truth first if you ask it?</w:t>
      </w:r>
    </w:p>
    <w:p>
      <w:r>
        <w:br w:type="page"/>
      </w:r>
    </w:p>
    <w:p>
      <w:pPr>
        <w:pStyle w:val="Heading1"/>
        <w:pBdr>
          <w:bottom w:val="single" w:color="2E5A6B" w:sz="6" w:space="4"/>
        </w:pBdr>
        <w:spacing w:after="120" w:before="300"/>
      </w:pPr>
      <w:r>
        <w:rPr>
          <w:b/>
          <w:bCs/>
          <w:color w:val="1F2A37"/>
          <w:sz w:val="30"/>
          <w:szCs w:val="30"/>
        </w:rPr>
        <w:t xml:space="preserve">The Five Knockout Questions</w:t>
      </w:r>
    </w:p>
    <w:p>
      <w:pPr>
        <w:spacing w:after="140" w:line="276"/>
      </w:pPr>
      <w:r>
        <w:rPr>
          <w:b w:val="false"/>
          <w:bCs w:val="false"/>
          <w:i w:val="false"/>
          <w:iCs w:val="false"/>
          <w:sz w:val="22"/>
          <w:szCs w:val="22"/>
        </w:rPr>
        <w:t xml:space="preserve">Each rides one cell of the grid. They are designed to be carried home, not answered in a chat. The questions are yours. The stories are already inside the leader.</w:t>
      </w:r>
    </w:p>
    <w:p>
      <w:pPr>
        <w:pStyle w:val="ListParagraph"/>
        <w:numPr>
          <w:ilvl w:val="0"/>
          <w:numId w:val="2"/>
        </w:numPr>
        <w:spacing w:after="70" w:line="268"/>
      </w:pPr>
      <w:r>
        <w:rPr>
          <w:b/>
          <w:bCs/>
          <w:sz w:val="22"/>
          <w:szCs w:val="22"/>
        </w:rPr>
        <w:t xml:space="preserve">Professional × Coherence: </w:t>
      </w:r>
      <w:r>
        <w:rPr>
          <w:sz w:val="22"/>
          <w:szCs w:val="22"/>
        </w:rPr>
        <w:t xml:space="preserve">if I sat down separately with your board chair, your head of HR, and the person who has worked for you longest, and asked each why your organization exists, would I hear three versions of one story, or three different stories?</w:t>
      </w:r>
    </w:p>
    <w:p>
      <w:pPr>
        <w:pStyle w:val="ListParagraph"/>
        <w:numPr>
          <w:ilvl w:val="0"/>
          <w:numId w:val="2"/>
        </w:numPr>
        <w:spacing w:after="70" w:line="268"/>
      </w:pPr>
      <w:r>
        <w:rPr>
          <w:b/>
          <w:bCs/>
          <w:sz w:val="22"/>
          <w:szCs w:val="22"/>
        </w:rPr>
        <w:t xml:space="preserve">Personal × Conviction: </w:t>
      </w:r>
      <w:r>
        <w:rPr>
          <w:sz w:val="22"/>
          <w:szCs w:val="22"/>
        </w:rPr>
        <w:t xml:space="preserve">what is the chapter of your life you have stopped telling at work, and what would it cost you to put one sentence of it back on the table?</w:t>
      </w:r>
    </w:p>
    <w:p>
      <w:pPr>
        <w:pStyle w:val="ListParagraph"/>
        <w:numPr>
          <w:ilvl w:val="0"/>
          <w:numId w:val="2"/>
        </w:numPr>
        <w:spacing w:after="70" w:line="268"/>
      </w:pPr>
      <w:r>
        <w:rPr>
          <w:b/>
          <w:bCs/>
          <w:sz w:val="22"/>
          <w:szCs w:val="22"/>
        </w:rPr>
        <w:t xml:space="preserve">Passions × Resonance: </w:t>
      </w:r>
      <w:r>
        <w:rPr>
          <w:sz w:val="22"/>
          <w:szCs w:val="22"/>
        </w:rPr>
        <w:t xml:space="preserve">when did you last let a room see you care about something that was not on your scorecard, and what happened to the temperature of that room when you did?</w:t>
      </w:r>
    </w:p>
    <w:p>
      <w:pPr>
        <w:pStyle w:val="ListParagraph"/>
        <w:numPr>
          <w:ilvl w:val="0"/>
          <w:numId w:val="2"/>
        </w:numPr>
        <w:spacing w:after="70" w:line="268"/>
      </w:pPr>
      <w:r>
        <w:rPr>
          <w:b/>
          <w:bCs/>
          <w:sz w:val="22"/>
          <w:szCs w:val="22"/>
        </w:rPr>
        <w:t xml:space="preserve">Pursuits × Legibility: </w:t>
      </w:r>
      <w:r>
        <w:rPr>
          <w:sz w:val="22"/>
          <w:szCs w:val="22"/>
        </w:rPr>
        <w:t xml:space="preserve">if your most important external audience for the next twelve months described your organization in their own words tomorrow, would it match the one you have been telling yourself?</w:t>
      </w:r>
    </w:p>
    <w:p>
      <w:pPr>
        <w:pStyle w:val="ListParagraph"/>
        <w:numPr>
          <w:ilvl w:val="0"/>
          <w:numId w:val="2"/>
        </w:numPr>
        <w:spacing w:after="70" w:line="268"/>
      </w:pPr>
      <w:r>
        <w:rPr>
          <w:b/>
          <w:bCs/>
          <w:sz w:val="22"/>
          <w:szCs w:val="22"/>
        </w:rPr>
        <w:t xml:space="preserve">The Through-Line: </w:t>
      </w:r>
      <w:r>
        <w:rPr>
          <w:sz w:val="22"/>
          <w:szCs w:val="22"/>
        </w:rPr>
        <w:t xml:space="preserve">are you the author of your story, or a character in someone else's, and which quadrant will tell you the truth first?</w:t>
      </w:r>
    </w:p>
    <w:p>
      <w:pPr>
        <w:pStyle w:val="Heading1"/>
        <w:pBdr>
          <w:bottom w:val="single" w:color="2E5A6B" w:sz="6" w:space="4"/>
        </w:pBdr>
        <w:spacing w:after="120" w:before="300"/>
      </w:pPr>
      <w:r>
        <w:rPr>
          <w:b/>
          <w:bCs/>
          <w:color w:val="1F2A37"/>
          <w:sz w:val="30"/>
          <w:szCs w:val="30"/>
        </w:rPr>
        <w:t xml:space="preserve">The Spine: Source, Examine, Author</w:t>
      </w:r>
    </w:p>
    <w:p>
      <w:pPr>
        <w:spacing w:after="140" w:line="276"/>
      </w:pPr>
      <w:r>
        <w:rPr>
          <w:b w:val="false"/>
          <w:bCs w:val="false"/>
          <w:i w:val="false"/>
          <w:iCs w:val="false"/>
          <w:sz w:val="22"/>
          <w:szCs w:val="22"/>
        </w:rPr>
        <w:t xml:space="preserve">The matrix is what the work reads. The rhythm of the work is Source, Examine, Author.</w:t>
      </w:r>
    </w:p>
    <w:p>
      <w:pPr>
        <w:pStyle w:val="ListParagraph"/>
        <w:numPr>
          <w:ilvl w:val="0"/>
          <w:numId w:val="2"/>
        </w:numPr>
        <w:spacing w:after="70" w:line="268"/>
      </w:pPr>
      <w:r>
        <w:rPr>
          <w:b/>
          <w:bCs/>
          <w:sz w:val="22"/>
          <w:szCs w:val="22"/>
        </w:rPr>
        <w:t xml:space="preserve">Source: </w:t>
      </w:r>
      <w:r>
        <w:rPr>
          <w:sz w:val="22"/>
          <w:szCs w:val="22"/>
        </w:rPr>
        <w:t xml:space="preserve">the Knockout Questionnaire. The five questions get past the prepared answers into where the real stories live.</w:t>
      </w:r>
    </w:p>
    <w:p>
      <w:pPr>
        <w:pStyle w:val="ListParagraph"/>
        <w:numPr>
          <w:ilvl w:val="0"/>
          <w:numId w:val="2"/>
        </w:numPr>
        <w:spacing w:after="70" w:line="268"/>
      </w:pPr>
      <w:r>
        <w:rPr>
          <w:b/>
          <w:bCs/>
          <w:sz w:val="22"/>
          <w:szCs w:val="22"/>
        </w:rPr>
        <w:t xml:space="preserve">Examine: </w:t>
      </w:r>
      <w:r>
        <w:rPr>
          <w:sz w:val="22"/>
          <w:szCs w:val="22"/>
        </w:rPr>
        <w:t xml:space="preserve">which stories are authored, which were assigned, where the story works for the leader and where it quietly costs them. This is the part that asks them to sit with discomfort.</w:t>
      </w:r>
    </w:p>
    <w:p>
      <w:pPr>
        <w:pStyle w:val="ListParagraph"/>
        <w:numPr>
          <w:ilvl w:val="0"/>
          <w:numId w:val="2"/>
        </w:numPr>
        <w:spacing w:after="70" w:line="268"/>
      </w:pPr>
      <w:r>
        <w:rPr>
          <w:b/>
          <w:bCs/>
          <w:sz w:val="22"/>
          <w:szCs w:val="22"/>
        </w:rPr>
        <w:t xml:space="preserve">Author: </w:t>
      </w:r>
      <w:r>
        <w:rPr>
          <w:sz w:val="22"/>
          <w:szCs w:val="22"/>
        </w:rPr>
        <w:t xml:space="preserve">shape the story into something deployable in a board meeting, a hard conversation, the moment that calls for them to meet it rather than dodge it.</w:t>
      </w:r>
    </w:p>
    <w:p>
      <w:pPr>
        <w:spacing w:after="60" w:line="276"/>
      </w:pPr>
      <w:r>
        <w:rPr>
          <w:b w:val="false"/>
          <w:bCs w:val="false"/>
          <w:i w:val="false"/>
          <w:iCs w:val="false"/>
          <w:sz w:val="22"/>
          <w:szCs w:val="22"/>
        </w:rPr>
        <w:t xml:space="preserve">EDGE, your Explore, Discover, Grow, Engage, is not this spine. It belongs to the Field Guide, where the reader learns the method. Source, Examine, Author is how the engagement runs.</w:t>
      </w:r>
    </w:p>
    <w:p>
      <w:r>
        <w:br w:type="page"/>
      </w:r>
    </w:p>
    <w:p>
      <w:pPr>
        <w:pStyle w:val="Heading1"/>
        <w:pBdr>
          <w:bottom w:val="single" w:color="2E5A6B" w:sz="6" w:space="4"/>
        </w:pBdr>
        <w:spacing w:after="120" w:before="300"/>
      </w:pPr>
      <w:r>
        <w:rPr>
          <w:b/>
          <w:bCs/>
          <w:color w:val="1F2A37"/>
          <w:sz w:val="30"/>
          <w:szCs w:val="30"/>
        </w:rPr>
        <w:t xml:space="preserve">From Matrix to Offering</w:t>
      </w:r>
    </w:p>
    <w:p>
      <w:pPr>
        <w:spacing w:after="140" w:line="276"/>
      </w:pPr>
      <w:r>
        <w:rPr>
          <w:b w:val="false"/>
          <w:bCs w:val="false"/>
          <w:i w:val="false"/>
          <w:iCs w:val="false"/>
          <w:sz w:val="22"/>
          <w:szCs w:val="22"/>
        </w:rPr>
        <w:t xml:space="preserve">This is where the grid stops being a diagram and starts being a business. Three reads turn a matrix cell into a recommendation.</w:t>
      </w:r>
    </w:p>
    <w:p>
      <w:pPr>
        <w:pStyle w:val="Heading2"/>
        <w:spacing w:after="90" w:before="220"/>
      </w:pPr>
      <w:r>
        <w:rPr>
          <w:b/>
          <w:bCs/>
          <w:color w:val="2E5A6B"/>
          <w:sz w:val="25"/>
          <w:szCs w:val="25"/>
        </w:rPr>
        <w:t xml:space="preserve">First, the band</w:t>
      </w:r>
    </w:p>
    <w:p>
      <w:pPr>
        <w:spacing w:after="140" w:line="276"/>
      </w:pPr>
      <w:r>
        <w:rPr>
          <w:b w:val="false"/>
          <w:bCs w:val="false"/>
          <w:i w:val="false"/>
          <w:iCs w:val="false"/>
          <w:sz w:val="22"/>
          <w:szCs w:val="22"/>
        </w:rPr>
        <w:t xml:space="preserve">The free Quick Leadership Assessment places the leader in one of five zones, Story At Risk through Story Aligned, and the matrix shows which quadrant and pillar are leaking. The band is the altitude. The cell is the room. Neither has anything to do with the leader's budget.</w:t>
      </w:r>
    </w:p>
    <w:p>
      <w:pPr>
        <w:pStyle w:val="Heading2"/>
        <w:spacing w:after="90" w:before="220"/>
      </w:pPr>
      <w:r>
        <w:rPr>
          <w:b/>
          <w:bCs/>
          <w:color w:val="2E5A6B"/>
          <w:sz w:val="25"/>
          <w:szCs w:val="25"/>
        </w:rPr>
        <w:t xml:space="preserve">Second, the objective</w:t>
      </w:r>
    </w:p>
    <w:p>
      <w:pPr>
        <w:spacing w:after="140" w:line="276"/>
      </w:pPr>
      <w:r>
        <w:rPr>
          <w:b w:val="false"/>
          <w:bCs w:val="false"/>
          <w:i w:val="false"/>
          <w:iCs w:val="false"/>
          <w:sz w:val="22"/>
          <w:szCs w:val="22"/>
        </w:rPr>
        <w:t xml:space="preserve">A short question about what the leader actually wants sets the ambition. Two leaders in the same cell with different objectives need different work.</w:t>
      </w:r>
    </w:p>
    <w:p>
      <w:pPr>
        <w:pStyle w:val="Heading2"/>
        <w:spacing w:after="90" w:before="220"/>
      </w:pPr>
      <w:r>
        <w:rPr>
          <w:b/>
          <w:bCs/>
          <w:color w:val="2E5A6B"/>
          <w:sz w:val="25"/>
          <w:szCs w:val="25"/>
        </w:rPr>
        <w:t xml:space="preserve">Third, the capacity</w:t>
      </w:r>
    </w:p>
    <w:p>
      <w:pPr>
        <w:spacing w:after="140" w:line="276"/>
      </w:pPr>
      <w:r>
        <w:rPr>
          <w:b w:val="false"/>
          <w:bCs w:val="false"/>
          <w:i w:val="false"/>
          <w:iCs w:val="false"/>
          <w:sz w:val="22"/>
          <w:szCs w:val="22"/>
        </w:rPr>
        <w:t xml:space="preserve">Read quietly from role, organization size, and timeframe, never asked as a budget question. It sets the format and price the leader can reach.</w:t>
      </w:r>
    </w:p>
    <w:p>
      <w:pPr>
        <w:pStyle w:val="Heading2"/>
        <w:spacing w:after="90" w:before="220"/>
      </w:pPr>
      <w:r>
        <w:rPr>
          <w:b/>
          <w:bCs/>
          <w:color w:val="2E5A6B"/>
          <w:sz w:val="25"/>
          <w:szCs w:val="25"/>
        </w:rPr>
        <w:t xml:space="preserve">Where the three meet: the offer</w:t>
      </w:r>
    </w:p>
    <w:p>
      <w:pPr>
        <w:spacing w:after="80" w:line="276"/>
      </w:pPr>
      <w:r>
        <w:rPr>
          <w:b w:val="false"/>
          <w:bCs w:val="false"/>
          <w:i w:val="false"/>
          <w:iCs w:val="false"/>
          <w:sz w:val="22"/>
          <w:szCs w:val="22"/>
        </w:rPr>
        <w:t xml:space="preserve">The work itself is The Trust(ed) Co-Author, the engagement that runs Source to Author across the matrix. The result pairs an anchor with that work, and the anchor flexes to fit the reader: the full book for newcomers, the condensed go-between for those ready for more, the Field Guide for those ready to do the work. Under-funded leaders settle on the anchor as their ceiling. Funded leaders pass through it on the way to the engagement. The matrix told you where they are. The three reads told you what to offer and at what rung.</w:t>
      </w:r>
    </w:p>
    <w:p>
      <w:pPr>
        <w:spacing w:after="140" w:line="276"/>
      </w:pPr>
      <w:r>
        <w:rPr>
          <w:b w:val="false"/>
          <w:bCs w:val="false"/>
          <w:i/>
          <w:iCs/>
          <w:sz w:val="22"/>
          <w:szCs w:val="22"/>
        </w:rPr>
        <w:t xml:space="preserve">That is the whole point of a mature matrix. It does not just describe a leader's story. It tells you, with rigor, exactly what to do next, and what to sell. The science earns the name.</w:t>
      </w:r>
    </w:p>
    <w:p>
      <w:pPr>
        <w:spacing w:after="100" w:before="200"/>
      </w:pPr>
      <w:r>
        <w:rPr>
          <w:b/>
          <w:bCs/>
          <w:color w:val="1F2A37"/>
          <w:sz w:val="23"/>
          <w:szCs w:val="23"/>
        </w:rPr>
        <w:t xml:space="preserve">One question to leave you with.</w:t>
      </w:r>
    </w:p>
    <w:p>
      <w:pPr>
        <w:spacing w:after="140" w:line="276"/>
      </w:pPr>
      <w:r>
        <w:rPr>
          <w:b w:val="false"/>
          <w:bCs w:val="false"/>
          <w:i w:val="false"/>
          <w:iCs w:val="false"/>
          <w:sz w:val="22"/>
          <w:szCs w:val="22"/>
        </w:rPr>
        <w:t xml:space="preserve">If the matrix is the science, then every cell should eventually hold a question as sharp as the five you already have. Which of the eleven unspoken intersections do you most want to author next, and which quadrant is quietly asking for it?</w:t>
      </w:r>
    </w:p>
    <w:p>
      <w:pPr>
        <w:spacing w:before="240"/>
      </w:pPr>
      <w:r>
        <w:rPr>
          <w:i/>
          <w:iCs/>
          <w:color w:val="2E5A6B"/>
          <w:sz w:val="23"/>
          <w:szCs w:val="23"/>
        </w:rPr>
        <w:t xml:space="preserve">Yours in Narrative.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2A37"/>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2026-05-30T01:24:23.425Z</dcterms:created>
  <dcterms:modified xsi:type="dcterms:W3CDTF">2026-05-30T01:24:23.448Z</dcterms:modified>
</cp:coreProperties>
</file>

<file path=docProps/custom.xml><?xml version="1.0" encoding="utf-8"?>
<Properties xmlns="http://schemas.openxmlformats.org/officeDocument/2006/custom-properties" xmlns:vt="http://schemas.openxmlformats.org/officeDocument/2006/docPropsVTypes"/>
</file>