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[[TABELA:indicadores]]</w:t>
      </w:r>
    </w:p>
    <w:p>
      <w:pPr>
        <w:pStyle w:val="Heading2"/>
      </w:pPr>
      <w:r>
        <w:t xml:space="preserve">RESUMO DO TIME DE ESTRATÉGIA</w:t>
      </w:r>
    </w:p>
    <w:p>
      <w:r>
        <w:rPr>
          <w:i/>
        </w:rPr>
        <w:t xml:space="preserve">[Escreva aqui o resumo do mês: contexto macro, decisões de política monetária, destaques.]</w:t>
      </w:r>
    </w:p>
    <w:p>
      <w:pPr>
        <w:pStyle w:val="Heading3"/>
      </w:pPr>
      <w:r>
        <w:t xml:space="preserve">Sobre o posicionamento, estamos [mais conservadores / mais otimistas / neutros]</w:t>
      </w:r>
    </w:p>
    <w:p>
      <w:r>
        <w:t xml:space="preserve">[[TABELA:posicionamento]]</w:t>
      </w:r>
    </w:p>
    <w:p>
      <w:r>
        <w:rPr>
          <w:i/>
        </w:rPr>
        <w:t xml:space="preserve">[Escreva aqui o texto sobre o posicionamento dos portfólios.]</w:t>
      </w:r>
    </w:p>
    <w:p>
      <w:pPr>
        <w:pStyle w:val="Heading2"/>
      </w:pPr>
      <w:r>
        <w:t xml:space="preserve">RETORNO ABSOLUTO</w:t>
      </w:r>
    </w:p>
    <w:p>
      <w:r>
        <w:rPr>
          <w:i/>
        </w:rPr>
        <w:t xml:space="preserve">[Seção opcional — apague todo este bloco (título + marcador) se não houver Retorno Absoluto neste mês.]</w:t>
      </w:r>
    </w:p>
    <w:p>
      <w:r>
        <w:t xml:space="preserve">[[TABELA:ranking]]</w:t>
      </w:r>
    </w:p>
    <w:p>
      <w:pPr>
        <w:pStyle w:val="Heading2"/>
      </w:pPr>
      <w:r>
        <w:t xml:space="preserve">RENDA VARIÁVEL GLOBAL</w:t>
      </w:r>
    </w:p>
    <w:p>
      <w:r>
        <w:rPr>
          <w:i/>
        </w:rPr>
        <w:t xml:space="preserve">[Texto sobre os mercados de ações globais.]</w:t>
      </w:r>
    </w:p>
    <w:p>
      <w:pPr>
        <w:pStyle w:val="Heading2"/>
      </w:pPr>
      <w:r>
        <w:t xml:space="preserve">RENDA VARIÁVEL LOCAL</w:t>
      </w:r>
    </w:p>
    <w:p>
      <w:r>
        <w:rPr>
          <w:i/>
        </w:rPr>
        <w:t xml:space="preserve">[Texto sobre a bolsa local.]</w:t>
      </w:r>
    </w:p>
    <w:p>
      <w:pPr>
        <w:pStyle w:val="Heading2"/>
      </w:pPr>
      <w:r>
        <w:t xml:space="preserve">FUNDOS LISTADOS</w:t>
      </w:r>
    </w:p>
    <w:p>
      <w:r>
        <w:rPr>
          <w:i/>
        </w:rPr>
        <w:t xml:space="preserve">[Texto sobre FIIs / FI-Infra / Fiagros.]</w:t>
      </w:r>
    </w:p>
    <w:p>
      <w:pPr>
        <w:pStyle w:val="Heading2"/>
      </w:pPr>
      <w:r>
        <w:t xml:space="preserve">RENDA FIXA : JUROS NOMINAIS E REAIS (PRÉ-FIXADO / INFLAÇÃO)</w:t>
      </w:r>
    </w:p>
    <w:p>
      <w:r>
        <w:rPr>
          <w:i/>
        </w:rPr>
        <w:t xml:space="preserve">[Texto sobre juros. O marcador de indicadores de mercado normalmente entra em algum ponto desta seção.]</w:t>
      </w:r>
    </w:p>
    <w:p>
      <w:r>
        <w:t xml:space="preserve">[[TABELA:mercado]]</w:t>
      </w:r>
    </w:p>
    <w:p>
      <w:pPr>
        <w:pStyle w:val="Heading2"/>
      </w:pPr>
      <w:r>
        <w:t xml:space="preserve">RENDA FIXA : CRÉDITO PRIVADO</w:t>
      </w:r>
    </w:p>
    <w:p>
      <w:r>
        <w:rPr>
          <w:i/>
        </w:rPr>
        <w:t xml:space="preserve">[Texto sobre crédito privado local e internacional.]</w:t>
      </w:r>
    </w:p>
    <w:p>
      <w:pPr>
        <w:pStyle w:val="Heading2"/>
      </w:pPr>
      <w:r>
        <w:t xml:space="preserve">RESULTADO CARTEIRAS</w:t>
      </w:r>
    </w:p>
    <w:p>
      <w:r>
        <w:t xml:space="preserve">[[TABELA:rentabilidades]]</w:t>
      </w:r>
    </w:p>
    <w:p>
      <w:r>
        <w:t xml:space="preserve">Caso queira saber mais sobre nossos serviços clique aqui para entrar em contato.</w:t>
      </w:r>
    </w:p>
    <w:p>
      <w:r>
        <w:t xml:space="preserve">Este conteúdo tem propósito exclusivamente informativo e se baseia em fontes públicas consideradas confiáveis. A MZR Gestora de Recursos não se responsabiliza por decisões tomadas com base nestas informações.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