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[[TABELA:header]]</w:t>
      </w:r>
    </w:p>
    <w:p>
      <w:pPr>
        <w:pStyle w:val="Heading2"/>
      </w:pPr>
      <w:r>
        <w:t xml:space="preserve">Brasil (Copom)</w:t>
      </w:r>
    </w:p>
    <w:p>
      <w:r>
        <w:rPr>
          <w:i/>
        </w:rPr>
        <w:t xml:space="preserve">[Escreva aqui a análise da decisão do Copom. Apague esta seção inteira se o comunicado for só sobre o FED.]</w:t>
      </w:r>
    </w:p>
    <w:p>
      <w:pPr>
        <w:pStyle w:val="Heading3"/>
      </w:pPr>
      <w:r>
        <w:t xml:space="preserve">Visão MMZR</w:t>
      </w:r>
    </w:p>
    <w:p>
      <w:r>
        <w:rPr>
          <w:i/>
        </w:rPr>
        <w:t xml:space="preserve">[Escreva aqui a visão da MMZR sobre a decisão do Copom.]</w:t>
      </w:r>
    </w:p>
    <w:p>
      <w:pPr>
        <w:pStyle w:val="Heading2"/>
      </w:pPr>
      <w:r>
        <w:t xml:space="preserve">EUA (FED)</w:t>
      </w:r>
    </w:p>
    <w:p>
      <w:r>
        <w:rPr>
          <w:i/>
        </w:rPr>
        <w:t xml:space="preserve">[Escreva aqui a análise da decisão do FED. Apague esta seção inteira se o comunicado for só sobre o Copom.]</w:t>
      </w:r>
    </w:p>
    <w:p>
      <w:pPr>
        <w:pStyle w:val="Heading3"/>
      </w:pPr>
      <w:r>
        <w:t xml:space="preserve">Visão MMZR</w:t>
      </w:r>
    </w:p>
    <w:p>
      <w:r>
        <w:rPr>
          <w:i/>
        </w:rPr>
        <w:t xml:space="preserve">[Escreva aqui a visão da MMZR sobre a decisão do FED.]</w:t>
      </w:r>
    </w:p>
    <w:p>
      <w:r>
        <w:t xml:space="preserve">Este conteúdo tem propósito exclusivamente informativo e se baseia em fontes públicas consideradas confiáveis. A MZR Gestora de Recursos não se responsabiliza por decisões tomadas com base nestas informações.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Heading3">
    <w:name w:val="heading 3"/>
    <w:basedOn w:val="Normal"/>
    <w:pPr>
      <w:outlineLvl w:val="2"/>
    </w:pPr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