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3480"/>
          <w:sz w:val="48"/>
        </w:rPr>
        <w:t>Allô Eau — Synthèse commerciale</w:t>
      </w:r>
    </w:p>
    <w:p>
      <w:r>
        <w:rPr>
          <w:b w:val="0"/>
          <w:i/>
          <w:color w:val="475569"/>
          <w:sz w:val="22"/>
        </w:rPr>
        <w:t>Plateforme numérique de commande et de livraison d’eau potable — Dispositif d’urgence hydrique, Grand Libreville</w:t>
      </w:r>
    </w:p>
    <w:p>
      <w:pPr>
        <w:spacing w:before="120" w:after="120"/>
        <w:pBdr>
          <w:bottom w:val="single" w:sz="4" w:space="1" w:color="CBD5E1"/>
        </w:pBdr>
      </w:pPr>
    </w:p>
    <w:p>
      <w:pPr>
        <w:spacing w:before="360" w:after="160"/>
      </w:pPr>
      <w:r>
        <w:rPr>
          <w:b/>
          <w:color w:val="1F3480"/>
          <w:sz w:val="28"/>
        </w:rPr>
        <w:t>Le produit</w:t>
      </w:r>
    </w:p>
    <w:p>
      <w:r>
        <w:rPr>
          <w:b w:val="0"/>
          <w:i w:val="0"/>
          <w:color w:val="0F172A"/>
          <w:sz w:val="22"/>
        </w:rPr>
        <w:t>Plateforme numérique en réponse au dispositif d’urgence hydrique du Grand Libreville. Elle comprend trois environnements applicatifs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Environnement</w:t>
            </w:r>
          </w:p>
        </w:tc>
        <w:tc>
          <w:tcPr>
            <w:tcW w:type="dxa" w:w="3249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Utilisateurs</w:t>
            </w:r>
          </w:p>
        </w:tc>
        <w:tc>
          <w:tcPr>
            <w:tcW w:type="dxa" w:w="3249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Fonction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Portail public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Citoyens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Commander (avec ou sans compte, validation par SMS OTP), suivre l’état de sa commande.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Backoffice administrateur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Ministère et sociétés opératrices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Piloter la crise : KPIs, gestion sociétés/zones/tarifs/livreurs, réassignations, carte des opérations en direct.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Application livreur (PWA)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Livreurs Forces de Défense et opérateurs privés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Recevoir sa tournée, mettre à jour les statuts, transmettre la position GPS.</w:t>
            </w:r>
          </w:p>
        </w:tc>
      </w:tr>
    </w:tbl>
    <w:p>
      <w:r>
        <w:rPr>
          <w:b w:val="0"/>
          <w:i w:val="0"/>
          <w:color w:val="0F172A"/>
          <w:sz w:val="22"/>
        </w:rPr>
      </w:r>
    </w:p>
    <w:p>
      <w:r>
        <w:rPr>
          <w:b w:val="0"/>
          <w:i w:val="0"/>
          <w:color w:val="0F172A"/>
          <w:sz w:val="22"/>
        </w:rPr>
        <w:t>Fondations techniques : dispatch automatique par zone, cascade de refus, affectation livreur par charge, détection d’arrivée par géofencing, sécurité applicative granulaire par rôle, traçabilité complète, versionning tarifaire historisé.</w:t>
      </w:r>
    </w:p>
    <w:p>
      <w:r>
        <w:rPr>
          <w:b/>
          <w:i w:val="0"/>
          <w:color w:val="0F172A"/>
          <w:sz w:val="22"/>
        </w:rPr>
        <w:t>État du produit : opérationnel, testé, prêt à être mis en production.</w:t>
      </w:r>
    </w:p>
    <w:p>
      <w:pPr>
        <w:spacing w:before="360" w:after="160"/>
      </w:pPr>
      <w:r>
        <w:rPr>
          <w:b/>
          <w:color w:val="1F3480"/>
          <w:sz w:val="28"/>
        </w:rPr>
        <w:t>Offre de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Poste</w:t>
            </w:r>
          </w:p>
        </w:tc>
        <w:tc>
          <w:tcPr>
            <w:tcW w:type="dxa" w:w="3249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Détail</w:t>
            </w:r>
          </w:p>
        </w:tc>
        <w:tc>
          <w:tcPr>
            <w:tcW w:type="dxa" w:w="3249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Coût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Plateforme livrée clé en main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Les 3 applications + base PostgreSQL/PostGIS + automatisations métier, testées et opérationnelles.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inclus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Mise en production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Domaines, SSL, variables d’environnement, migrations, données initiales (21 quartiers, tarifs, 5 sociétés).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inclus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Documentation technique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README, schéma de base de données, procédures backup/restauration, guide de déploiement autonome.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inclus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Handover technique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Session 2 h avec l’équipe technique MILLIMINDS + remise des accès.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inclus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Garantie 90 jours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Correction gratuite des bugs bloquants pendant 90 jours.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inclus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Total forfait de base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color w:val="0F172A"/>
                <w:sz w:val="21"/>
              </w:rPr>
              <w:t>12 000 000 XAF HT</w:t>
            </w:r>
          </w:p>
        </w:tc>
      </w:tr>
    </w:tbl>
    <w:p>
      <w:r>
        <w:rPr>
          <w:b w:val="0"/>
          <w:i w:val="0"/>
          <w:color w:val="0F172A"/>
          <w:sz w:val="22"/>
        </w:rPr>
      </w:r>
    </w:p>
    <w:p>
      <w:r>
        <w:rPr>
          <w:b w:val="0"/>
          <w:i w:val="0"/>
          <w:color w:val="0F172A"/>
          <w:sz w:val="22"/>
        </w:rPr>
        <w:t>Paiement : 50 % à la signature · 30 % à la mise en production · 20 % à la fin de la garantie.</w:t>
      </w:r>
    </w:p>
    <w:p>
      <w:r>
        <w:rPr>
          <w:b w:val="0"/>
          <w:i w:val="0"/>
          <w:color w:val="0F172A"/>
          <w:sz w:val="22"/>
        </w:rPr>
        <w:t>Délai : 4 semaines à compter de la signature du contrat.</w:t>
      </w:r>
    </w:p>
    <w:p>
      <w:pPr>
        <w:spacing w:before="360" w:after="160"/>
      </w:pPr>
      <w:r>
        <w:rPr>
          <w:b/>
          <w:color w:val="1F3480"/>
          <w:sz w:val="28"/>
        </w:rPr>
        <w:t>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Option</w:t>
            </w:r>
          </w:p>
        </w:tc>
        <w:tc>
          <w:tcPr>
            <w:tcW w:type="dxa" w:w="2436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Ce que cela apporte</w:t>
            </w:r>
          </w:p>
        </w:tc>
        <w:tc>
          <w:tcPr>
            <w:tcW w:type="dxa" w:w="2436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Coût</w:t>
            </w:r>
          </w:p>
        </w:tc>
        <w:tc>
          <w:tcPr>
            <w:tcW w:type="dxa" w:w="2436"/>
            <w:shd w:val="clear" w:color="auto" w:fill="1F3480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Délai supplémentaire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Canal USSD (*XXX#)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color w:val="0F172A"/>
                <w:sz w:val="21"/>
              </w:rPr>
              <w:t>Permettre aux citoyens sans smartphone de commander via un menu textuel. Élargit la couverture au public non connecté. La position GPS n’est pas transmise (canal purement textuel).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color w:val="0F172A"/>
                <w:sz w:val="21"/>
              </w:rPr>
              <w:t>4 000 000 XAF HT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color w:val="0F172A"/>
                <w:sz w:val="21"/>
              </w:rPr>
              <w:t>+ 2 semaines</w:t>
            </w:r>
          </w:p>
        </w:tc>
      </w:tr>
    </w:tbl>
    <w:p>
      <w:r>
        <w:rPr>
          <w:b w:val="0"/>
          <w:i w:val="0"/>
          <w:color w:val="0F172A"/>
          <w:sz w:val="22"/>
        </w:rPr>
      </w:r>
    </w:p>
    <w:p>
      <w:r>
        <w:rPr>
          <w:b w:val="0"/>
          <w:i/>
          <w:color w:val="475569"/>
          <w:sz w:val="22"/>
        </w:rPr>
        <w:t>Interventions hors périmètre après la garantie ou en dehors du forfait défini : devis complémentaire au tarif de 500 000 XAF HT par jour-homme.</w:t>
      </w:r>
    </w:p>
    <w:p>
      <w:pPr>
        <w:spacing w:before="360" w:after="160"/>
      </w:pPr>
      <w:r>
        <w:rPr>
          <w:b/>
          <w:color w:val="1F3480"/>
          <w:sz w:val="28"/>
        </w:rPr>
        <w:t>Qui fait quoi</w:t>
      </w:r>
    </w:p>
    <w:p>
      <w:pPr>
        <w:spacing w:before="240" w:after="80"/>
      </w:pPr>
      <w:r>
        <w:rPr>
          <w:b/>
          <w:color w:val="0F172A"/>
          <w:sz w:val="24"/>
        </w:rPr>
        <w:t>Prestataire</w:t>
      </w:r>
    </w:p>
    <w:p>
      <w:pPr>
        <w:pStyle w:val="ListBullet"/>
      </w:pPr>
      <w:r>
        <w:rPr>
          <w:color w:val="0F172A"/>
          <w:sz w:val="22"/>
        </w:rPr>
        <w:t>Fourniture de la plateforme telle qu’elle est livrée</w:t>
      </w:r>
    </w:p>
    <w:p>
      <w:pPr>
        <w:pStyle w:val="ListBullet"/>
      </w:pPr>
      <w:r>
        <w:rPr>
          <w:color w:val="0F172A"/>
          <w:sz w:val="22"/>
        </w:rPr>
        <w:t>Configuration et mise en production</w:t>
      </w:r>
    </w:p>
    <w:p>
      <w:pPr>
        <w:pStyle w:val="ListBullet"/>
      </w:pPr>
      <w:r>
        <w:rPr>
          <w:color w:val="0F172A"/>
          <w:sz w:val="22"/>
        </w:rPr>
        <w:t>Documentation technique</w:t>
      </w:r>
    </w:p>
    <w:p>
      <w:pPr>
        <w:pStyle w:val="ListBullet"/>
      </w:pPr>
      <w:r>
        <w:rPr>
          <w:color w:val="0F172A"/>
          <w:sz w:val="22"/>
        </w:rPr>
        <w:t>Handover à l’équipe MILLIMINDS</w:t>
      </w:r>
    </w:p>
    <w:p>
      <w:pPr>
        <w:pStyle w:val="ListBullet"/>
      </w:pPr>
      <w:r>
        <w:rPr>
          <w:color w:val="0F172A"/>
          <w:sz w:val="22"/>
        </w:rPr>
        <w:t>Garantie 90 jours sur bugs bloquants</w:t>
      </w:r>
    </w:p>
    <w:p>
      <w:pPr>
        <w:spacing w:before="240" w:after="80"/>
      </w:pPr>
      <w:r>
        <w:rPr>
          <w:b/>
          <w:color w:val="0F172A"/>
          <w:sz w:val="24"/>
        </w:rPr>
        <w:t>MILLIMINDS</w:t>
      </w:r>
    </w:p>
    <w:p>
      <w:pPr>
        <w:pStyle w:val="ListBullet"/>
      </w:pPr>
      <w:r>
        <w:rPr>
          <w:color w:val="0F172A"/>
          <w:sz w:val="22"/>
        </w:rPr>
        <w:t>Hébergement de la plateforme (infrastructure, sauvegardes, monitoring, exploitation)</w:t>
      </w:r>
    </w:p>
    <w:p>
      <w:pPr>
        <w:pStyle w:val="ListBullet"/>
      </w:pPr>
      <w:r>
        <w:rPr>
          <w:color w:val="0F172A"/>
          <w:sz w:val="22"/>
        </w:rPr>
        <w:t>Formation des administrateurs ministère, sociétés opératrices, livreurs, et équipes internes MILLIMINDS</w:t>
      </w:r>
    </w:p>
    <w:p>
      <w:pPr>
        <w:pStyle w:val="ListBullet"/>
      </w:pPr>
      <w:r>
        <w:rPr>
          <w:color w:val="0F172A"/>
          <w:sz w:val="22"/>
        </w:rPr>
        <w:t>Documentation utilisateur (guides client, société, livreur, admin métier)</w:t>
      </w:r>
    </w:p>
    <w:p>
      <w:pPr>
        <w:pStyle w:val="ListBullet"/>
      </w:pPr>
      <w:r>
        <w:rPr>
          <w:color w:val="0F172A"/>
          <w:sz w:val="22"/>
        </w:rPr>
        <w:t>Support N1 et N2 hors bugs bloquants ; astreinte</w:t>
      </w:r>
    </w:p>
    <w:p>
      <w:pPr>
        <w:pStyle w:val="ListBullet"/>
      </w:pPr>
      <w:r>
        <w:rPr>
          <w:color w:val="0F172A"/>
          <w:sz w:val="22"/>
        </w:rPr>
        <w:t>Relation avec le client final : réunions, comptes rendus, communication institutionnelle</w:t>
      </w:r>
    </w:p>
    <w:p>
      <w:pPr>
        <w:pStyle w:val="ListBullet"/>
      </w:pPr>
      <w:r>
        <w:rPr>
          <w:color w:val="0F172A"/>
          <w:sz w:val="22"/>
        </w:rPr>
        <w:t>Évolutions fonctionnelles post-livraison</w:t>
      </w:r>
    </w:p>
    <w:p>
      <w:pPr>
        <w:pStyle w:val="ListBullet"/>
      </w:pPr>
      <w:r>
        <w:rPr>
          <w:color w:val="0F172A"/>
          <w:sz w:val="22"/>
        </w:rPr>
        <w:t>Sécurité avancée : WAF, MFA, SIEM, pentest externe, ISO 27001, PSSI, PRA</w:t>
      </w:r>
    </w:p>
    <w:p>
      <w:pPr>
        <w:pStyle w:val="ListBullet"/>
      </w:pPr>
      <w:r>
        <w:rPr>
          <w:color w:val="0F172A"/>
          <w:sz w:val="22"/>
        </w:rPr>
        <w:t>Toute intervention post-garantie</w:t>
      </w:r>
    </w:p>
    <w:p>
      <w:pPr>
        <w:spacing w:before="240" w:after="80"/>
      </w:pPr>
      <w:r>
        <w:rPr>
          <w:b/>
          <w:color w:val="0F172A"/>
          <w:sz w:val="24"/>
        </w:rPr>
        <w:t>Ministère — prérequis à sécuriser en amont</w:t>
      </w:r>
    </w:p>
    <w:p>
      <w:r>
        <w:rPr>
          <w:b w:val="0"/>
          <w:i w:val="0"/>
          <w:color w:val="0F172A"/>
          <w:sz w:val="22"/>
        </w:rPr>
        <w:t>Convention à négocier auprès des trois opérateurs télécoms nationaux (Airtel Gabon, Moov Africa Gabon, Gabon Telecom) pour :</w:t>
      </w:r>
    </w:p>
    <w:p>
      <w:pPr>
        <w:pStyle w:val="ListBullet"/>
      </w:pPr>
      <w:r>
        <w:rPr>
          <w:color w:val="0F172A"/>
          <w:sz w:val="22"/>
        </w:rPr>
        <w:t>L’intégration SMS de la plateforme avec un identifiant émetteur dédié (ex. ALLO-EAU)</w:t>
      </w:r>
    </w:p>
    <w:p>
      <w:pPr>
        <w:pStyle w:val="ListBullet"/>
      </w:pPr>
      <w:r>
        <w:rPr>
          <w:color w:val="0F172A"/>
          <w:sz w:val="22"/>
        </w:rPr>
        <w:t>La gratuité des SMS au titre du dispositif d’urgence hydrique</w:t>
      </w:r>
    </w:p>
    <w:p>
      <w:pPr>
        <w:pStyle w:val="ListBullet"/>
      </w:pPr>
      <w:r>
        <w:rPr>
          <w:color w:val="0F172A"/>
          <w:sz w:val="22"/>
        </w:rPr>
        <w:t>La transmission des identifiants techniques d’intégration à MILLIMINDS</w:t>
      </w:r>
    </w:p>
    <w:p>
      <w:pPr>
        <w:pStyle w:val="ListBullet"/>
      </w:pPr>
      <w:r>
        <w:rPr>
          <w:color w:val="0F172A"/>
          <w:sz w:val="22"/>
        </w:rPr>
        <w:t>Si l’option USSD est retenue : allocation d’un code court USSD auprès de l’ARCEP ou des opérateurs</w:t>
      </w:r>
    </w:p>
    <w:p>
      <w:r>
        <w:rPr>
          <w:b w:val="0"/>
          <w:i w:val="0"/>
          <w:color w:val="0F172A"/>
          <w:sz w:val="22"/>
        </w:rPr>
      </w:r>
    </w:p>
    <w:p>
      <w:r>
        <w:rPr>
          <w:b w:val="0"/>
          <w:i/>
          <w:color w:val="475569"/>
          <w:sz w:val="22"/>
        </w:rPr>
        <w:t>En l’absence de convention avec les opérateurs, les SMS sont facturés à ~15 XAF/unité via l’agrégateur Wirepick. À titre indicatif : 5 000 commandes/jour × 3 SMS ≈ 450 000 SMS/mois ≈ 6,7 M XAF/mois à la charge du Ministère.</w:t>
      </w:r>
    </w:p>
    <w:p>
      <w:pPr>
        <w:spacing w:before="360" w:after="160"/>
      </w:pPr>
      <w:r>
        <w:rPr>
          <w:b/>
          <w:color w:val="1F3480"/>
          <w:sz w:val="28"/>
        </w:rPr>
        <w:t>Propriété intellectuelle</w:t>
      </w:r>
    </w:p>
    <w:p>
      <w:pPr>
        <w:pStyle w:val="ListBullet"/>
      </w:pPr>
      <w:r>
        <w:rPr>
          <w:color w:val="0F172A"/>
          <w:sz w:val="22"/>
        </w:rPr>
        <w:t>Le code source reste la propriété pleine et entière du prestataire.</w:t>
      </w:r>
    </w:p>
    <w:p>
      <w:pPr>
        <w:pStyle w:val="ListBullet"/>
      </w:pPr>
      <w:r>
        <w:rPr>
          <w:color w:val="0F172A"/>
          <w:sz w:val="22"/>
        </w:rPr>
        <w:t>Une licence d’utilisation illimitée est concédée à MILLIMINDS, strictement limitée au dispositif Allô Eau.</w:t>
      </w:r>
    </w:p>
    <w:p>
      <w:pPr>
        <w:pStyle w:val="ListBullet"/>
      </w:pPr>
      <w:r>
        <w:rPr>
          <w:color w:val="0F172A"/>
          <w:sz w:val="22"/>
        </w:rPr>
        <w:t>Toute réplication à un autre projet, ministère ou territoire nécessite un contrat séparé.</w:t>
      </w:r>
    </w:p>
    <w:p>
      <w:pPr>
        <w:spacing w:before="120" w:after="120"/>
        <w:pBdr>
          <w:bottom w:val="single" w:sz="4" w:space="1" w:color="CBD5E1"/>
        </w:pBdr>
      </w:pPr>
    </w:p>
    <w:p>
      <w:pPr>
        <w:jc w:val="center"/>
      </w:pPr>
      <w:r>
        <w:rPr>
          <w:i/>
          <w:color w:val="475569"/>
          <w:sz w:val="18"/>
        </w:rPr>
        <w:t>Allô Eau — Synthèse commerciale · Référence ALLO-EAU-2026-001 · Document valable 30 jours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