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aps/>
          <w:color w:val="6E6459"/>
          <w:sz w:val="22"/>
          <w:szCs w:val="22"/>
        </w:rPr>
        <w:t xml:space="preserve">LAMBANO GROUPE</w:t>
      </w:r>
    </w:p>
    <w:p>
      <w:pPr>
        <w:spacing w:after="100" w:before="300"/>
      </w:pPr>
      <w:r>
        <w:rPr>
          <w:rFonts w:ascii="Georgia" w:cs="Georgia" w:eastAsia="Georgia" w:hAnsi="Georgia"/>
          <w:b/>
          <w:bCs/>
          <w:color w:val="B85A1F"/>
          <w:sz w:val="64"/>
          <w:szCs w:val="64"/>
        </w:rPr>
        <w:t xml:space="preserve">EDUKEA</w:t>
      </w:r>
    </w:p>
    <w:p>
      <w:pPr>
        <w:spacing w:after="500"/>
      </w:pPr>
      <w:r>
        <w:rPr>
          <w:rFonts w:ascii="Georgia" w:cs="Georgia" w:eastAsia="Georgia" w:hAnsi="Georgia"/>
          <w:color w:val="241F1A"/>
          <w:sz w:val="30"/>
          <w:szCs w:val="30"/>
        </w:rPr>
        <w:t xml:space="preserve">Stratégie de lancement national et plan marketing 360°</w:t>
      </w:r>
    </w:p>
    <w:p>
      <w:pPr>
        <w:spacing w:after="60"/>
      </w:pPr>
      <w:r>
        <w:rPr>
          <w:i/>
          <w:iCs/>
          <w:color w:val="6E6459"/>
          <w:sz w:val="22"/>
          <w:szCs w:val="22"/>
        </w:rPr>
        <w:t xml:space="preserve">Déploiement dans les établissements privés — primaire, collège, secondaire</w:t>
      </w:r>
    </w:p>
    <w:p>
      <w:r>
        <w:rPr>
          <w:i/>
          <w:iCs/>
          <w:color w:val="6E6459"/>
          <w:sz w:val="22"/>
          <w:szCs w:val="22"/>
        </w:rPr>
        <w:t xml:space="preserve">Côte d'Ivoire</w:t>
      </w:r>
    </w:p>
    <w:p>
      <w:pPr>
        <w:pBdr>
          <w:top w:val="single" w:color="EAE0D2" w:sz="6" w:space="8"/>
        </w:pBdr>
        <w:spacing w:after="40" w:before="900"/>
      </w:pPr>
      <w:r>
        <w:rPr>
          <w:color w:val="6E6459"/>
          <w:sz w:val="19"/>
          <w:szCs w:val="19"/>
        </w:rPr>
        <w:t xml:space="preserve">Document de travail stratégique</w:t>
      </w:r>
    </w:p>
    <w:p>
      <w:r>
        <w:rPr>
          <w:color w:val="6E6459"/>
          <w:sz w:val="19"/>
          <w:szCs w:val="19"/>
        </w:rPr>
        <w:t xml:space="preserve">Préparé pour Joël Akoun — Fondateur, Lambano Groupe</w:t>
      </w:r>
    </w:p>
    <w:p>
      <w:r>
        <w:rPr>
          <w:color w:val="6E6459"/>
          <w:sz w:val="19"/>
          <w:szCs w:val="19"/>
        </w:rPr>
        <w:t xml:space="preserve">Juillet 2026</w:t>
      </w:r>
    </w:p>
    <w:p>
      <w:r>
        <w:br w:type="page"/>
      </w:r>
    </w:p>
    <w:p>
      <w:pPr>
        <w:pStyle w:val="Heading1"/>
        <w:pBdr>
          <w:bottom w:val="single" w:color="B85A1F" w:sz="8" w:space="4"/>
        </w:pBdr>
        <w:spacing w:after="200" w:before="48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300" w:right="1300" w:bottom="1300" w:left="1300" w:header="708" w:footer="708" w:gutter="0"/>
          <w:pgNumType/>
          <w:docGrid w:linePitch="360"/>
        </w:sectPr>
      </w:pPr>
    </w:p>
    <w:p>
      <w:pPr>
        <w:pStyle w:val="Heading1"/>
        <w:pBdr>
          <w:bottom w:val="single" w:color="B85A1F" w:sz="8" w:space="4"/>
        </w:pBdr>
        <w:spacing w:after="200" w:before="480"/>
      </w:pPr>
      <w:r>
        <w:t xml:space="preserve">1. Résumé exécutif</w:t>
      </w:r>
    </w:p>
    <w:p>
      <w:pPr>
        <w:spacing w:after="160" w:line="300"/>
      </w:pPr>
      <w:r>
        <w:rPr>
          <w:color w:val="241F1A"/>
          <w:sz w:val="22"/>
          <w:szCs w:val="22"/>
        </w:rPr>
        <w:t xml:space="preserve">Edukea, aujourd'hui outil de gestion interne développé par Lambano Groupe, a vocation à devenir une infrastructure logicielle nationale au service des établissements scolaires privés de Côte d'Ivoire — du primaire au secondaire. Ce document consolide la stratégie de lancement discutée, et apporte des réponses concrètes aux arbitrages de tarification et de modèle économique nécessaires avant toute campagne de communication.</w:t>
      </w:r>
    </w:p>
    <w:p>
      <w:pPr>
        <w:spacing w:after="160" w:line="300"/>
      </w:pPr>
      <w:r>
        <w:rPr>
          <w:color w:val="241F1A"/>
          <w:sz w:val="22"/>
          <w:szCs w:val="22"/>
        </w:rPr>
        <w:t xml:space="preserve">Trois convictions structurent cette stratégie :</w:t>
      </w:r>
    </w:p>
    <w:p>
      <w:pPr>
        <w:pStyle w:val="ListParagraph"/>
        <w:numPr>
          <w:ilvl w:val="0"/>
          <w:numId w:val="2"/>
        </w:numPr>
        <w:spacing w:after="90" w:line="290"/>
      </w:pPr>
      <w:r>
        <w:rPr>
          <w:color w:val="241F1A"/>
          <w:sz w:val="22"/>
          <w:szCs w:val="22"/>
        </w:rPr>
        <w:t xml:space="preserve">Le marché du privé scolaire ivoirien est large et en croissance rapide et structurelle depuis quinze ans, ce qui justifie une ambition nationale plutôt qu'un simple élargissement commercial.</w:t>
      </w:r>
    </w:p>
    <w:p>
      <w:pPr>
        <w:pStyle w:val="ListParagraph"/>
        <w:numPr>
          <w:ilvl w:val="0"/>
          <w:numId w:val="2"/>
        </w:numPr>
        <w:spacing w:after="90" w:line="290"/>
      </w:pPr>
      <w:r>
        <w:rPr>
          <w:color w:val="241F1A"/>
          <w:sz w:val="22"/>
          <w:szCs w:val="22"/>
        </w:rPr>
        <w:t xml:space="preserve">Lambano dispose déjà, via l'accord-cadre FEPPECI, d'un canal de distribution institutionnel que peu de concurrents peuvent revendiquer — la stratégie doit s'appuyer dessus plutôt que d'en construire un nouveau en parallèle.</w:t>
      </w:r>
    </w:p>
    <w:p>
      <w:pPr>
        <w:pStyle w:val="ListParagraph"/>
        <w:numPr>
          <w:ilvl w:val="0"/>
          <w:numId w:val="2"/>
        </w:numPr>
        <w:spacing w:after="90" w:line="290"/>
      </w:pPr>
      <w:r>
        <w:rPr>
          <w:color w:val="241F1A"/>
          <w:sz w:val="22"/>
          <w:szCs w:val="22"/>
        </w:rPr>
        <w:t xml:space="preserve">Le message qui vend n'est pas « un logiciel de gestion scolaire » mais la visibilité en temps réel sur la trésorerie de l'établissement — c'est le point de douleur le plus aigu des fondateurs d'écoles privées.</w:t>
      </w:r>
    </w:p>
    <w:p>
      <w:pPr>
        <w:pStyle w:val="Heading1"/>
        <w:pBdr>
          <w:bottom w:val="single" w:color="B85A1F" w:sz="8" w:space="4"/>
        </w:pBdr>
        <w:spacing w:after="200" w:before="480"/>
      </w:pPr>
      <w:r>
        <w:t xml:space="preserve">2. Diagnostic du marché</w:t>
      </w:r>
    </w:p>
    <w:p>
      <w:pPr>
        <w:spacing w:after="160" w:line="300"/>
      </w:pPr>
      <w:r>
        <w:rPr>
          <w:color w:val="241F1A"/>
          <w:sz w:val="22"/>
          <w:szCs w:val="22"/>
        </w:rPr>
        <w:t xml:space="preserve">Les données ci-dessous, issues du ministère de l'Éducation nationale et de l'Alphabétisation (MENA) et du portail économique ivoirien, cadrent la taille du marché adressable.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000"/>
        <w:gridCol w:w="2900"/>
      </w:tblGrid>
      <w:tr>
        <w:trPr>
          <w:tblHeader/>
        </w:trPr>
        <w:tc>
          <w:tcPr>
            <w:tcW w:type="dxa" w:w="3200"/>
            <w:shd w:fill="241F1A" w:val="clear"/>
            <w:tcMar>
              <w:top w:type="dxa" w:w="90"/>
              <w:left w:type="dxa" w:w="110"/>
              <w:bottom w:type="dxa" w:w="90"/>
              <w:right w:type="dxa" w:w="110"/>
            </w:tcMar>
            <w:vAlign w:val="center"/>
          </w:tcPr>
          <w:p>
            <w:pPr>
              <w:jc w:val="left"/>
            </w:pPr>
            <w:r>
              <w:rPr>
                <w:b/>
                <w:bCs/>
                <w:color w:val="FFFFFF"/>
                <w:sz w:val="19"/>
                <w:szCs w:val="19"/>
              </w:rPr>
              <w:t xml:space="preserve">Cycle</w:t>
            </w:r>
          </w:p>
        </w:tc>
        <w:tc>
          <w:tcPr>
            <w:tcW w:type="dxa" w:w="2400"/>
            <w:shd w:fill="241F1A" w:val="clear"/>
            <w:tcMar>
              <w:top w:type="dxa" w:w="90"/>
              <w:left w:type="dxa" w:w="110"/>
              <w:bottom w:type="dxa" w:w="90"/>
              <w:right w:type="dxa" w:w="110"/>
            </w:tcMar>
            <w:vAlign w:val="center"/>
          </w:tcPr>
          <w:p>
            <w:pPr>
              <w:jc w:val="left"/>
            </w:pPr>
            <w:r>
              <w:rPr>
                <w:b/>
                <w:bCs/>
                <w:color w:val="FFFFFF"/>
                <w:sz w:val="19"/>
                <w:szCs w:val="19"/>
              </w:rPr>
              <w:t xml:space="preserve">Total établissements</w:t>
            </w:r>
          </w:p>
        </w:tc>
        <w:tc>
          <w:tcPr>
            <w:tcW w:type="dxa" w:w="3000"/>
            <w:shd w:fill="241F1A" w:val="clear"/>
            <w:tcMar>
              <w:top w:type="dxa" w:w="90"/>
              <w:left w:type="dxa" w:w="110"/>
              <w:bottom w:type="dxa" w:w="90"/>
              <w:right w:type="dxa" w:w="110"/>
            </w:tcMar>
            <w:vAlign w:val="center"/>
          </w:tcPr>
          <w:p>
            <w:pPr>
              <w:jc w:val="left"/>
            </w:pPr>
            <w:r>
              <w:rPr>
                <w:b/>
                <w:bCs/>
                <w:color w:val="FFFFFF"/>
                <w:sz w:val="19"/>
                <w:szCs w:val="19"/>
              </w:rPr>
              <w:t xml:space="preserve">Part du privé</w:t>
            </w:r>
          </w:p>
        </w:tc>
        <w:tc>
          <w:tcPr>
            <w:tcW w:type="dxa" w:w="2900"/>
            <w:shd w:fill="241F1A" w:val="clear"/>
            <w:tcMar>
              <w:top w:type="dxa" w:w="90"/>
              <w:left w:type="dxa" w:w="110"/>
              <w:bottom w:type="dxa" w:w="90"/>
              <w:right w:type="dxa" w:w="110"/>
            </w:tcMar>
            <w:vAlign w:val="center"/>
          </w:tcPr>
          <w:p>
            <w:pPr>
              <w:jc w:val="left"/>
            </w:pPr>
            <w:r>
              <w:rPr>
                <w:b/>
                <w:bCs/>
                <w:color w:val="FFFFFF"/>
                <w:sz w:val="19"/>
                <w:szCs w:val="19"/>
              </w:rPr>
              <w:t xml:space="preserve">Tendance</w:t>
            </w:r>
          </w:p>
        </w:tc>
      </w:tr>
      <w:tr>
        <w:tc>
          <w:tcPr>
            <w:tcW w:type="dxa" w:w="32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Secondaire (collèges et lycées)</w:t>
            </w:r>
          </w:p>
        </w:tc>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3 901 (2024-2025)</w:t>
            </w:r>
          </w:p>
        </w:tc>
        <w:tc>
          <w:tcPr>
            <w:tcW w:type="dxa" w:w="30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76,6 % — soit environ 2 990 établissements</w:t>
            </w:r>
          </w:p>
        </w:tc>
        <w:tc>
          <w:tcPr>
            <w:tcW w:type="dxa" w:w="29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+119 % en 6 ans (1 778 en 2018-2019)</w:t>
            </w:r>
          </w:p>
        </w:tc>
      </w:tr>
      <w:tr>
        <w:tc>
          <w:tcPr>
            <w:tcW w:type="dxa" w:w="32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Primaire</w:t>
            </w:r>
          </w:p>
        </w:tc>
        <w:tc>
          <w:tcPr>
            <w:tcW w:type="dxa" w:w="2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20 475 écoles (2025)</w:t>
            </w:r>
          </w:p>
        </w:tc>
        <w:tc>
          <w:tcPr>
            <w:tcW w:type="dxa" w:w="30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21,3 % des écoliers scolarisés dans le privé</w:t>
            </w:r>
          </w:p>
        </w:tc>
        <w:tc>
          <w:tcPr>
            <w:tcW w:type="dxa" w:w="29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+76 % depuis 2010 (11 638 écoles)</w:t>
            </w:r>
          </w:p>
        </w:tc>
      </w:tr>
      <w:tr>
        <w:tc>
          <w:tcPr>
            <w:tcW w:type="dxa" w:w="32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Préscolaire (contexte, hors périmètre prioritaire)</w:t>
            </w:r>
          </w:p>
        </w:tc>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4 477 écoles (2023-2024)</w:t>
            </w:r>
          </w:p>
        </w:tc>
        <w:tc>
          <w:tcPr>
            <w:tcW w:type="dxa" w:w="30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28,2 %</w:t>
            </w:r>
          </w:p>
        </w:tc>
        <w:tc>
          <w:tcPr>
            <w:tcW w:type="dxa" w:w="29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Croissance continue</w:t>
            </w:r>
          </w:p>
        </w:tc>
      </w:tr>
    </w:tbl>
    <w:p>
      <w:pPr>
        <w:spacing w:after="160" w:line="300"/>
      </w:pPr>
      <w:r>
        <w:rPr>
          <w:i/>
          <w:iCs/>
          <w:color w:val="6E6459"/>
          <w:sz w:val="20"/>
          <w:szCs w:val="20"/>
        </w:rPr>
        <w:t xml:space="preserve">Lecture : le marché adressable prioritaire (collèges, lycées et écoles primaires privées) représente de l'ordre de 3 000 à 4 000 établissements, avec une concentration urbaine marquée — l'essentiel de l'offre privée se situe à Abidjan et dans les grands pôles régionaux (Bouaké, Yamoussoukro, San-Pédro, Daloa). L'écart entre offre publique et privée continue de se creuser, ce qui traduit une demande que l'État seul ne peut absorber, et donc un marché durablement porteur pour un outil de gestion dédié au privé.</w:t>
      </w:r>
    </w:p>
    <w:p>
      <w:pPr>
        <w:pStyle w:val="Heading1"/>
        <w:pBdr>
          <w:bottom w:val="single" w:color="B85A1F" w:sz="8" w:space="4"/>
        </w:pBdr>
        <w:spacing w:after="200" w:before="480"/>
      </w:pPr>
      <w:r>
        <w:t xml:space="preserve">3. Vision et positionnement</w:t>
      </w:r>
    </w:p>
    <w:p>
      <w:pPr>
        <w:pStyle w:val="Heading2"/>
        <w:spacing w:after="140" w:before="320"/>
      </w:pPr>
      <w:r>
        <w:t xml:space="preserve">3.1 Vision à 3 ans</w:t>
      </w:r>
    </w:p>
    <w:p>
      <w:pPr>
        <w:spacing w:after="160" w:line="300"/>
      </w:pPr>
      <w:r>
        <w:rPr>
          <w:color w:val="241F1A"/>
          <w:sz w:val="22"/>
          <w:szCs w:val="22"/>
        </w:rPr>
        <w:t xml:space="preserve">Faire d'Edukea le système de gestion scolaire et financière de référence pour les établissements privés de Côte d'Ivoire, en commençant par les réseaux fédérés (FEPPECI et équivalents) avant d'irriguer les écoles indépendantes.</w:t>
      </w:r>
    </w:p>
    <w:p>
      <w:pPr>
        <w:pStyle w:val="Heading2"/>
        <w:spacing w:after="140" w:before="320"/>
      </w:pPr>
      <w:r>
        <w:t xml:space="preserve">3.2 Positionnement</w:t>
      </w:r>
    </w:p>
    <w:p>
      <w:pPr>
        <w:pBdr>
          <w:left w:val="single" w:color="B85A1F" w:sz="24" w:space="8"/>
        </w:pBdr>
        <w:shd w:fill="FBEBDD" w:val="clear"/>
        <w:spacing w:after="220" w:before="160"/>
        <w:ind w:left="200"/>
      </w:pPr>
      <w:r>
        <w:rPr>
          <w:i/>
          <w:iCs/>
          <w:color w:val="8A4517"/>
          <w:sz w:val="23"/>
          <w:szCs w:val="23"/>
        </w:rPr>
        <w:t xml:space="preserve">« Edukea, la trésorerie de votre école en temps réel. »</w:t>
      </w:r>
    </w:p>
    <w:p>
      <w:pPr>
        <w:spacing w:after="160" w:line="300"/>
      </w:pPr>
      <w:r>
        <w:rPr>
          <w:color w:val="241F1A"/>
          <w:sz w:val="22"/>
          <w:szCs w:val="22"/>
        </w:rPr>
        <w:t xml:space="preserve">Ce positionnement déplace le discours du registre administratif (inscriptions, listes, bulletins) vers le registre financier et stratégique, qui est la vraie préoccupation d'un fondateur ou d'un promoteur d'établissement. Les fonctionnalités de gestion pédagogique restent présentes, mais ne sont plus le message d'entrée.</w:t>
      </w:r>
    </w:p>
    <w:p>
      <w:pPr>
        <w:pStyle w:val="Heading1"/>
        <w:pBdr>
          <w:bottom w:val="single" w:color="B85A1F" w:sz="8" w:space="4"/>
        </w:pBdr>
        <w:spacing w:after="200" w:before="480"/>
      </w:pPr>
      <w:r>
        <w:t xml:space="preserve">4. Stratégie de déploiement</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400"/>
        <w:gridCol w:w="5400"/>
      </w:tblGrid>
      <w:tr>
        <w:trPr>
          <w:tblHeader/>
        </w:trPr>
        <w:tc>
          <w:tcPr>
            <w:tcW w:type="dxa" w:w="2100"/>
            <w:shd w:fill="241F1A" w:val="clear"/>
            <w:tcMar>
              <w:top w:type="dxa" w:w="90"/>
              <w:left w:type="dxa" w:w="110"/>
              <w:bottom w:type="dxa" w:w="90"/>
              <w:right w:type="dxa" w:w="110"/>
            </w:tcMar>
            <w:vAlign w:val="center"/>
          </w:tcPr>
          <w:p>
            <w:pPr>
              <w:jc w:val="left"/>
            </w:pPr>
            <w:r>
              <w:rPr>
                <w:b/>
                <w:bCs/>
                <w:color w:val="FFFFFF"/>
                <w:sz w:val="19"/>
                <w:szCs w:val="19"/>
              </w:rPr>
              <w:t xml:space="preserve">Phase</w:t>
            </w:r>
          </w:p>
        </w:tc>
        <w:tc>
          <w:tcPr>
            <w:tcW w:type="dxa" w:w="1600"/>
            <w:shd w:fill="241F1A" w:val="clear"/>
            <w:tcMar>
              <w:top w:type="dxa" w:w="90"/>
              <w:left w:type="dxa" w:w="110"/>
              <w:bottom w:type="dxa" w:w="90"/>
              <w:right w:type="dxa" w:w="110"/>
            </w:tcMar>
            <w:vAlign w:val="center"/>
          </w:tcPr>
          <w:p>
            <w:pPr>
              <w:jc w:val="left"/>
            </w:pPr>
            <w:r>
              <w:rPr>
                <w:b/>
                <w:bCs/>
                <w:color w:val="FFFFFF"/>
                <w:sz w:val="19"/>
                <w:szCs w:val="19"/>
              </w:rPr>
              <w:t xml:space="preserve">Période</w:t>
            </w:r>
          </w:p>
        </w:tc>
        <w:tc>
          <w:tcPr>
            <w:tcW w:type="dxa" w:w="2400"/>
            <w:shd w:fill="241F1A" w:val="clear"/>
            <w:tcMar>
              <w:top w:type="dxa" w:w="90"/>
              <w:left w:type="dxa" w:w="110"/>
              <w:bottom w:type="dxa" w:w="90"/>
              <w:right w:type="dxa" w:w="110"/>
            </w:tcMar>
            <w:vAlign w:val="center"/>
          </w:tcPr>
          <w:p>
            <w:pPr>
              <w:jc w:val="left"/>
            </w:pPr>
            <w:r>
              <w:rPr>
                <w:b/>
                <w:bCs/>
                <w:color w:val="FFFFFF"/>
                <w:sz w:val="19"/>
                <w:szCs w:val="19"/>
              </w:rPr>
              <w:t xml:space="preserve">Objectif</w:t>
            </w:r>
          </w:p>
        </w:tc>
        <w:tc>
          <w:tcPr>
            <w:tcW w:type="dxa" w:w="5400"/>
            <w:shd w:fill="241F1A" w:val="clear"/>
            <w:tcMar>
              <w:top w:type="dxa" w:w="90"/>
              <w:left w:type="dxa" w:w="110"/>
              <w:bottom w:type="dxa" w:w="90"/>
              <w:right w:type="dxa" w:w="110"/>
            </w:tcMar>
            <w:vAlign w:val="center"/>
          </w:tcPr>
          <w:p>
            <w:pPr>
              <w:jc w:val="left"/>
            </w:pPr>
            <w:r>
              <w:rPr>
                <w:b/>
                <w:bCs/>
                <w:color w:val="FFFFFF"/>
                <w:sz w:val="19"/>
                <w:szCs w:val="19"/>
              </w:rPr>
              <w:t xml:space="preserve">Actions clés</w:t>
            </w:r>
          </w:p>
        </w:tc>
      </w:tr>
      <w:tr>
        <w:tc>
          <w:tcPr>
            <w:tcW w:type="dxa" w:w="21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0 — Consolidation</w:t>
            </w:r>
          </w:p>
        </w:tc>
        <w:tc>
          <w:tcPr>
            <w:tcW w:type="dxa" w:w="16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Mois 0-2</w:t>
            </w:r>
          </w:p>
        </w:tc>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Produit prêt à vendre</w:t>
            </w:r>
          </w:p>
        </w:tc>
        <w:tc>
          <w:tcPr>
            <w:tcW w:type="dxa" w:w="5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Finaliser mobile money et appels à paiement, grille tarifaire validée, argumentaire et supports de démo</w:t>
            </w:r>
          </w:p>
        </w:tc>
      </w:tr>
      <w:tr>
        <w:tc>
          <w:tcPr>
            <w:tcW w:type="dxa" w:w="21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1 — Preuve par la FEPPECI</w:t>
            </w:r>
          </w:p>
        </w:tc>
        <w:tc>
          <w:tcPr>
            <w:tcW w:type="dxa" w:w="16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Mois 2-6</w:t>
            </w:r>
          </w:p>
        </w:tc>
        <w:tc>
          <w:tcPr>
            <w:tcW w:type="dxa" w:w="2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Cas d'usage chiffrés</w:t>
            </w:r>
          </w:p>
        </w:tc>
        <w:tc>
          <w:tcPr>
            <w:tcW w:type="dxa" w:w="5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Déploiement complet sur le réseau FEPPECI, instrumentation des indicateurs avant/après, extension à 2-3 fédérations additionnelles</w:t>
            </w:r>
          </w:p>
        </w:tc>
      </w:tr>
      <w:tr>
        <w:tc>
          <w:tcPr>
            <w:tcW w:type="dxa" w:w="21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2 — Abidjan puis pôles régionaux</w:t>
            </w:r>
          </w:p>
        </w:tc>
        <w:tc>
          <w:tcPr>
            <w:tcW w:type="dxa" w:w="16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Mois 6-12</w:t>
            </w:r>
          </w:p>
        </w:tc>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Densification commerciale</w:t>
            </w:r>
          </w:p>
        </w:tc>
        <w:tc>
          <w:tcPr>
            <w:tcW w:type="dxa" w:w="5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Saturation du marché privé abidjanais, réplication à Bouaké, Yamoussoukro, San-Pédro, Daloa, Divo</w:t>
            </w:r>
          </w:p>
        </w:tc>
      </w:tr>
      <w:tr>
        <w:tc>
          <w:tcPr>
            <w:tcW w:type="dxa" w:w="21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3 — Couverture nationale</w:t>
            </w:r>
          </w:p>
        </w:tc>
        <w:tc>
          <w:tcPr>
            <w:tcW w:type="dxa" w:w="16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Mois 12-24</w:t>
            </w:r>
          </w:p>
        </w:tc>
        <w:tc>
          <w:tcPr>
            <w:tcW w:type="dxa" w:w="2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Échelle nationale</w:t>
            </w:r>
          </w:p>
        </w:tc>
        <w:tc>
          <w:tcPr>
            <w:tcW w:type="dxa" w:w="5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Réseau d'ambassadeurs régionaux à la commission, formés et outillés par Lambano</w:t>
            </w:r>
          </w:p>
        </w:tc>
      </w:tr>
    </w:tbl>
    <w:p>
      <w:pPr>
        <w:spacing w:after="160" w:line="300"/>
      </w:pPr>
      <w:r>
        <w:rPr>
          <w:color w:val="241F1A"/>
          <w:sz w:val="22"/>
          <w:szCs w:val="22"/>
        </w:rPr>
        <w:t xml:space="preserve">Le principe directeur : chaque phase finance et légitime la suivante. Les cas d'usage FEPPECI deviennent l'argumentaire de vente à Abidjan ; le succès abidjanais devient la vitrine pour convaincre les régions.</w:t>
      </w:r>
    </w:p>
    <w:p>
      <w:pPr>
        <w:pStyle w:val="Heading1"/>
        <w:pBdr>
          <w:bottom w:val="single" w:color="B85A1F" w:sz="8" w:space="4"/>
        </w:pBdr>
        <w:spacing w:after="200" w:before="480"/>
      </w:pPr>
      <w:r>
        <w:t xml:space="preserve">5. Modèle économique — réponses concrètes</w:t>
      </w:r>
    </w:p>
    <w:p>
      <w:pPr>
        <w:spacing w:after="160" w:line="300"/>
      </w:pPr>
      <w:r>
        <w:rPr>
          <w:color w:val="241F1A"/>
          <w:sz w:val="22"/>
          <w:szCs w:val="22"/>
        </w:rPr>
        <w:t xml:space="preserve">Trois questions étaient en suspens : la tarification, la prise en charge de la mise en route, et le degré d'intégration avec l'offre matérielle. Voici une proposition structurée pour chacune, à valider et ajuster selon les retours terrain FEPPECI.</w:t>
      </w:r>
    </w:p>
    <w:p>
      <w:pPr>
        <w:pStyle w:val="Heading2"/>
        <w:spacing w:after="140" w:before="320"/>
      </w:pPr>
      <w:r>
        <w:t xml:space="preserve">5.1 Grille tarifaire</w:t>
      </w:r>
    </w:p>
    <w:p>
      <w:pPr>
        <w:spacing w:after="160" w:line="300"/>
      </w:pPr>
      <w:r>
        <w:rPr>
          <w:color w:val="241F1A"/>
          <w:sz w:val="22"/>
          <w:szCs w:val="22"/>
        </w:rPr>
        <w:t xml:space="preserve">Modèle proposé : abonnement annuel facturé à l'établissement, avec un palier gratuit qui sert de porte d'entrée virale pour les petites écoles primaires isolées, hors du rayon d'action commercial direct.</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300"/>
        <w:gridCol w:w="5400"/>
      </w:tblGrid>
      <w:tr>
        <w:trPr>
          <w:tblHeader/>
        </w:trPr>
        <w:tc>
          <w:tcPr>
            <w:tcW w:type="dxa" w:w="2100"/>
            <w:shd w:fill="241F1A" w:val="clear"/>
            <w:tcMar>
              <w:top w:type="dxa" w:w="90"/>
              <w:left w:type="dxa" w:w="110"/>
              <w:bottom w:type="dxa" w:w="90"/>
              <w:right w:type="dxa" w:w="110"/>
            </w:tcMar>
            <w:vAlign w:val="center"/>
          </w:tcPr>
          <w:p>
            <w:pPr>
              <w:jc w:val="left"/>
            </w:pPr>
            <w:r>
              <w:rPr>
                <w:b/>
                <w:bCs/>
                <w:color w:val="FFFFFF"/>
                <w:sz w:val="19"/>
                <w:szCs w:val="19"/>
              </w:rPr>
              <w:t xml:space="preserve">Offre</w:t>
            </w:r>
          </w:p>
        </w:tc>
        <w:tc>
          <w:tcPr>
            <w:tcW w:type="dxa" w:w="2700"/>
            <w:shd w:fill="241F1A" w:val="clear"/>
            <w:tcMar>
              <w:top w:type="dxa" w:w="90"/>
              <w:left w:type="dxa" w:w="110"/>
              <w:bottom w:type="dxa" w:w="90"/>
              <w:right w:type="dxa" w:w="110"/>
            </w:tcMar>
            <w:vAlign w:val="center"/>
          </w:tcPr>
          <w:p>
            <w:pPr>
              <w:jc w:val="left"/>
            </w:pPr>
            <w:r>
              <w:rPr>
                <w:b/>
                <w:bCs/>
                <w:color w:val="FFFFFF"/>
                <w:sz w:val="19"/>
                <w:szCs w:val="19"/>
              </w:rPr>
              <w:t xml:space="preserve">Cible</w:t>
            </w:r>
          </w:p>
        </w:tc>
        <w:tc>
          <w:tcPr>
            <w:tcW w:type="dxa" w:w="3300"/>
            <w:shd w:fill="241F1A" w:val="clear"/>
            <w:tcMar>
              <w:top w:type="dxa" w:w="90"/>
              <w:left w:type="dxa" w:w="110"/>
              <w:bottom w:type="dxa" w:w="90"/>
              <w:right w:type="dxa" w:w="110"/>
            </w:tcMar>
            <w:vAlign w:val="center"/>
          </w:tcPr>
          <w:p>
            <w:pPr>
              <w:jc w:val="left"/>
            </w:pPr>
            <w:r>
              <w:rPr>
                <w:b/>
                <w:bCs/>
                <w:color w:val="FFFFFF"/>
                <w:sz w:val="19"/>
                <w:szCs w:val="19"/>
              </w:rPr>
              <w:t xml:space="preserve">Tarif</w:t>
            </w:r>
          </w:p>
        </w:tc>
        <w:tc>
          <w:tcPr>
            <w:tcW w:type="dxa" w:w="5400"/>
            <w:shd w:fill="241F1A" w:val="clear"/>
            <w:tcMar>
              <w:top w:type="dxa" w:w="90"/>
              <w:left w:type="dxa" w:w="110"/>
              <w:bottom w:type="dxa" w:w="90"/>
              <w:right w:type="dxa" w:w="110"/>
            </w:tcMar>
            <w:vAlign w:val="center"/>
          </w:tcPr>
          <w:p>
            <w:pPr>
              <w:jc w:val="left"/>
            </w:pPr>
            <w:r>
              <w:rPr>
                <w:b/>
                <w:bCs/>
                <w:color w:val="FFFFFF"/>
                <w:sz w:val="19"/>
                <w:szCs w:val="19"/>
              </w:rPr>
              <w:t xml:space="preserve">Inclus</w:t>
            </w:r>
          </w:p>
        </w:tc>
      </w:tr>
      <w:tr>
        <w:tc>
          <w:tcPr>
            <w:tcW w:type="dxa" w:w="21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Découverte</w:t>
            </w:r>
          </w:p>
        </w:tc>
        <w:tc>
          <w:tcPr>
            <w:tcW w:type="dxa" w:w="27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Petites écoles primaires, jusqu'à 100 élèves</w:t>
            </w:r>
          </w:p>
        </w:tc>
        <w:tc>
          <w:tcPr>
            <w:tcW w:type="dxa" w:w="33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Gratuit</w:t>
            </w:r>
          </w:p>
        </w:tc>
        <w:tc>
          <w:tcPr>
            <w:tcW w:type="dxa" w:w="5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Enregistrement, inscription, génération de listes. Reçus co-brandés Edukea.</w:t>
            </w:r>
          </w:p>
        </w:tc>
      </w:tr>
      <w:tr>
        <w:tc>
          <w:tcPr>
            <w:tcW w:type="dxa" w:w="21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Essentiel</w:t>
            </w:r>
          </w:p>
        </w:tc>
        <w:tc>
          <w:tcPr>
            <w:tcW w:type="dxa" w:w="27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Écoles établies, tous effectifs</w:t>
            </w:r>
          </w:p>
        </w:tc>
        <w:tc>
          <w:tcPr>
            <w:tcW w:type="dxa" w:w="33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250 FCFA / élève / an (minimum 50 000 FCFA/an)</w:t>
            </w:r>
          </w:p>
        </w:tc>
        <w:tc>
          <w:tcPr>
            <w:tcW w:type="dxa" w:w="5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Tout Découverte + dashboard financier, suivi des versements, support email</w:t>
            </w:r>
          </w:p>
        </w:tc>
      </w:tr>
      <w:tr>
        <w:tc>
          <w:tcPr>
            <w:tcW w:type="dxa" w:w="21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Trésorerie+</w:t>
            </w:r>
          </w:p>
        </w:tc>
        <w:tc>
          <w:tcPr>
            <w:tcW w:type="dxa" w:w="27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Écoles et groupes scolaires multi-sites</w:t>
            </w:r>
          </w:p>
        </w:tc>
        <w:tc>
          <w:tcPr>
            <w:tcW w:type="dxa" w:w="33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450 FCFA / élève / an</w:t>
            </w:r>
          </w:p>
        </w:tc>
        <w:tc>
          <w:tcPr>
            <w:tcW w:type="dxa" w:w="5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Tout Essentiel + mobile money, appels à paiement automatisés, multi-établissements, support prioritaire</w:t>
            </w:r>
          </w:p>
        </w:tc>
      </w:tr>
      <w:tr>
        <w:tc>
          <w:tcPr>
            <w:tcW w:type="dxa" w:w="21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Réseau / Fédération</w:t>
            </w:r>
          </w:p>
        </w:tc>
        <w:tc>
          <w:tcPr>
            <w:tcW w:type="dxa" w:w="27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FEPPECI et équivalents</w:t>
            </w:r>
          </w:p>
        </w:tc>
        <w:tc>
          <w:tcPr>
            <w:tcW w:type="dxa" w:w="33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Sur devis, tarif dégressif au volume</w:t>
            </w:r>
          </w:p>
        </w:tc>
        <w:tc>
          <w:tcPr>
            <w:tcW w:type="dxa" w:w="5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Tout Trésorerie+ + option bundle matériel IT, formation de masse, interlocuteur dédié</w:t>
            </w:r>
          </w:p>
        </w:tc>
      </w:tr>
    </w:tbl>
    <w:p>
      <w:pPr>
        <w:spacing w:after="160" w:line="300"/>
      </w:pPr>
      <w:r>
        <w:rPr>
          <w:i/>
          <w:iCs/>
          <w:color w:val="6E6459"/>
          <w:sz w:val="20"/>
          <w:szCs w:val="20"/>
        </w:rPr>
        <w:t xml:space="preserve">Ces montants sont des points de départ à tester, pas des prix figés — ils supposent un ticket moyen que le marché doit valider dans les 3 premiers mois de commercialisation.</w:t>
      </w:r>
    </w:p>
    <w:p>
      <w:pPr>
        <w:pStyle w:val="Heading2"/>
        <w:spacing w:after="140" w:before="320"/>
      </w:pPr>
      <w:r>
        <w:t xml:space="preserve">5.2 Mise en route (onboarding)</w:t>
      </w:r>
    </w:p>
    <w:p>
      <w:pPr>
        <w:pStyle w:val="ListParagraph"/>
        <w:numPr>
          <w:ilvl w:val="0"/>
          <w:numId w:val="2"/>
        </w:numPr>
        <w:spacing w:after="90" w:line="290"/>
      </w:pPr>
      <w:r>
        <w:rPr>
          <w:color w:val="241F1A"/>
          <w:sz w:val="22"/>
          <w:szCs w:val="22"/>
        </w:rPr>
        <w:t xml:space="preserve">Écoles du réseau FEPPECI et partenaires institutionnels : mise en route et formation sur site offertes la première année — coût absorbé par Lambano comme investissement d'acquisition, déjà couvert par l'accord-cadre existant.</w:t>
      </w:r>
    </w:p>
    <w:p>
      <w:pPr>
        <w:pStyle w:val="ListParagraph"/>
        <w:numPr>
          <w:ilvl w:val="0"/>
          <w:numId w:val="2"/>
        </w:numPr>
        <w:spacing w:after="90" w:line="290"/>
      </w:pPr>
      <w:r>
        <w:rPr>
          <w:color w:val="241F1A"/>
          <w:sz w:val="22"/>
          <w:szCs w:val="22"/>
        </w:rPr>
        <w:t xml:space="preserve">Écoles indépendantes hors réseau : forfait de mise en route unique de 35 000 FCFA (formation de l'équipe administrative, migration des données depuis Excel ou registres papier), déductible du premier abonnement annuel en cas de souscription immédiate — pour lever la friction sans le rendre totalement gratuit.</w:t>
      </w:r>
    </w:p>
    <w:p>
      <w:pPr>
        <w:pStyle w:val="Heading2"/>
        <w:spacing w:after="140" w:before="320"/>
      </w:pPr>
      <w:r>
        <w:t xml:space="preserve">5.3 Edukea Solo vs Edukea Équipé</w:t>
      </w:r>
    </w:p>
    <w:p>
      <w:pPr>
        <w:spacing w:after="160" w:line="300"/>
      </w:pPr>
      <w:r>
        <w:rPr>
          <w:color w:val="241F1A"/>
          <w:sz w:val="22"/>
          <w:szCs w:val="22"/>
        </w:rPr>
        <w:t xml:space="preserve">Deux offres commerciales parallèles plutôt qu'une seule, pour ne pas complexifier la vente aux écoles déjà équipées :</w:t>
      </w:r>
    </w:p>
    <w:p>
      <w:pPr>
        <w:pStyle w:val="ListParagraph"/>
        <w:numPr>
          <w:ilvl w:val="0"/>
          <w:numId w:val="2"/>
        </w:numPr>
        <w:spacing w:after="90" w:line="290"/>
      </w:pPr>
      <w:r>
        <w:rPr>
          <w:color w:val="241F1A"/>
          <w:sz w:val="22"/>
          <w:szCs w:val="22"/>
        </w:rPr>
        <w:t xml:space="preserve">Edukea Solo — logiciel seul, pour les établissements qui ont déjà leurs postes informatiques. C'est l'offre par défaut pour la vente directe et le canal ambassadeurs.</w:t>
      </w:r>
    </w:p>
    <w:p>
      <w:pPr>
        <w:pStyle w:val="ListParagraph"/>
        <w:numPr>
          <w:ilvl w:val="0"/>
          <w:numId w:val="2"/>
        </w:numPr>
        <w:spacing w:after="90" w:line="290"/>
      </w:pPr>
      <w:r>
        <w:rPr>
          <w:color w:val="241F1A"/>
          <w:sz w:val="22"/>
          <w:szCs w:val="22"/>
        </w:rPr>
        <w:t xml:space="preserve">Edukea Équipé — logiciel + équipement IT (tablettes, PC, connexion), sur le modèle déjà validé avec la FEPPECI, avec option de préfinancement bancaire. Réservée aux ventes de volume via fédérations et zones sous-équipées, où Lambano agit en intégrateur plutôt qu'en simple éditeur.</w:t>
      </w:r>
    </w:p>
    <w:p>
      <w:pPr>
        <w:pStyle w:val="Heading2"/>
        <w:spacing w:after="140" w:before="320"/>
      </w:pPr>
      <w:r>
        <w:t xml:space="preserve">5.4 Mobile money — modèle de revenu additionnel</w:t>
      </w:r>
    </w:p>
    <w:p>
      <w:pPr>
        <w:spacing w:after="160" w:line="300"/>
      </w:pPr>
      <w:r>
        <w:rPr>
          <w:color w:val="241F1A"/>
          <w:sz w:val="22"/>
          <w:szCs w:val="22"/>
        </w:rPr>
        <w:t xml:space="preserve">En complément de l'abonnement SaaS, une commission de service de 1 % (plafonnée à 500 FCFA par transaction) est prélevée automatiquement sur chaque versement de scolarité effectué via mobile money dans l'application, en plus des frais standards de l'agrégateur de paiement. Réutiliser l'intégration PawaPay déjà opérationnelle sur Tamaticket est le chemin le plus rapide et le moins coûteux à mettre en œuvre.</w:t>
      </w:r>
    </w:p>
    <w:p>
      <w:pPr>
        <w:pStyle w:val="ListParagraph"/>
        <w:numPr>
          <w:ilvl w:val="0"/>
          <w:numId w:val="2"/>
        </w:numPr>
        <w:spacing w:after="90" w:line="290"/>
      </w:pPr>
      <w:r>
        <w:rPr>
          <w:color w:val="241F1A"/>
          <w:sz w:val="22"/>
          <w:szCs w:val="22"/>
        </w:rPr>
        <w:t xml:space="preserve">L'établissement choisit s'il répercute cette commission sur les parents ou l'absorbe — transparence totale affichée dans l'application.</w:t>
      </w:r>
    </w:p>
    <w:p>
      <w:pPr>
        <w:pStyle w:val="ListParagraph"/>
        <w:numPr>
          <w:ilvl w:val="0"/>
          <w:numId w:val="2"/>
        </w:numPr>
        <w:spacing w:after="90" w:line="290"/>
      </w:pPr>
      <w:r>
        <w:rPr>
          <w:color w:val="241F1A"/>
          <w:sz w:val="22"/>
          <w:szCs w:val="22"/>
        </w:rPr>
        <w:t xml:space="preserve">Ce flux devient, à terme, un indicateur de succès plus fiable que le nombre d'écoles signées : il mesure l'usage réel, pas seulement l'adoption nominale.</w:t>
      </w:r>
    </w:p>
    <w:p>
      <w:pPr>
        <w:pStyle w:val="Heading2"/>
        <w:spacing w:after="140" w:before="320"/>
      </w:pPr>
      <w:r>
        <w:t xml:space="preserve">5.5 Projection illustrative de revenus</w:t>
      </w:r>
    </w:p>
    <w:p>
      <w:pPr>
        <w:spacing w:after="160" w:line="300"/>
      </w:pPr>
      <w:r>
        <w:rPr>
          <w:color w:val="241F1A"/>
          <w:sz w:val="22"/>
          <w:szCs w:val="22"/>
        </w:rPr>
        <w:t xml:space="preserve">Hypothèse de travail à valider avec les premiers résultats FEPPECI — effectif moyen de 400 élèves par établissement, mix tarifaire pondéré vers l'offre Essentiel :</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4900"/>
      </w:tblGrid>
      <w:tr>
        <w:trPr>
          <w:tblHeader/>
        </w:trPr>
        <w:tc>
          <w:tcPr>
            <w:tcW w:type="dxa" w:w="2100"/>
            <w:shd w:fill="241F1A" w:val="clear"/>
            <w:tcMar>
              <w:top w:type="dxa" w:w="90"/>
              <w:left w:type="dxa" w:w="110"/>
              <w:bottom w:type="dxa" w:w="90"/>
              <w:right w:type="dxa" w:w="110"/>
            </w:tcMar>
            <w:vAlign w:val="center"/>
          </w:tcPr>
          <w:p>
            <w:pPr>
              <w:jc w:val="left"/>
            </w:pPr>
            <w:r>
              <w:rPr>
                <w:b/>
                <w:bCs/>
                <w:color w:val="FFFFFF"/>
                <w:sz w:val="19"/>
                <w:szCs w:val="19"/>
              </w:rPr>
              <w:t xml:space="preserve">Horizon</w:t>
            </w:r>
          </w:p>
        </w:tc>
        <w:tc>
          <w:tcPr>
            <w:tcW w:type="dxa" w:w="3300"/>
            <w:shd w:fill="241F1A" w:val="clear"/>
            <w:tcMar>
              <w:top w:type="dxa" w:w="90"/>
              <w:left w:type="dxa" w:w="110"/>
              <w:bottom w:type="dxa" w:w="90"/>
              <w:right w:type="dxa" w:w="110"/>
            </w:tcMar>
            <w:vAlign w:val="center"/>
          </w:tcPr>
          <w:p>
            <w:pPr>
              <w:jc w:val="left"/>
            </w:pPr>
            <w:r>
              <w:rPr>
                <w:b/>
                <w:bCs/>
                <w:color w:val="FFFFFF"/>
                <w:sz w:val="19"/>
                <w:szCs w:val="19"/>
              </w:rPr>
              <w:t xml:space="preserve">Écoles actives</w:t>
            </w:r>
          </w:p>
        </w:tc>
        <w:tc>
          <w:tcPr>
            <w:tcW w:type="dxa" w:w="3300"/>
            <w:shd w:fill="241F1A" w:val="clear"/>
            <w:tcMar>
              <w:top w:type="dxa" w:w="90"/>
              <w:left w:type="dxa" w:w="110"/>
              <w:bottom w:type="dxa" w:w="90"/>
              <w:right w:type="dxa" w:w="110"/>
            </w:tcMar>
            <w:vAlign w:val="center"/>
          </w:tcPr>
          <w:p>
            <w:pPr>
              <w:jc w:val="left"/>
            </w:pPr>
            <w:r>
              <w:rPr>
                <w:b/>
                <w:bCs/>
                <w:color w:val="FFFFFF"/>
                <w:sz w:val="19"/>
                <w:szCs w:val="19"/>
              </w:rPr>
              <w:t xml:space="preserve">Revenu SaaS estimé (FCFA/an)</w:t>
            </w:r>
          </w:p>
        </w:tc>
        <w:tc>
          <w:tcPr>
            <w:tcW w:type="dxa" w:w="4900"/>
            <w:shd w:fill="241F1A" w:val="clear"/>
            <w:tcMar>
              <w:top w:type="dxa" w:w="90"/>
              <w:left w:type="dxa" w:w="110"/>
              <w:bottom w:type="dxa" w:w="90"/>
              <w:right w:type="dxa" w:w="110"/>
            </w:tcMar>
            <w:vAlign w:val="center"/>
          </w:tcPr>
          <w:p>
            <w:pPr>
              <w:jc w:val="left"/>
            </w:pPr>
            <w:r>
              <w:rPr>
                <w:b/>
                <w:bCs/>
                <w:color w:val="FFFFFF"/>
                <w:sz w:val="19"/>
                <w:szCs w:val="19"/>
              </w:rPr>
              <w:t xml:space="preserve">Hypothèse</w:t>
            </w:r>
          </w:p>
        </w:tc>
      </w:tr>
      <w:tr>
        <w:tc>
          <w:tcPr>
            <w:tcW w:type="dxa" w:w="21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Année 1</w:t>
            </w:r>
          </w:p>
        </w:tc>
        <w:tc>
          <w:tcPr>
            <w:tcW w:type="dxa" w:w="33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60 écoles (réseau FEPPECI + pilotes)</w:t>
            </w:r>
          </w:p>
        </w:tc>
        <w:tc>
          <w:tcPr>
            <w:tcW w:type="dxa" w:w="33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 7 200 000</w:t>
            </w:r>
          </w:p>
        </w:tc>
        <w:tc>
          <w:tcPr>
            <w:tcW w:type="dxa" w:w="49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Ticket moyen 120 000 FCFA/école, forte proportion en mise en route offerte</w:t>
            </w:r>
          </w:p>
        </w:tc>
      </w:tr>
      <w:tr>
        <w:tc>
          <w:tcPr>
            <w:tcW w:type="dxa" w:w="21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Année 2</w:t>
            </w:r>
          </w:p>
        </w:tc>
        <w:tc>
          <w:tcPr>
            <w:tcW w:type="dxa" w:w="33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300 écoles (Abidjan + 1res régions)</w:t>
            </w:r>
          </w:p>
        </w:tc>
        <w:tc>
          <w:tcPr>
            <w:tcW w:type="dxa" w:w="33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 39 000 000</w:t>
            </w:r>
          </w:p>
        </w:tc>
        <w:tc>
          <w:tcPr>
            <w:tcW w:type="dxa" w:w="49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Ticket moyen 130 000 FCFA/école</w:t>
            </w:r>
          </w:p>
        </w:tc>
      </w:tr>
      <w:tr>
        <w:tc>
          <w:tcPr>
            <w:tcW w:type="dxa" w:w="21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Année 3</w:t>
            </w:r>
          </w:p>
        </w:tc>
        <w:tc>
          <w:tcPr>
            <w:tcW w:type="dxa" w:w="33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900 écoles (couverture nationale élargie)</w:t>
            </w:r>
          </w:p>
        </w:tc>
        <w:tc>
          <w:tcPr>
            <w:tcW w:type="dxa" w:w="33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 126 000 000</w:t>
            </w:r>
          </w:p>
        </w:tc>
        <w:tc>
          <w:tcPr>
            <w:tcW w:type="dxa" w:w="49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Ticket moyen 140 000 FCFA/école, montée en gamme vers Trésorerie+</w:t>
            </w:r>
          </w:p>
        </w:tc>
      </w:tr>
    </w:tbl>
    <w:p>
      <w:pPr>
        <w:spacing w:after="160" w:line="300"/>
      </w:pPr>
      <w:r>
        <w:rPr>
          <w:i/>
          <w:iCs/>
          <w:color w:val="6E6459"/>
          <w:sz w:val="20"/>
          <w:szCs w:val="20"/>
        </w:rPr>
        <w:t xml:space="preserve">Ces chiffres sont un scénario de cadrage, pas une prévision financière engageante — ils doivent être recalibrés dès que les 60 premières écoles FEPPECI fournissent un taux de conversion et un panier moyen réels.</w:t>
      </w:r>
    </w:p>
    <w:p>
      <w:pPr>
        <w:pStyle w:val="Heading1"/>
        <w:pBdr>
          <w:bottom w:val="single" w:color="B85A1F" w:sz="8" w:space="4"/>
        </w:pBdr>
        <w:spacing w:after="200" w:before="480"/>
      </w:pPr>
      <w:r>
        <w:t xml:space="preserve">6. Communication et marketing 360°</w:t>
      </w:r>
    </w:p>
    <w:p>
      <w:pPr>
        <w:pStyle w:val="Heading2"/>
        <w:spacing w:after="140" w:before="320"/>
      </w:pPr>
      <w:r>
        <w:t xml:space="preserve">6.1 Message central</w:t>
      </w:r>
    </w:p>
    <w:p>
      <w:pPr>
        <w:spacing w:after="160" w:line="300"/>
      </w:pPr>
      <w:r>
        <w:rPr>
          <w:color w:val="241F1A"/>
          <w:sz w:val="22"/>
          <w:szCs w:val="22"/>
        </w:rPr>
        <w:t xml:space="preserve">Le fondateur d'école privée ivoirien n'a, la plupart du temps, aucune visibilité en temps réel sur sa trésorerie. Toute la communication part de cette douleur plutôt que de la liste de fonctionnalités.</w:t>
      </w:r>
    </w:p>
    <w:p>
      <w:pPr>
        <w:pStyle w:val="Heading2"/>
        <w:spacing w:after="140" w:before="320"/>
      </w:pPr>
      <w:r>
        <w:t xml:space="preserve">6.2 Les six piliers</w:t>
      </w:r>
    </w:p>
    <w:p>
      <w:pPr>
        <w:pStyle w:val="Heading3"/>
        <w:spacing w:after="100" w:before="220"/>
      </w:pPr>
      <w:r>
        <w:t xml:space="preserve">Digital et réseaux sociaux</w:t>
      </w:r>
    </w:p>
    <w:p>
      <w:pPr>
        <w:spacing w:after="160" w:line="300"/>
      </w:pPr>
      <w:r>
        <w:rPr>
          <w:color w:val="241F1A"/>
          <w:sz w:val="22"/>
          <w:szCs w:val="22"/>
        </w:rPr>
        <w:t xml:space="preserve">Facebook et WhatsApp concentrent l'essentiel des échanges des directeurs et parents d'élèves en Côte d'Ivoire — priorité sur ces canaux plutôt que LinkedIn ou Instagram, réservés au ciblage des DAF de groupes scolaires structurés. Contenus : témoignages vidéo de fondateurs pilotes, démonstrations courtes du dashboard, chiffres avant/après.</w:t>
      </w:r>
    </w:p>
    <w:p>
      <w:pPr>
        <w:pStyle w:val="Heading3"/>
        <w:spacing w:after="100" w:before="220"/>
      </w:pPr>
      <w:r>
        <w:t xml:space="preserve">Terrain et événementiel</w:t>
      </w:r>
    </w:p>
    <w:p>
      <w:pPr>
        <w:spacing w:after="160" w:line="300"/>
      </w:pPr>
      <w:r>
        <w:rPr>
          <w:color w:val="241F1A"/>
          <w:sz w:val="22"/>
          <w:szCs w:val="22"/>
        </w:rPr>
        <w:t xml:space="preserve">Le canal le plus déterminant dans ce secteur — la décision d'achat repose sur la confiance interpersonnelle. Présence aux assemblées générales de fédérations, journées portes ouvertes dans les écoles pilotes, stand à la rentrée scolaire de septembre.</w:t>
      </w:r>
    </w:p>
    <w:p>
      <w:pPr>
        <w:pStyle w:val="Heading3"/>
        <w:spacing w:after="100" w:before="220"/>
      </w:pPr>
      <w:r>
        <w:t xml:space="preserve">Partenariats institutionnels</w:t>
      </w:r>
    </w:p>
    <w:p>
      <w:pPr>
        <w:spacing w:after="160" w:line="300"/>
      </w:pPr>
      <w:r>
        <w:rPr>
          <w:color w:val="241F1A"/>
          <w:sz w:val="22"/>
          <w:szCs w:val="22"/>
        </w:rPr>
        <w:t xml:space="preserve">Au-delà de la FEPPECI : associations de parents d'élèves, réseaux d'écoles confessionnelles (catholiques, protestantes, islamiques), et une conversation exploratoire avec le ministère sur la digitalisation du secteur privé, à des fins de crédibilité autant que de canal.</w:t>
      </w:r>
    </w:p>
    <w:p>
      <w:pPr>
        <w:pStyle w:val="Heading3"/>
        <w:spacing w:after="100" w:before="220"/>
      </w:pPr>
      <w:r>
        <w:t xml:space="preserve">Relations presse et influence</w:t>
      </w:r>
    </w:p>
    <w:p>
      <w:pPr>
        <w:spacing w:after="160" w:line="300"/>
      </w:pPr>
      <w:r>
        <w:rPr>
          <w:color w:val="241F1A"/>
          <w:sz w:val="22"/>
          <w:szCs w:val="22"/>
        </w:rPr>
        <w:t xml:space="preserve">Presse économique ivoirienne pour porter le narratif d'une solution locale qui digitalise l'éducation — utile à la crédibilité commerciale et à d'éventuelles conversations avec des partenaires financiers. Un angle de rentrée scolaire chaque septembre.</w:t>
      </w:r>
    </w:p>
    <w:p>
      <w:pPr>
        <w:pStyle w:val="Heading3"/>
        <w:spacing w:after="100" w:before="220"/>
      </w:pPr>
      <w:r>
        <w:t xml:space="preserve">Preuve et parrainage</w:t>
      </w:r>
    </w:p>
    <w:p>
      <w:pPr>
        <w:spacing w:after="160" w:line="300"/>
      </w:pPr>
      <w:r>
        <w:rPr>
          <w:color w:val="241F1A"/>
          <w:sz w:val="22"/>
          <w:szCs w:val="22"/>
        </w:rPr>
        <w:t xml:space="preserve">Le meilleur commercial d'Edukea est un fondateur satisfait qui recommande à un confrère. Programme de parrainage formalisé (remise ou mois offerts), et étude de cas chiffrée par établissement pilote, réutilisable en argumentaire permanent.</w:t>
      </w:r>
    </w:p>
    <w:p>
      <w:pPr>
        <w:pStyle w:val="Heading3"/>
        <w:spacing w:after="100" w:before="220"/>
      </w:pPr>
      <w:r>
        <w:t xml:space="preserve">Communication de marque groupe</w:t>
      </w:r>
    </w:p>
    <w:p>
      <w:pPr>
        <w:spacing w:after="160" w:line="300"/>
      </w:pPr>
      <w:r>
        <w:rPr>
          <w:color w:val="241F1A"/>
          <w:sz w:val="22"/>
          <w:szCs w:val="22"/>
        </w:rPr>
        <w:t xml:space="preserve">Les équipes Lambano (Tamaticket, événementiel gospel, digital) doivent porter le même narratif de marque — la crédibilité déjà construite par Lambano sert de caution à Edukea plutôt que de partir d'une notoriété nulle.</w:t>
      </w:r>
    </w:p>
    <w:p>
      <w:pPr>
        <w:pStyle w:val="Heading2"/>
        <w:spacing w:after="140" w:before="320"/>
      </w:pPr>
      <w:r>
        <w:t xml:space="preserve">6.3 Calendrier indicatif</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400"/>
        <w:gridCol w:w="8700"/>
      </w:tblGrid>
      <w:tr>
        <w:trPr>
          <w:tblHeader/>
        </w:trPr>
        <w:tc>
          <w:tcPr>
            <w:tcW w:type="dxa" w:w="2400"/>
            <w:shd w:fill="241F1A" w:val="clear"/>
            <w:tcMar>
              <w:top w:type="dxa" w:w="90"/>
              <w:left w:type="dxa" w:w="110"/>
              <w:bottom w:type="dxa" w:w="90"/>
              <w:right w:type="dxa" w:w="110"/>
            </w:tcMar>
            <w:vAlign w:val="center"/>
          </w:tcPr>
          <w:p>
            <w:pPr>
              <w:jc w:val="left"/>
            </w:pPr>
            <w:r>
              <w:rPr>
                <w:b/>
                <w:bCs/>
                <w:color w:val="FFFFFF"/>
                <w:sz w:val="19"/>
                <w:szCs w:val="19"/>
              </w:rPr>
              <w:t xml:space="preserve">Période</w:t>
            </w:r>
          </w:p>
        </w:tc>
        <w:tc>
          <w:tcPr>
            <w:tcW w:type="dxa" w:w="8700"/>
            <w:shd w:fill="241F1A" w:val="clear"/>
            <w:tcMar>
              <w:top w:type="dxa" w:w="90"/>
              <w:left w:type="dxa" w:w="110"/>
              <w:bottom w:type="dxa" w:w="90"/>
              <w:right w:type="dxa" w:w="110"/>
            </w:tcMar>
            <w:vAlign w:val="center"/>
          </w:tcPr>
          <w:p>
            <w:pPr>
              <w:jc w:val="left"/>
            </w:pPr>
            <w:r>
              <w:rPr>
                <w:b/>
                <w:bCs/>
                <w:color w:val="FFFFFF"/>
                <w:sz w:val="19"/>
                <w:szCs w:val="19"/>
              </w:rPr>
              <w:t xml:space="preserve">Priorité communication</w:t>
            </w:r>
          </w:p>
        </w:tc>
      </w:tr>
      <w:tr>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Mois 0-2</w:t>
            </w:r>
          </w:p>
        </w:tc>
        <w:tc>
          <w:tcPr>
            <w:tcW w:type="dxa" w:w="87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Production des supports (vidéos témoignages FEPPECI, argumentaire, captures produit)</w:t>
            </w:r>
          </w:p>
        </w:tc>
      </w:tr>
      <w:tr>
        <w:tc>
          <w:tcPr>
            <w:tcW w:type="dxa" w:w="2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Mois 2-4</w:t>
            </w:r>
          </w:p>
        </w:tc>
        <w:tc>
          <w:tcPr>
            <w:tcW w:type="dxa" w:w="87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Lancement digital ciblé + premières relations presse</w:t>
            </w:r>
          </w:p>
        </w:tc>
      </w:tr>
      <w:tr>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Mois 4-6</w:t>
            </w:r>
          </w:p>
        </w:tc>
        <w:tc>
          <w:tcPr>
            <w:tcW w:type="dxa" w:w="87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Présence terrain aux AG de fédérations, premiers cas d'usage chiffrés publiés</w:t>
            </w:r>
          </w:p>
        </w:tc>
      </w:tr>
      <w:tr>
        <w:tc>
          <w:tcPr>
            <w:tcW w:type="dxa" w:w="24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Mois 6-9</w:t>
            </w:r>
          </w:p>
        </w:tc>
        <w:tc>
          <w:tcPr>
            <w:tcW w:type="dxa" w:w="87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Campagne rentrée scolaire (septembre) — pic d'investissement terrain et digital</w:t>
            </w:r>
          </w:p>
        </w:tc>
      </w:tr>
      <w:tr>
        <w:tc>
          <w:tcPr>
            <w:tcW w:type="dxa" w:w="24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Mois 9-12</w:t>
            </w:r>
          </w:p>
        </w:tc>
        <w:tc>
          <w:tcPr>
            <w:tcW w:type="dxa" w:w="87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Programme de parrainage actif, extension régionale des relations presse</w:t>
            </w:r>
          </w:p>
        </w:tc>
      </w:tr>
    </w:tbl>
    <w:p>
      <w:pPr>
        <w:pStyle w:val="Heading2"/>
        <w:spacing w:after="140" w:before="320"/>
      </w:pPr>
      <w:r>
        <w:t xml:space="preserve">6.4 Budget prévisionnel annuel</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4500"/>
        <w:gridCol w:w="6600"/>
      </w:tblGrid>
      <w:tr>
        <w:trPr>
          <w:tblHeader/>
        </w:trPr>
        <w:tc>
          <w:tcPr>
            <w:tcW w:type="dxa" w:w="4500"/>
            <w:shd w:fill="241F1A" w:val="clear"/>
            <w:tcMar>
              <w:top w:type="dxa" w:w="90"/>
              <w:left w:type="dxa" w:w="110"/>
              <w:bottom w:type="dxa" w:w="90"/>
              <w:right w:type="dxa" w:w="110"/>
            </w:tcMar>
            <w:vAlign w:val="center"/>
          </w:tcPr>
          <w:p>
            <w:pPr>
              <w:jc w:val="left"/>
            </w:pPr>
            <w:r>
              <w:rPr>
                <w:b/>
                <w:bCs/>
                <w:color w:val="FFFFFF"/>
                <w:sz w:val="19"/>
                <w:szCs w:val="19"/>
              </w:rPr>
              <w:t xml:space="preserve">Poste</w:t>
            </w:r>
          </w:p>
        </w:tc>
        <w:tc>
          <w:tcPr>
            <w:tcW w:type="dxa" w:w="6600"/>
            <w:shd w:fill="241F1A" w:val="clear"/>
            <w:tcMar>
              <w:top w:type="dxa" w:w="90"/>
              <w:left w:type="dxa" w:w="110"/>
              <w:bottom w:type="dxa" w:w="90"/>
              <w:right w:type="dxa" w:w="110"/>
            </w:tcMar>
            <w:vAlign w:val="center"/>
          </w:tcPr>
          <w:p>
            <w:pPr>
              <w:jc w:val="left"/>
            </w:pPr>
            <w:r>
              <w:rPr>
                <w:b/>
                <w:bCs/>
                <w:color w:val="FFFFFF"/>
                <w:sz w:val="19"/>
                <w:szCs w:val="19"/>
              </w:rPr>
              <w:t xml:space="preserve">Fourchette (FCFA/an)</w:t>
            </w:r>
          </w:p>
        </w:tc>
      </w:tr>
      <w:tr>
        <w:tc>
          <w:tcPr>
            <w:tcW w:type="dxa" w:w="45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Production de contenu (vidéos, visuels)</w:t>
            </w:r>
          </w:p>
        </w:tc>
        <w:tc>
          <w:tcPr>
            <w:tcW w:type="dxa" w:w="66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3 000 000 – 6 000 000</w:t>
            </w:r>
          </w:p>
        </w:tc>
      </w:tr>
      <w:tr>
        <w:tc>
          <w:tcPr>
            <w:tcW w:type="dxa" w:w="45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Réseaux sociaux (Facebook / WhatsApp Business)</w:t>
            </w:r>
          </w:p>
        </w:tc>
        <w:tc>
          <w:tcPr>
            <w:tcW w:type="dxa" w:w="66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6 000 000 – 12 000 000</w:t>
            </w:r>
          </w:p>
        </w:tc>
      </w:tr>
      <w:tr>
        <w:tc>
          <w:tcPr>
            <w:tcW w:type="dxa" w:w="45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Événementiel et présence terrain</w:t>
            </w:r>
          </w:p>
        </w:tc>
        <w:tc>
          <w:tcPr>
            <w:tcW w:type="dxa" w:w="66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8 000 000 – 15 000 000</w:t>
            </w:r>
          </w:p>
        </w:tc>
      </w:tr>
      <w:tr>
        <w:tc>
          <w:tcPr>
            <w:tcW w:type="dxa" w:w="45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Relations presse</w:t>
            </w:r>
          </w:p>
        </w:tc>
        <w:tc>
          <w:tcPr>
            <w:tcW w:type="dxa" w:w="66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2 000 000 – 4 000 000</w:t>
            </w:r>
          </w:p>
        </w:tc>
      </w:tr>
      <w:tr>
        <w:tc>
          <w:tcPr>
            <w:tcW w:type="dxa" w:w="45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Ambassadeurs régionaux (commissions)</w:t>
            </w:r>
          </w:p>
        </w:tc>
        <w:tc>
          <w:tcPr>
            <w:tcW w:type="dxa" w:w="66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Variable selon volume vendu</w:t>
            </w:r>
          </w:p>
        </w:tc>
      </w:tr>
    </w:tbl>
    <w:p>
      <w:pPr>
        <w:pStyle w:val="Heading1"/>
        <w:pBdr>
          <w:bottom w:val="single" w:color="B85A1F" w:sz="8" w:space="4"/>
        </w:pBdr>
        <w:spacing w:after="200" w:before="480"/>
      </w:pPr>
      <w:r>
        <w:t xml:space="preserve">7. Indicateurs de pilotage</w:t>
      </w:r>
    </w:p>
    <w:p>
      <w:pPr>
        <w:pStyle w:val="ListParagraph"/>
        <w:numPr>
          <w:ilvl w:val="0"/>
          <w:numId w:val="2"/>
        </w:numPr>
        <w:spacing w:after="90" w:line="290"/>
      </w:pPr>
      <w:r>
        <w:rPr>
          <w:color w:val="241F1A"/>
          <w:sz w:val="22"/>
          <w:szCs w:val="22"/>
        </w:rPr>
        <w:t xml:space="preserve">Nombre d'écoles signées par phase, par rapport à l'objectif de phase</w:t>
      </w:r>
    </w:p>
    <w:p>
      <w:pPr>
        <w:pStyle w:val="ListParagraph"/>
        <w:numPr>
          <w:ilvl w:val="0"/>
          <w:numId w:val="2"/>
        </w:numPr>
        <w:spacing w:after="90" w:line="290"/>
      </w:pPr>
      <w:r>
        <w:rPr>
          <w:color w:val="241F1A"/>
          <w:sz w:val="22"/>
          <w:szCs w:val="22"/>
        </w:rPr>
        <w:t xml:space="preserve">Taux de conversion démonstration → contrat signé</w:t>
      </w:r>
    </w:p>
    <w:p>
      <w:pPr>
        <w:pStyle w:val="ListParagraph"/>
        <w:numPr>
          <w:ilvl w:val="0"/>
          <w:numId w:val="2"/>
        </w:numPr>
        <w:spacing w:after="90" w:line="290"/>
      </w:pPr>
      <w:r>
        <w:rPr>
          <w:color w:val="241F1A"/>
          <w:sz w:val="22"/>
          <w:szCs w:val="22"/>
        </w:rPr>
        <w:t xml:space="preserve">Taux de rétention à 12 mois par cohorte d'écoles</w:t>
      </w:r>
    </w:p>
    <w:p>
      <w:pPr>
        <w:pStyle w:val="ListParagraph"/>
        <w:numPr>
          <w:ilvl w:val="0"/>
          <w:numId w:val="2"/>
        </w:numPr>
        <w:spacing w:after="90" w:line="290"/>
      </w:pPr>
      <w:r>
        <w:rPr>
          <w:color w:val="241F1A"/>
          <w:sz w:val="22"/>
          <w:szCs w:val="22"/>
        </w:rPr>
        <w:t xml:space="preserve">Volume FCFA transitant par mobile money sur la plateforme — indicateur d'usage réel, pas seulement d'adoption nominale</w:t>
      </w:r>
    </w:p>
    <w:p>
      <w:pPr>
        <w:pStyle w:val="ListParagraph"/>
        <w:numPr>
          <w:ilvl w:val="0"/>
          <w:numId w:val="2"/>
        </w:numPr>
        <w:spacing w:after="90" w:line="290"/>
      </w:pPr>
      <w:r>
        <w:rPr>
          <w:color w:val="241F1A"/>
          <w:sz w:val="22"/>
          <w:szCs w:val="22"/>
        </w:rPr>
        <w:t xml:space="preserve">Score de recommandation (NPS) des fondateurs d'écoles pilotes</w:t>
      </w:r>
    </w:p>
    <w:p>
      <w:pPr>
        <w:pStyle w:val="Heading1"/>
        <w:pBdr>
          <w:bottom w:val="single" w:color="B85A1F" w:sz="8" w:space="4"/>
        </w:pBdr>
        <w:spacing w:after="200" w:before="480"/>
      </w:pPr>
      <w:r>
        <w:t xml:space="preserve">8. Risques et mitigation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4900"/>
      </w:tblGrid>
      <w:tr>
        <w:trPr>
          <w:tblHeader/>
        </w:trPr>
        <w:tc>
          <w:tcPr>
            <w:tcW w:type="dxa" w:w="4200"/>
            <w:shd w:fill="241F1A" w:val="clear"/>
            <w:tcMar>
              <w:top w:type="dxa" w:w="90"/>
              <w:left w:type="dxa" w:w="110"/>
              <w:bottom w:type="dxa" w:w="90"/>
              <w:right w:type="dxa" w:w="110"/>
            </w:tcMar>
            <w:vAlign w:val="center"/>
          </w:tcPr>
          <w:p>
            <w:pPr>
              <w:jc w:val="left"/>
            </w:pPr>
            <w:r>
              <w:rPr>
                <w:b/>
                <w:bCs/>
                <w:color w:val="FFFFFF"/>
                <w:sz w:val="19"/>
                <w:szCs w:val="19"/>
              </w:rPr>
              <w:t xml:space="preserve">Risque</w:t>
            </w:r>
          </w:p>
        </w:tc>
        <w:tc>
          <w:tcPr>
            <w:tcW w:type="dxa" w:w="4900"/>
            <w:shd w:fill="241F1A" w:val="clear"/>
            <w:tcMar>
              <w:top w:type="dxa" w:w="90"/>
              <w:left w:type="dxa" w:w="110"/>
              <w:bottom w:type="dxa" w:w="90"/>
              <w:right w:type="dxa" w:w="110"/>
            </w:tcMar>
            <w:vAlign w:val="center"/>
          </w:tcPr>
          <w:p>
            <w:pPr>
              <w:jc w:val="left"/>
            </w:pPr>
            <w:r>
              <w:rPr>
                <w:b/>
                <w:bCs/>
                <w:color w:val="FFFFFF"/>
                <w:sz w:val="19"/>
                <w:szCs w:val="19"/>
              </w:rPr>
              <w:t xml:space="preserve">Mitigation</w:t>
            </w:r>
          </w:p>
        </w:tc>
      </w:tr>
      <w:tr>
        <w:tc>
          <w:tcPr>
            <w:tcW w:type="dxa" w:w="42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Dépendance excessive au canal FEPPECI</w:t>
            </w:r>
          </w:p>
        </w:tc>
        <w:tc>
          <w:tcPr>
            <w:tcW w:type="dxa" w:w="49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Diversifier vers 2-3 fédérations dès la phase 1, ne pas attendre la phase 2</w:t>
            </w:r>
          </w:p>
        </w:tc>
      </w:tr>
      <w:tr>
        <w:tc>
          <w:tcPr>
            <w:tcW w:type="dxa" w:w="42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Résistance au paiement d'un abonnement logiciel dans des écoles aux marges serrées</w:t>
            </w:r>
          </w:p>
        </w:tc>
        <w:tc>
          <w:tcPr>
            <w:tcW w:type="dxa" w:w="49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Palier gratuit comme porte d'entrée, preuve chiffrée du ROI avant toute demande de paiement</w:t>
            </w:r>
          </w:p>
        </w:tc>
      </w:tr>
      <w:tr>
        <w:tc>
          <w:tcPr>
            <w:tcW w:type="dxa" w:w="42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Fiabilité des paiements mobile money en zone rurale (couverture réseau)</w:t>
            </w:r>
          </w:p>
        </w:tc>
        <w:tc>
          <w:tcPr>
            <w:tcW w:type="dxa" w:w="4900"/>
            <w:shd w:fill="FFFFFF" w:val="clear"/>
            <w:tcMar>
              <w:top w:type="dxa" w:w="90"/>
              <w:left w:type="dxa" w:w="110"/>
              <w:bottom w:type="dxa" w:w="90"/>
              <w:right w:type="dxa" w:w="110"/>
            </w:tcMar>
            <w:vAlign w:val="center"/>
          </w:tcPr>
          <w:p>
            <w:pPr>
              <w:jc w:val="left"/>
            </w:pPr>
            <w:r>
              <w:rPr>
                <w:b w:val="false"/>
                <w:bCs w:val="false"/>
                <w:color w:val="241F1A"/>
                <w:sz w:val="20"/>
                <w:szCs w:val="20"/>
              </w:rPr>
              <w:t xml:space="preserve">Maintenir les modes de versement espèces et virement en parallèle, ne jamais rendre le mobile money obligatoire</w:t>
            </w:r>
          </w:p>
        </w:tc>
      </w:tr>
      <w:tr>
        <w:tc>
          <w:tcPr>
            <w:tcW w:type="dxa" w:w="42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Capacité opérationnelle de support à l'échelle nationale</w:t>
            </w:r>
          </w:p>
        </w:tc>
        <w:tc>
          <w:tcPr>
            <w:tcW w:type="dxa" w:w="4900"/>
            <w:shd w:fill="FAF3EA" w:val="clear"/>
            <w:tcMar>
              <w:top w:type="dxa" w:w="90"/>
              <w:left w:type="dxa" w:w="110"/>
              <w:bottom w:type="dxa" w:w="90"/>
              <w:right w:type="dxa" w:w="110"/>
            </w:tcMar>
            <w:vAlign w:val="center"/>
          </w:tcPr>
          <w:p>
            <w:pPr>
              <w:jc w:val="left"/>
            </w:pPr>
            <w:r>
              <w:rPr>
                <w:b w:val="false"/>
                <w:bCs w:val="false"/>
                <w:color w:val="241F1A"/>
                <w:sz w:val="20"/>
                <w:szCs w:val="20"/>
              </w:rPr>
              <w:t xml:space="preserve">Modèle d'ambassadeurs régionaux formés plutôt que centralisation du support à Abidjan</w:t>
            </w:r>
          </w:p>
        </w:tc>
      </w:tr>
    </w:tbl>
    <w:p>
      <w:pPr>
        <w:pStyle w:val="Heading1"/>
        <w:pBdr>
          <w:bottom w:val="single" w:color="B85A1F" w:sz="8" w:space="4"/>
        </w:pBdr>
        <w:spacing w:after="200" w:before="480"/>
      </w:pPr>
      <w:r>
        <w:t xml:space="preserve">9. Prochaines étapes — 30 jours</w:t>
      </w:r>
    </w:p>
    <w:p>
      <w:pPr>
        <w:pStyle w:val="ListParagraph"/>
        <w:numPr>
          <w:ilvl w:val="0"/>
          <w:numId w:val="2"/>
        </w:numPr>
        <w:spacing w:after="90" w:line="290"/>
      </w:pPr>
      <w:r>
        <w:rPr>
          <w:color w:val="241F1A"/>
          <w:sz w:val="22"/>
          <w:szCs w:val="22"/>
        </w:rPr>
        <w:t xml:space="preserve">Valider la grille tarifaire section 5.1 avec un échantillon de 5 à 10 fondateurs d'écoles du réseau FEPPECI</w:t>
      </w:r>
    </w:p>
    <w:p>
      <w:pPr>
        <w:pStyle w:val="ListParagraph"/>
        <w:numPr>
          <w:ilvl w:val="0"/>
          <w:numId w:val="2"/>
        </w:numPr>
        <w:spacing w:after="90" w:line="290"/>
      </w:pPr>
      <w:r>
        <w:rPr>
          <w:color w:val="241F1A"/>
          <w:sz w:val="22"/>
          <w:szCs w:val="22"/>
        </w:rPr>
        <w:t xml:space="preserve">Finaliser et tester l'intégration mobile money (réutilisation PawaPay) sur 2 établissements pilotes</w:t>
      </w:r>
    </w:p>
    <w:p>
      <w:pPr>
        <w:pStyle w:val="ListParagraph"/>
        <w:numPr>
          <w:ilvl w:val="0"/>
          <w:numId w:val="2"/>
        </w:numPr>
        <w:spacing w:after="90" w:line="290"/>
      </w:pPr>
      <w:r>
        <w:rPr>
          <w:color w:val="241F1A"/>
          <w:sz w:val="22"/>
          <w:szCs w:val="22"/>
        </w:rPr>
        <w:t xml:space="preserve">Produire les premiers supports de preuve : captures et vidéo de démonstration du dashboard trésorerie</w:t>
      </w:r>
    </w:p>
    <w:p>
      <w:pPr>
        <w:pStyle w:val="ListParagraph"/>
        <w:numPr>
          <w:ilvl w:val="0"/>
          <w:numId w:val="2"/>
        </w:numPr>
        <w:spacing w:after="90" w:line="290"/>
      </w:pPr>
      <w:r>
        <w:rPr>
          <w:color w:val="241F1A"/>
          <w:sz w:val="22"/>
          <w:szCs w:val="22"/>
        </w:rPr>
        <w:t xml:space="preserve">Cadrer le programme de parrainage et le contrat-type de l'offre Edukea Équipé</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color w:val="241F1A"/>
      <w:sz w:val="32"/>
      <w:szCs w:val="32"/>
    </w:rPr>
  </w:style>
  <w:style w:type="paragraph" w:styleId="Heading2">
    <w:name w:val="Heading 2"/>
    <w:basedOn w:val="Normal"/>
    <w:next w:val="Normal"/>
    <w:qFormat/>
    <w:pPr>
      <w:spacing w:after="140" w:before="300"/>
    </w:pPr>
    <w:rPr>
      <w:rFonts w:ascii="Georgia" w:cs="Georgia" w:eastAsia="Georgia" w:hAnsi="Georgia"/>
      <w:b/>
      <w:bCs/>
      <w:color w:val="B85A1F"/>
      <w:sz w:val="26"/>
      <w:szCs w:val="26"/>
    </w:rPr>
  </w:style>
  <w:style w:type="paragraph" w:styleId="Heading3">
    <w:name w:val="Heading 3"/>
    <w:basedOn w:val="Normal"/>
    <w:next w:val="Normal"/>
    <w:qFormat/>
    <w:pPr>
      <w:spacing w:after="100" w:before="200"/>
    </w:pPr>
    <w:rPr>
      <w:rFonts w:ascii="Calibri" w:cs="Calibri" w:eastAsia="Calibri" w:hAnsi="Calibri"/>
      <w:b/>
      <w:bCs/>
      <w:color w:val="1F5C4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2026-07-17T23:54:26.999Z</dcterms:created>
  <dcterms:modified xsi:type="dcterms:W3CDTF">2026-07-17T23:54:27.015Z</dcterms:modified>
</cp:coreProperties>
</file>

<file path=docProps/custom.xml><?xml version="1.0" encoding="utf-8"?>
<Properties xmlns="http://schemas.openxmlformats.org/officeDocument/2006/custom-properties" xmlns:vt="http://schemas.openxmlformats.org/officeDocument/2006/docPropsVTypes"/>
</file>