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ectPr>
          <w:pgSz w:w="11909" w:h="16834"/>
          <w:pgMar w:top="1440" w:bottom="1440" w:left="1701" w:right="851"/>
        </w:sectPr>
      </w:pPr>
      <w:r>
        <w:t>First section</w:t>
      </w:r>
    </w:p>
    <w:p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175000" cy="698500"/>
            <wp:wrapNone/>
            <wp:docPr id="1" name="Synthetic stamp"/>
            <a:graphic>
              <a:graphicData uri="http://schemas.openxmlformats.org/drawingml/2006/picture">
                <pic:pic>
                  <pic:nvPicPr>
                    <pic:cNvPr id="1" name="stamp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Second section</w:t>
      </w:r>
    </w:p>
    <w:sectPr>
      <w:type w:val="continuous"/>
      <w:pgSz w:w="11909" w:h="16834"/>
      <w:pgMar w:top="1440" w:bottom="1440" w:left="1701" w:right="85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Image" Type="http://schemas.openxmlformats.org/officeDocument/2006/relationships/image" Target="media/stamp.png"/><Relationship Id="rIdSettings" Type="http://schemas.openxmlformats.org/officeDocument/2006/relationships/settings" Target="settings.xml"/></Relationships>
</file>