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>
  <w:body>
    <w:p>
      <w:pPr>
        <w:pStyle w:val="style0"/>
        <w:jc w:val="right"/>
      </w:pPr>
      <w:r>
        <w:rPr>
          <w:rFonts w:cs="Tahoma"/>
          <w:position w:val="0"/>
          <w:sz w:val="24"/>
          <w:sz w:val="26"/>
          <w:vertAlign w:val="baseline"/>
        </w:rPr>
        <w:t>Szumowo, dn. 01.04.2016 r.</w:t>
      </w:r>
    </w:p>
    <w:p>
      <w:pPr>
        <w:pStyle w:val="style0"/>
        <w:jc w:val="right"/>
      </w:pPr>
      <w:r>
        <w:rPr>
          <w:rFonts w:cs="Tahoma"/>
          <w:sz w:val="26"/>
        </w:rPr>
      </w:r>
    </w:p>
    <w:p>
      <w:pPr>
        <w:pStyle w:val="style0"/>
        <w:jc w:val="right"/>
      </w:pPr>
      <w:r>
        <w:rPr>
          <w:rFonts w:cs="Tahoma"/>
          <w:sz w:val="26"/>
        </w:rPr>
      </w:r>
    </w:p>
    <w:p>
      <w:pPr>
        <w:pStyle w:val="style0"/>
        <w:jc w:val="right"/>
      </w:pPr>
      <w:r>
        <w:rPr>
          <w:rFonts w:cs="Tahoma"/>
          <w:sz w:val="26"/>
        </w:rPr>
      </w:r>
    </w:p>
    <w:p>
      <w:pPr>
        <w:pStyle w:val="style0"/>
      </w:pPr>
      <w:r>
        <w:rPr>
          <w:rFonts w:cs="Tahoma"/>
          <w:b/>
          <w:sz w:val="28"/>
        </w:rPr>
      </w:r>
    </w:p>
    <w:p>
      <w:pPr>
        <w:pStyle w:val="style0"/>
      </w:pPr>
      <w:r>
        <w:rPr>
          <w:rFonts w:cs="Tahoma"/>
          <w:b/>
          <w:sz w:val="44"/>
        </w:rPr>
      </w:r>
    </w:p>
    <w:p>
      <w:pPr>
        <w:pStyle w:val="style0"/>
      </w:pPr>
      <w:r>
        <w:rPr>
          <w:rFonts w:cs="Tahoma"/>
          <w:b/>
          <w:sz w:val="44"/>
        </w:rPr>
      </w:r>
    </w:p>
    <w:p>
      <w:pPr>
        <w:pStyle w:val="style0"/>
      </w:pPr>
      <w:r>
        <w:rPr>
          <w:rFonts w:cs="Tahoma"/>
          <w:b/>
          <w:sz w:val="44"/>
        </w:rPr>
      </w:r>
    </w:p>
    <w:p>
      <w:pPr>
        <w:pStyle w:val="style0"/>
      </w:pPr>
      <w:r>
        <w:rPr>
          <w:rFonts w:cs="Tahoma"/>
          <w:b/>
          <w:sz w:val="44"/>
        </w:rPr>
      </w:r>
    </w:p>
    <w:p>
      <w:pPr>
        <w:pStyle w:val="style0"/>
      </w:pPr>
      <w:r>
        <w:rPr>
          <w:rFonts w:cs="Tahoma"/>
          <w:b/>
          <w:sz w:val="56"/>
        </w:rPr>
      </w:r>
    </w:p>
    <w:p>
      <w:pPr>
        <w:pStyle w:val="style0"/>
        <w:jc w:val="center"/>
      </w:pPr>
      <w:r>
        <w:rPr>
          <w:rFonts w:cs="Tahoma"/>
          <w:b/>
          <w:sz w:val="56"/>
        </w:rPr>
        <w:t xml:space="preserve">SPECYFIKACJA  ISTOTNYCH </w:t>
      </w:r>
    </w:p>
    <w:p>
      <w:pPr>
        <w:pStyle w:val="style0"/>
      </w:pPr>
      <w:r>
        <w:rPr>
          <w:rFonts w:cs="Tahoma"/>
          <w:b/>
          <w:sz w:val="56"/>
        </w:rPr>
      </w:r>
    </w:p>
    <w:p>
      <w:pPr>
        <w:pStyle w:val="style0"/>
        <w:jc w:val="center"/>
      </w:pPr>
      <w:r>
        <w:rPr>
          <w:rFonts w:cs="Tahoma"/>
          <w:b/>
          <w:sz w:val="56"/>
        </w:rPr>
        <w:t>WARUNKÓW  ZAMÓWIENIA</w:t>
      </w:r>
    </w:p>
    <w:p>
      <w:pPr>
        <w:pStyle w:val="style0"/>
        <w:jc w:val="center"/>
      </w:pPr>
      <w:r>
        <w:rPr>
          <w:rFonts w:cs="Tahoma"/>
          <w:b/>
          <w:sz w:val="56"/>
        </w:rPr>
      </w:r>
    </w:p>
    <w:p>
      <w:pPr>
        <w:pStyle w:val="style0"/>
        <w:jc w:val="center"/>
      </w:pPr>
      <w:r>
        <w:rPr>
          <w:rFonts w:cs="Tahoma"/>
          <w:b/>
          <w:sz w:val="28"/>
          <w:szCs w:val="28"/>
        </w:rPr>
        <w:t xml:space="preserve">NA WYKONANIE ROBÓT BUDOWLANYCH </w:t>
      </w:r>
    </w:p>
    <w:p>
      <w:pPr>
        <w:pStyle w:val="style0"/>
        <w:jc w:val="center"/>
      </w:pPr>
      <w:r>
        <w:rPr>
          <w:rFonts w:cs="Tahoma"/>
          <w:b/>
          <w:sz w:val="56"/>
        </w:rPr>
      </w:r>
    </w:p>
    <w:p>
      <w:pPr>
        <w:pStyle w:val="style0"/>
        <w:jc w:val="center"/>
      </w:pPr>
      <w:r>
        <w:rPr>
          <w:rFonts w:cs="Tahoma"/>
          <w:sz w:val="26"/>
          <w:szCs w:val="26"/>
        </w:rPr>
      </w:r>
    </w:p>
    <w:p>
      <w:pPr>
        <w:pStyle w:val="style0"/>
        <w:jc w:val="center"/>
      </w:pPr>
      <w:r>
        <w:rPr>
          <w:rFonts w:cs="Tahoma"/>
          <w:b/>
          <w:bCs/>
          <w:sz w:val="26"/>
          <w:szCs w:val="26"/>
          <w:u w:val="single"/>
        </w:rPr>
        <w:t>Wykonanie termomodernizacji budynku Urzędu Gminy Szumowo oraz remont świetlicy wiejskiej w Radwanach - Zaorze.</w:t>
      </w:r>
    </w:p>
    <w:p>
      <w:pPr>
        <w:pStyle w:val="style0"/>
        <w:jc w:val="center"/>
      </w:pPr>
      <w:r>
        <w:rPr>
          <w:rFonts w:cs="Tahoma"/>
          <w:b/>
          <w:bCs/>
          <w:sz w:val="26"/>
          <w:szCs w:val="26"/>
        </w:rPr>
      </w:r>
    </w:p>
    <w:p>
      <w:pPr>
        <w:pStyle w:val="style0"/>
        <w:jc w:val="center"/>
      </w:pPr>
      <w:r>
        <w:rPr>
          <w:rFonts w:cs="Tahoma"/>
          <w:b/>
          <w:bCs/>
          <w:sz w:val="56"/>
        </w:rPr>
      </w:r>
    </w:p>
    <w:p>
      <w:pPr>
        <w:pStyle w:val="style0"/>
        <w:jc w:val="center"/>
      </w:pPr>
      <w:r>
        <w:rPr>
          <w:rFonts w:cs="Tahoma"/>
          <w:b/>
          <w:sz w:val="56"/>
        </w:rPr>
      </w:r>
    </w:p>
    <w:p>
      <w:pPr>
        <w:pStyle w:val="style0"/>
        <w:jc w:val="center"/>
      </w:pPr>
      <w:r>
        <w:rPr>
          <w:rFonts w:cs="Tahoma"/>
          <w:b/>
          <w:sz w:val="56"/>
        </w:rPr>
      </w:r>
    </w:p>
    <w:p>
      <w:pPr>
        <w:pStyle w:val="style0"/>
        <w:jc w:val="center"/>
      </w:pPr>
      <w:r>
        <w:rPr>
          <w:rFonts w:cs="Tahoma"/>
          <w:b/>
          <w:sz w:val="56"/>
        </w:rPr>
      </w:r>
    </w:p>
    <w:p>
      <w:pPr>
        <w:pStyle w:val="style0"/>
        <w:jc w:val="right"/>
      </w:pPr>
      <w:r>
        <w:rPr>
          <w:rFonts w:cs="Tahoma"/>
          <w:sz w:val="26"/>
        </w:rPr>
        <w:t>Zatwierdził: ..............................................</w:t>
      </w:r>
    </w:p>
    <w:p>
      <w:pPr>
        <w:pStyle w:val="style0"/>
        <w:jc w:val="right"/>
      </w:pPr>
      <w:r>
        <w:rPr>
          <w:rFonts w:cs="Tahoma"/>
          <w:sz w:val="26"/>
        </w:rPr>
      </w:r>
    </w:p>
    <w:p>
      <w:pPr>
        <w:pStyle w:val="style0"/>
        <w:jc w:val="right"/>
      </w:pPr>
      <w:r>
        <w:rPr>
          <w:rFonts w:cs="Tahoma"/>
          <w:sz w:val="26"/>
        </w:rPr>
      </w:r>
    </w:p>
    <w:p>
      <w:pPr>
        <w:pStyle w:val="style0"/>
        <w:jc w:val="right"/>
      </w:pPr>
      <w:r>
        <w:rPr>
          <w:rFonts w:cs="Tahoma"/>
          <w:sz w:val="26"/>
        </w:rPr>
      </w:r>
    </w:p>
    <w:p>
      <w:pPr>
        <w:pStyle w:val="style0"/>
        <w:jc w:val="right"/>
      </w:pPr>
      <w:r>
        <w:rPr>
          <w:rFonts w:cs="Tahoma"/>
          <w:sz w:val="26"/>
        </w:rPr>
      </w:r>
    </w:p>
    <w:p>
      <w:pPr>
        <w:pStyle w:val="style0"/>
        <w:jc w:val="right"/>
      </w:pPr>
      <w:r>
        <w:rPr>
          <w:rFonts w:cs="Tahoma"/>
          <w:sz w:val="26"/>
        </w:rPr>
      </w:r>
    </w:p>
    <w:p>
      <w:pPr>
        <w:pStyle w:val="style0"/>
        <w:jc w:val="right"/>
      </w:pPr>
      <w:r>
        <w:rPr>
          <w:rFonts w:cs="Tahoma"/>
          <w:sz w:val="26"/>
        </w:rPr>
      </w:r>
    </w:p>
    <w:p>
      <w:pPr>
        <w:pStyle w:val="style0"/>
      </w:pPr>
      <w:r>
        <w:rPr>
          <w:rFonts w:cs="Tahoma"/>
          <w:sz w:val="26"/>
        </w:rPr>
        <w:t>Przygotowała: Magdalena Michalska</w:t>
      </w:r>
    </w:p>
    <w:p>
      <w:pPr>
        <w:pStyle w:val="style0"/>
      </w:pPr>
      <w:r>
        <w:rPr>
          <w:rFonts w:cs="Tahoma"/>
          <w:sz w:val="26"/>
        </w:rPr>
      </w:r>
    </w:p>
    <w:p>
      <w:pPr>
        <w:pStyle w:val="style0"/>
      </w:pPr>
      <w:r>
        <w:rPr>
          <w:rFonts w:cs="Tahoma"/>
          <w:sz w:val="26"/>
        </w:rPr>
      </w:r>
    </w:p>
    <w:p>
      <w:pPr>
        <w:pStyle w:val="style0"/>
      </w:pPr>
      <w:r>
        <w:rPr>
          <w:rFonts w:cs="Tahoma"/>
          <w:sz w:val="26"/>
        </w:rPr>
      </w:r>
    </w:p>
    <w:p>
      <w:pPr>
        <w:pStyle w:val="style0"/>
      </w:pPr>
      <w:r>
        <w:rPr>
          <w:rFonts w:cs="Tahoma"/>
          <w:sz w:val="26"/>
        </w:rPr>
      </w:r>
    </w:p>
    <w:p>
      <w:pPr>
        <w:pStyle w:val="style0"/>
      </w:pPr>
      <w:r>
        <w:rPr>
          <w:rFonts w:cs="Tahoma"/>
          <w:sz w:val="26"/>
        </w:rPr>
      </w:r>
    </w:p>
    <w:p>
      <w:pPr>
        <w:pStyle w:val="style0"/>
      </w:pPr>
      <w:r>
        <w:rPr>
          <w:rFonts w:cs="Tahoma"/>
          <w:b/>
          <w:bCs/>
          <w:sz w:val="26"/>
        </w:rPr>
      </w:r>
    </w:p>
    <w:p>
      <w:pPr>
        <w:pStyle w:val="style68"/>
      </w:pPr>
      <w:r>
        <w:rPr>
          <w:b/>
          <w:bCs/>
          <w:sz w:val="24"/>
          <w:szCs w:val="24"/>
        </w:rPr>
        <w:t>Spis treści:</w:t>
      </w:r>
    </w:p>
    <w:p>
      <w:pPr>
        <w:pStyle w:val="style68"/>
      </w:pPr>
      <w:r>
        <w:rPr>
          <w:sz w:val="24"/>
          <w:szCs w:val="24"/>
        </w:rPr>
      </w:r>
    </w:p>
    <w:p>
      <w:pPr>
        <w:pStyle w:val="style68"/>
        <w:numPr>
          <w:ilvl w:val="0"/>
          <w:numId w:val="1"/>
        </w:numPr>
        <w:tabs>
          <w:tab w:leader="none" w:pos="2072" w:val="left"/>
          <w:tab w:leader="none" w:pos="13444" w:val="left"/>
        </w:tabs>
        <w:ind w:hanging="470" w:left="470" w:right="0"/>
      </w:pP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Nazwa oraz adres zamawiającego.</w:t>
      </w:r>
    </w:p>
    <w:p>
      <w:pPr>
        <w:pStyle w:val="style68"/>
        <w:numPr>
          <w:ilvl w:val="0"/>
          <w:numId w:val="1"/>
        </w:numPr>
        <w:tabs>
          <w:tab w:leader="none" w:pos="1415" w:val="left"/>
          <w:tab w:leader="none" w:pos="12787" w:val="left"/>
        </w:tabs>
      </w:pP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Tryb udzielenia zamówienia.</w:t>
      </w:r>
    </w:p>
    <w:p>
      <w:pPr>
        <w:pStyle w:val="style68"/>
        <w:numPr>
          <w:ilvl w:val="0"/>
          <w:numId w:val="1"/>
        </w:numPr>
        <w:tabs>
          <w:tab w:leader="none" w:pos="1415" w:val="left"/>
          <w:tab w:leader="none" w:pos="12787" w:val="left"/>
        </w:tabs>
      </w:pP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Opis przedmiotu zamówienia.</w:t>
      </w:r>
    </w:p>
    <w:p>
      <w:pPr>
        <w:pStyle w:val="style68"/>
        <w:numPr>
          <w:ilvl w:val="0"/>
          <w:numId w:val="1"/>
        </w:numPr>
        <w:tabs>
          <w:tab w:leader="none" w:pos="1415" w:val="left"/>
          <w:tab w:leader="none" w:pos="12787" w:val="left"/>
        </w:tabs>
      </w:pP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Termin wykonania zamówienia.</w:t>
      </w:r>
    </w:p>
    <w:p>
      <w:pPr>
        <w:pStyle w:val="style68"/>
        <w:numPr>
          <w:ilvl w:val="0"/>
          <w:numId w:val="1"/>
        </w:numPr>
        <w:tabs>
          <w:tab w:leader="none" w:pos="1415" w:val="left"/>
          <w:tab w:leader="none" w:pos="12787" w:val="left"/>
        </w:tabs>
      </w:pPr>
      <w:r>
        <w:rPr>
          <w:sz w:val="24"/>
          <w:szCs w:val="24"/>
        </w:rPr>
        <w:t>Opis warunków udziału w postępowaniu oraz opis sposobu dokonywania oceny spełniania tych warunków.</w:t>
      </w:r>
    </w:p>
    <w:p>
      <w:pPr>
        <w:pStyle w:val="style68"/>
        <w:numPr>
          <w:ilvl w:val="0"/>
          <w:numId w:val="1"/>
        </w:numPr>
        <w:tabs>
          <w:tab w:leader="none" w:pos="1415" w:val="left"/>
          <w:tab w:leader="none" w:pos="12787" w:val="left"/>
        </w:tabs>
        <w:jc w:val="both"/>
      </w:pPr>
      <w:r>
        <w:rPr>
          <w:sz w:val="24"/>
          <w:szCs w:val="24"/>
        </w:rPr>
        <w:t>Wykaz oświadczeń lub dokumentów, jakie mają dostarczyć wykonawcy w celu potwierdzenia spełniania warunków udziału w postępowaniu.</w:t>
      </w:r>
    </w:p>
    <w:p>
      <w:pPr>
        <w:pStyle w:val="style68"/>
        <w:numPr>
          <w:ilvl w:val="0"/>
          <w:numId w:val="1"/>
        </w:numPr>
        <w:tabs>
          <w:tab w:leader="none" w:pos="1415" w:val="left"/>
          <w:tab w:leader="none" w:pos="12787" w:val="left"/>
        </w:tabs>
        <w:jc w:val="both"/>
      </w:pPr>
      <w:r>
        <w:rPr>
          <w:sz w:val="24"/>
          <w:szCs w:val="24"/>
        </w:rPr>
        <w:t>Informacje o sposobie porozumiewania się zamawiającego z wykonawcami oraz przekazywania oświadczeń lub dokumentów a także wskazanie osób uprawnionych do porozumiewania się z wykonawcami.</w:t>
      </w:r>
    </w:p>
    <w:p>
      <w:pPr>
        <w:pStyle w:val="style68"/>
        <w:numPr>
          <w:ilvl w:val="0"/>
          <w:numId w:val="1"/>
        </w:numPr>
        <w:tabs>
          <w:tab w:leader="none" w:pos="1415" w:val="left"/>
          <w:tab w:leader="none" w:pos="17032" w:val="left"/>
        </w:tabs>
        <w:jc w:val="both"/>
      </w:pPr>
      <w:r>
        <w:rPr>
          <w:sz w:val="24"/>
          <w:szCs w:val="24"/>
        </w:rPr>
        <w:t>Wymagania dotyczące wadium.</w:t>
      </w:r>
    </w:p>
    <w:p>
      <w:pPr>
        <w:pStyle w:val="style68"/>
        <w:numPr>
          <w:ilvl w:val="0"/>
          <w:numId w:val="1"/>
        </w:numPr>
        <w:tabs>
          <w:tab w:leader="none" w:pos="1415" w:val="left"/>
          <w:tab w:leader="none" w:pos="12787" w:val="left"/>
        </w:tabs>
        <w:jc w:val="both"/>
      </w:pPr>
      <w:r>
        <w:rPr>
          <w:sz w:val="24"/>
          <w:szCs w:val="24"/>
        </w:rPr>
        <w:t xml:space="preserve">Termin związania ofertą. </w:t>
      </w:r>
    </w:p>
    <w:p>
      <w:pPr>
        <w:pStyle w:val="style68"/>
        <w:numPr>
          <w:ilvl w:val="0"/>
          <w:numId w:val="1"/>
        </w:numPr>
        <w:tabs>
          <w:tab w:leader="none" w:pos="332" w:val="left"/>
          <w:tab w:leader="none" w:pos="1558" w:val="left"/>
          <w:tab w:leader="none" w:pos="12787" w:val="left"/>
        </w:tabs>
        <w:jc w:val="both"/>
      </w:pPr>
      <w:r>
        <w:rPr>
          <w:sz w:val="24"/>
          <w:szCs w:val="24"/>
        </w:rPr>
        <w:t>Opis sposobu przygotowywania ofert.</w:t>
      </w:r>
    </w:p>
    <w:p>
      <w:pPr>
        <w:pStyle w:val="style68"/>
        <w:numPr>
          <w:ilvl w:val="0"/>
          <w:numId w:val="1"/>
        </w:numPr>
        <w:tabs>
          <w:tab w:leader="none" w:pos="308" w:val="left"/>
          <w:tab w:leader="none" w:pos="1558" w:val="left"/>
          <w:tab w:leader="none" w:pos="12787" w:val="left"/>
        </w:tabs>
        <w:jc w:val="both"/>
      </w:pPr>
      <w:r>
        <w:rPr>
          <w:sz w:val="24"/>
          <w:szCs w:val="24"/>
        </w:rPr>
        <w:t>Miejsce oraz termin składania i otwarcia ofert.</w:t>
      </w:r>
    </w:p>
    <w:p>
      <w:pPr>
        <w:pStyle w:val="style68"/>
        <w:numPr>
          <w:ilvl w:val="0"/>
          <w:numId w:val="1"/>
        </w:numPr>
        <w:tabs>
          <w:tab w:leader="none" w:pos="332" w:val="left"/>
          <w:tab w:leader="none" w:pos="1415" w:val="left"/>
          <w:tab w:leader="none" w:pos="12787" w:val="left"/>
        </w:tabs>
        <w:jc w:val="both"/>
      </w:pPr>
      <w:r>
        <w:rPr>
          <w:sz w:val="24"/>
          <w:szCs w:val="24"/>
        </w:rPr>
        <w:t>Opis sposobu obliczenia ceny.</w:t>
      </w:r>
    </w:p>
    <w:p>
      <w:pPr>
        <w:pStyle w:val="style68"/>
        <w:numPr>
          <w:ilvl w:val="0"/>
          <w:numId w:val="1"/>
        </w:numPr>
        <w:tabs>
          <w:tab w:leader="none" w:pos="357" w:val="left"/>
          <w:tab w:leader="none" w:pos="1099" w:val="left"/>
          <w:tab w:leader="none" w:pos="12787" w:val="left"/>
        </w:tabs>
        <w:jc w:val="both"/>
      </w:pPr>
      <w:r>
        <w:rPr>
          <w:sz w:val="24"/>
          <w:szCs w:val="24"/>
        </w:rPr>
        <w:t>Opis kryteriów, którymi zamawiający będzie się kierował przy wyborze oferty wraz z podaniem znaczenia tych kryteriów i sposobu oceny ofert.</w:t>
      </w:r>
    </w:p>
    <w:p>
      <w:pPr>
        <w:pStyle w:val="style68"/>
        <w:numPr>
          <w:ilvl w:val="0"/>
          <w:numId w:val="1"/>
        </w:numPr>
        <w:tabs>
          <w:tab w:leader="none" w:pos="345" w:val="left"/>
          <w:tab w:leader="none" w:pos="1415" w:val="left"/>
          <w:tab w:leader="none" w:pos="12787" w:val="left"/>
        </w:tabs>
        <w:jc w:val="both"/>
      </w:pPr>
      <w:r>
        <w:rPr>
          <w:sz w:val="24"/>
          <w:szCs w:val="24"/>
        </w:rPr>
        <w:t>Informacje o formalnościach, jakie powinny zostać dopełnione po wyborze oferty w celu zawarcia umowy w sprawie zamówienia publicznego.</w:t>
      </w:r>
    </w:p>
    <w:p>
      <w:pPr>
        <w:pStyle w:val="style68"/>
        <w:numPr>
          <w:ilvl w:val="0"/>
          <w:numId w:val="1"/>
        </w:numPr>
        <w:tabs>
          <w:tab w:leader="none" w:pos="345" w:val="left"/>
          <w:tab w:leader="none" w:pos="1415" w:val="left"/>
          <w:tab w:leader="none" w:pos="12787" w:val="left"/>
        </w:tabs>
        <w:jc w:val="both"/>
      </w:pPr>
      <w:r>
        <w:rPr>
          <w:sz w:val="24"/>
          <w:szCs w:val="24"/>
        </w:rPr>
        <w:t>Wymagania dotyczące zabezpieczenia należytego wykonania umowy.</w:t>
      </w:r>
    </w:p>
    <w:p>
      <w:pPr>
        <w:pStyle w:val="style68"/>
        <w:numPr>
          <w:ilvl w:val="0"/>
          <w:numId w:val="1"/>
        </w:numPr>
        <w:tabs>
          <w:tab w:leader="none" w:pos="332" w:val="left"/>
          <w:tab w:leader="none" w:pos="1415" w:val="left"/>
          <w:tab w:leader="none" w:pos="1558" w:val="left"/>
          <w:tab w:leader="none" w:pos="12787" w:val="left"/>
        </w:tabs>
        <w:jc w:val="both"/>
      </w:pPr>
      <w:r>
        <w:rPr>
          <w:sz w:val="24"/>
          <w:szCs w:val="24"/>
        </w:rPr>
        <w:t>Istotne dla stron postanowienia, które zostaną wprowadzone do treści zawieranej umowy w sprawie zamówienia publicznego, ogólne warunki umowy albo wzór umowy, jeżeli zamawiający wymaga od wykonawcy, aby zawarł z nim umowę w sprawie zamówienia publicznego na takich warunkach;</w:t>
      </w:r>
    </w:p>
    <w:p>
      <w:pPr>
        <w:pStyle w:val="style68"/>
        <w:numPr>
          <w:ilvl w:val="0"/>
          <w:numId w:val="1"/>
        </w:numPr>
        <w:tabs>
          <w:tab w:leader="none" w:pos="332" w:val="left"/>
          <w:tab w:leader="none" w:pos="1415" w:val="left"/>
          <w:tab w:leader="none" w:pos="12787" w:val="left"/>
        </w:tabs>
      </w:pP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Pouczenie o środkach ochrony prawnej przysługujących wykonawcy w toku postępowania o udzielenie zamówienia.</w:t>
      </w:r>
    </w:p>
    <w:p>
      <w:pPr>
        <w:pStyle w:val="style68"/>
        <w:tabs>
          <w:tab w:leader="none" w:pos="7410" w:val="left"/>
        </w:tabs>
      </w:pPr>
      <w:r>
        <w:rPr>
          <w:sz w:val="24"/>
          <w:szCs w:val="24"/>
        </w:rPr>
      </w:r>
    </w:p>
    <w:p>
      <w:pPr>
        <w:pStyle w:val="style68"/>
        <w:tabs>
          <w:tab w:leader="none" w:pos="7410" w:val="left"/>
        </w:tabs>
      </w:pPr>
      <w:r>
        <w:rPr>
          <w:sz w:val="24"/>
          <w:szCs w:val="24"/>
        </w:rPr>
      </w:r>
    </w:p>
    <w:p>
      <w:pPr>
        <w:pStyle w:val="style68"/>
        <w:tabs>
          <w:tab w:leader="none" w:pos="7410" w:val="left"/>
        </w:tabs>
      </w:pPr>
      <w:r>
        <w:rPr>
          <w:sz w:val="24"/>
          <w:szCs w:val="24"/>
        </w:rPr>
      </w:r>
    </w:p>
    <w:p>
      <w:pPr>
        <w:pStyle w:val="style68"/>
        <w:tabs>
          <w:tab w:leader="none" w:pos="7410" w:val="left"/>
        </w:tabs>
      </w:pPr>
      <w:r>
        <w:rPr>
          <w:sz w:val="24"/>
          <w:szCs w:val="24"/>
        </w:rPr>
      </w:r>
    </w:p>
    <w:p>
      <w:pPr>
        <w:pStyle w:val="style68"/>
        <w:tabs>
          <w:tab w:leader="none" w:pos="7410" w:val="left"/>
        </w:tabs>
      </w:pPr>
      <w:r>
        <w:rPr>
          <w:sz w:val="24"/>
          <w:szCs w:val="24"/>
        </w:rPr>
      </w:r>
    </w:p>
    <w:p>
      <w:pPr>
        <w:pStyle w:val="style68"/>
        <w:tabs>
          <w:tab w:leader="none" w:pos="7410" w:val="left"/>
        </w:tabs>
      </w:pPr>
      <w:r>
        <w:rPr>
          <w:sz w:val="26"/>
        </w:rPr>
      </w:r>
    </w:p>
    <w:p>
      <w:pPr>
        <w:pStyle w:val="style68"/>
        <w:tabs>
          <w:tab w:leader="none" w:pos="7410" w:val="left"/>
        </w:tabs>
      </w:pPr>
      <w:r>
        <w:rPr>
          <w:sz w:val="26"/>
        </w:rPr>
      </w:r>
    </w:p>
    <w:p>
      <w:pPr>
        <w:pStyle w:val="style68"/>
        <w:tabs>
          <w:tab w:leader="none" w:pos="7410" w:val="left"/>
        </w:tabs>
      </w:pPr>
      <w:r>
        <w:rPr>
          <w:sz w:val="26"/>
        </w:rPr>
      </w:r>
    </w:p>
    <w:p>
      <w:pPr>
        <w:pStyle w:val="style68"/>
        <w:tabs>
          <w:tab w:leader="none" w:pos="7410" w:val="left"/>
        </w:tabs>
      </w:pPr>
      <w:r>
        <w:rPr>
          <w:sz w:val="26"/>
        </w:rPr>
      </w:r>
    </w:p>
    <w:p>
      <w:pPr>
        <w:pStyle w:val="style68"/>
        <w:tabs>
          <w:tab w:leader="none" w:pos="7410" w:val="left"/>
        </w:tabs>
      </w:pPr>
      <w:r>
        <w:rPr>
          <w:sz w:val="26"/>
        </w:rPr>
      </w:r>
    </w:p>
    <w:p>
      <w:pPr>
        <w:pStyle w:val="style68"/>
        <w:tabs>
          <w:tab w:leader="none" w:pos="7410" w:val="left"/>
        </w:tabs>
      </w:pPr>
      <w:r>
        <w:rPr>
          <w:sz w:val="26"/>
        </w:rPr>
      </w:r>
    </w:p>
    <w:p>
      <w:pPr>
        <w:pStyle w:val="style68"/>
        <w:tabs>
          <w:tab w:leader="none" w:pos="7410" w:val="left"/>
        </w:tabs>
      </w:pPr>
      <w:r>
        <w:rPr>
          <w:sz w:val="26"/>
        </w:rPr>
      </w:r>
    </w:p>
    <w:p>
      <w:pPr>
        <w:pStyle w:val="style68"/>
        <w:tabs>
          <w:tab w:leader="none" w:pos="7410" w:val="left"/>
        </w:tabs>
      </w:pPr>
      <w:r>
        <w:rPr>
          <w:sz w:val="26"/>
        </w:rPr>
      </w:r>
    </w:p>
    <w:p>
      <w:pPr>
        <w:pStyle w:val="style68"/>
        <w:tabs>
          <w:tab w:leader="none" w:pos="7410" w:val="left"/>
        </w:tabs>
      </w:pPr>
      <w:r>
        <w:rPr>
          <w:sz w:val="26"/>
        </w:rPr>
      </w:r>
    </w:p>
    <w:p>
      <w:pPr>
        <w:pStyle w:val="style68"/>
        <w:tabs>
          <w:tab w:leader="none" w:pos="7410" w:val="left"/>
        </w:tabs>
      </w:pPr>
      <w:r>
        <w:rPr>
          <w:sz w:val="26"/>
        </w:rPr>
      </w:r>
    </w:p>
    <w:p>
      <w:pPr>
        <w:pStyle w:val="style68"/>
        <w:tabs>
          <w:tab w:leader="none" w:pos="7410" w:val="left"/>
        </w:tabs>
      </w:pPr>
      <w:r>
        <w:rPr>
          <w:sz w:val="26"/>
        </w:rPr>
      </w:r>
    </w:p>
    <w:p>
      <w:pPr>
        <w:pStyle w:val="style68"/>
        <w:tabs>
          <w:tab w:leader="none" w:pos="7410" w:val="left"/>
        </w:tabs>
      </w:pPr>
      <w:r>
        <w:rPr>
          <w:sz w:val="26"/>
        </w:rPr>
      </w:r>
    </w:p>
    <w:p>
      <w:pPr>
        <w:pStyle w:val="style68"/>
        <w:tabs>
          <w:tab w:leader="none" w:pos="7410" w:val="left"/>
        </w:tabs>
      </w:pPr>
      <w:r>
        <w:rPr>
          <w:sz w:val="26"/>
        </w:rPr>
      </w:r>
    </w:p>
    <w:p>
      <w:pPr>
        <w:pStyle w:val="style68"/>
        <w:tabs>
          <w:tab w:leader="none" w:pos="7410" w:val="left"/>
        </w:tabs>
      </w:pPr>
      <w:r>
        <w:rPr>
          <w:sz w:val="26"/>
        </w:rPr>
      </w:r>
    </w:p>
    <w:p>
      <w:pPr>
        <w:pStyle w:val="style68"/>
        <w:tabs>
          <w:tab w:leader="none" w:pos="7410" w:val="left"/>
        </w:tabs>
      </w:pPr>
      <w:r>
        <w:rPr>
          <w:sz w:val="26"/>
        </w:rPr>
      </w:r>
    </w:p>
    <w:p>
      <w:pPr>
        <w:pStyle w:val="style68"/>
        <w:tabs>
          <w:tab w:leader="none" w:pos="7410" w:val="left"/>
        </w:tabs>
      </w:pPr>
      <w:r>
        <w:rPr>
          <w:sz w:val="26"/>
        </w:rPr>
      </w:r>
    </w:p>
    <w:p>
      <w:pPr>
        <w:pStyle w:val="style68"/>
        <w:tabs>
          <w:tab w:leader="none" w:pos="7410" w:val="left"/>
        </w:tabs>
      </w:pPr>
      <w:r>
        <w:rPr>
          <w:sz w:val="26"/>
        </w:rPr>
      </w:r>
    </w:p>
    <w:p>
      <w:pPr>
        <w:pStyle w:val="style68"/>
        <w:tabs>
          <w:tab w:leader="none" w:pos="7410" w:val="left"/>
        </w:tabs>
      </w:pPr>
      <w:r>
        <w:rPr>
          <w:b/>
          <w:u w:val="single"/>
        </w:rPr>
        <w:t>1. Nazwa oraz adres zamawiającego.</w:t>
      </w:r>
    </w:p>
    <w:p>
      <w:pPr>
        <w:pStyle w:val="style68"/>
        <w:tabs>
          <w:tab w:leader="none" w:pos="7410" w:val="left"/>
        </w:tabs>
      </w:pPr>
      <w:r>
        <w:rPr/>
        <w:t>Gmina Szumowo, ul.1 Maja 50, 18-305 Szumowo.</w:t>
      </w:r>
    </w:p>
    <w:p>
      <w:pPr>
        <w:pStyle w:val="style0"/>
        <w:shd w:fill="FFFFFF" w:val="clear"/>
        <w:spacing w:after="0" w:before="100" w:line="360" w:lineRule="auto"/>
        <w:contextualSpacing w:val="false"/>
      </w:pPr>
      <w:r>
        <w:rPr>
          <w:spacing w:val="-2"/>
        </w:rPr>
        <w:t xml:space="preserve">Adres strony internetowej: </w:t>
      </w:r>
      <w:r>
        <w:rPr>
          <w:color w:val="000000"/>
          <w:spacing w:val="-2"/>
        </w:rPr>
        <w:t xml:space="preserve">  </w:t>
      </w:r>
      <w:hyperlink r:id="rId2">
        <w:r>
          <w:rPr>
            <w:rStyle w:val="style18"/>
          </w:rPr>
          <w:t>ug-szumowo.pbip.pl</w:t>
        </w:r>
      </w:hyperlink>
    </w:p>
    <w:p>
      <w:pPr>
        <w:pStyle w:val="style68"/>
        <w:tabs>
          <w:tab w:leader="none" w:pos="7410" w:val="left"/>
        </w:tabs>
        <w:jc w:val="both"/>
      </w:pPr>
      <w:r>
        <w:rPr>
          <w:b/>
          <w:u w:val="single"/>
        </w:rPr>
        <w:t>2</w:t>
      </w:r>
      <w:r>
        <w:rPr>
          <w:u w:val="single"/>
        </w:rPr>
        <w:t xml:space="preserve">. </w:t>
      </w:r>
      <w:r>
        <w:rPr>
          <w:b/>
          <w:u w:val="single"/>
        </w:rPr>
        <w:t>Tryb udzielenia zamówienia.</w:t>
      </w:r>
    </w:p>
    <w:p>
      <w:pPr>
        <w:pStyle w:val="style68"/>
        <w:numPr>
          <w:ilvl w:val="0"/>
          <w:numId w:val="2"/>
        </w:numPr>
        <w:tabs>
          <w:tab w:leader="none" w:pos="1800" w:val="left"/>
          <w:tab w:leader="none" w:pos="18570" w:val="left"/>
        </w:tabs>
        <w:jc w:val="both"/>
      </w:pPr>
      <w:r>
        <w:rPr/>
        <w:t>Postępowanie prowadzone jest w trybie przetargu nieograniczonego, zgodnie z art. 10 i art. 40 ust 1 ustawy z dnia 29 stycznia 2004 r. – Prawo zamówień publicznych (</w:t>
      </w:r>
      <w:r>
        <w:rPr>
          <w:rFonts w:cs="Tahoma"/>
        </w:rPr>
        <w:t>Dz. U. z 2015 poz. 2164</w:t>
      </w:r>
      <w:r>
        <w:rPr>
          <w:sz w:val="24"/>
          <w:szCs w:val="24"/>
        </w:rPr>
        <w:t xml:space="preserve">). </w:t>
      </w:r>
    </w:p>
    <w:p>
      <w:pPr>
        <w:pStyle w:val="style68"/>
        <w:numPr>
          <w:ilvl w:val="0"/>
          <w:numId w:val="2"/>
        </w:numPr>
        <w:tabs>
          <w:tab w:leader="none" w:pos="1800" w:val="left"/>
          <w:tab w:leader="none" w:pos="18570" w:val="left"/>
        </w:tabs>
        <w:jc w:val="both"/>
      </w:pPr>
      <w:r>
        <w:rPr/>
        <w:t>Postępowanie jest prowadzone z udziałem komisji przetargowej.</w:t>
      </w:r>
    </w:p>
    <w:p>
      <w:pPr>
        <w:pStyle w:val="style68"/>
        <w:numPr>
          <w:ilvl w:val="0"/>
          <w:numId w:val="2"/>
        </w:numPr>
        <w:tabs>
          <w:tab w:leader="none" w:pos="1800" w:val="left"/>
          <w:tab w:leader="none" w:pos="18570" w:val="left"/>
        </w:tabs>
        <w:jc w:val="both"/>
      </w:pPr>
      <w:r>
        <w:rPr/>
        <w:t>Postępowanie zostanie unieważnione gdy:</w:t>
      </w:r>
    </w:p>
    <w:p>
      <w:pPr>
        <w:pStyle w:val="style0"/>
        <w:numPr>
          <w:ilvl w:val="0"/>
          <w:numId w:val="3"/>
        </w:numPr>
        <w:tabs>
          <w:tab w:leader="none" w:pos="3600" w:val="left"/>
          <w:tab w:leader="none" w:pos="29370" w:val="left"/>
        </w:tabs>
        <w:jc w:val="both"/>
      </w:pPr>
      <w:r>
        <w:rPr>
          <w:rFonts w:cs="Arial" w:eastAsia="Arial"/>
        </w:rPr>
        <w:t>nie zostanie złożona żadna oferta niepodlegająca odrzuceniu albo nie wpłynie żaden wniosek o dopuszczenie do udziału w postępowaniu od wykonawcy niepodlegającego wykluczeniu;</w:t>
      </w:r>
    </w:p>
    <w:p>
      <w:pPr>
        <w:pStyle w:val="style0"/>
        <w:numPr>
          <w:ilvl w:val="0"/>
          <w:numId w:val="3"/>
        </w:numPr>
        <w:tabs>
          <w:tab w:leader="none" w:pos="3600" w:val="left"/>
          <w:tab w:leader="none" w:pos="29370" w:val="left"/>
        </w:tabs>
        <w:jc w:val="both"/>
      </w:pPr>
      <w:r>
        <w:rPr>
          <w:rFonts w:cs="Arial" w:eastAsia="Arial"/>
        </w:rPr>
        <w:t>cena najkorzystniejszej oferty lub oferta z najniższą ceną przewyższy kwotę, którą zamawiający zamierza przeznaczyć na sfinansowanie zamówienia;</w:t>
      </w:r>
    </w:p>
    <w:p>
      <w:pPr>
        <w:pStyle w:val="style68"/>
        <w:numPr>
          <w:ilvl w:val="0"/>
          <w:numId w:val="3"/>
        </w:numPr>
        <w:tabs>
          <w:tab w:leader="none" w:pos="3600" w:val="left"/>
          <w:tab w:leader="none" w:pos="29370" w:val="left"/>
        </w:tabs>
        <w:jc w:val="both"/>
      </w:pPr>
      <w:r>
        <w:rPr/>
        <w:t>wystąpi istotna zmiana okoliczności powodująca, że prowadzenie postępowania lub wykonanie zamówienia nie będzie leżało w interesie publicznym, czego nie można było wcześniej przewidzieć;</w:t>
      </w:r>
    </w:p>
    <w:p>
      <w:pPr>
        <w:pStyle w:val="style68"/>
        <w:numPr>
          <w:ilvl w:val="0"/>
          <w:numId w:val="3"/>
        </w:numPr>
        <w:tabs>
          <w:tab w:leader="none" w:pos="3600" w:val="left"/>
          <w:tab w:leader="none" w:pos="29370" w:val="left"/>
        </w:tabs>
        <w:jc w:val="both"/>
      </w:pPr>
      <w:r>
        <w:rPr/>
        <w:t>postępowanie obarczone będzie wadą uniemożliwiającą zawarcie ważnej umowy w sprawie zamówienia publicznego;</w:t>
      </w:r>
    </w:p>
    <w:p>
      <w:pPr>
        <w:pStyle w:val="style68"/>
        <w:numPr>
          <w:ilvl w:val="0"/>
          <w:numId w:val="2"/>
        </w:numPr>
        <w:tabs>
          <w:tab w:leader="none" w:pos="1800" w:val="left"/>
          <w:tab w:leader="none" w:pos="18570" w:val="left"/>
        </w:tabs>
        <w:jc w:val="both"/>
      </w:pPr>
      <w:r>
        <w:rPr/>
        <w:t>O unieważnieniu postępowania zamawiający powiadomi równocześnie wszystkich wykonawców, którzy ubiegali się o udzielenie zamówienia publicznego, podając uzasadnienie faktyczne i prawne.</w:t>
      </w:r>
    </w:p>
    <w:p>
      <w:pPr>
        <w:pStyle w:val="style68"/>
        <w:numPr>
          <w:ilvl w:val="0"/>
          <w:numId w:val="2"/>
        </w:numPr>
        <w:tabs>
          <w:tab w:leader="none" w:pos="1800" w:val="left"/>
          <w:tab w:leader="none" w:pos="18570" w:val="left"/>
        </w:tabs>
        <w:jc w:val="both"/>
      </w:pPr>
      <w:r>
        <w:rPr/>
        <w:t>W sprawach nieuregulowanych w treści specyfikacji istotnych warunków zamówienia zastosowanie mają przepisy PZP.</w:t>
      </w:r>
    </w:p>
    <w:p>
      <w:pPr>
        <w:pStyle w:val="style68"/>
        <w:tabs>
          <w:tab w:leader="none" w:pos="7410" w:val="left"/>
        </w:tabs>
        <w:jc w:val="both"/>
      </w:pPr>
      <w:r>
        <w:rPr>
          <w:b/>
          <w:u w:val="single"/>
        </w:rPr>
      </w:r>
    </w:p>
    <w:p>
      <w:pPr>
        <w:pStyle w:val="style68"/>
        <w:tabs>
          <w:tab w:leader="none" w:pos="7410" w:val="left"/>
        </w:tabs>
        <w:jc w:val="both"/>
      </w:pPr>
      <w:r>
        <w:rPr>
          <w:b/>
          <w:u w:val="single"/>
        </w:rPr>
        <w:t>3.Opis przedmiotu zamówienia.</w:t>
      </w:r>
    </w:p>
    <w:p>
      <w:pPr>
        <w:pStyle w:val="style0"/>
        <w:jc w:val="both"/>
      </w:pPr>
      <w:r>
        <w:rPr/>
        <w:t>1. Przedmiotem zamówienia jest wykonanie termomodernizacji budynku Urzędu Gminy Szumowo oraz remontu świetlicy wiejskiej w Radwanach - Zaorze.</w:t>
      </w:r>
    </w:p>
    <w:p>
      <w:pPr>
        <w:pStyle w:val="style0"/>
      </w:pPr>
      <w:r>
        <w:rPr>
          <w:rFonts w:cs="Tahoma"/>
        </w:rPr>
      </w:r>
    </w:p>
    <w:p>
      <w:pPr>
        <w:pStyle w:val="style68"/>
        <w:tabs>
          <w:tab w:leader="none" w:pos="7408" w:val="left"/>
        </w:tabs>
        <w:spacing w:line="278" w:lineRule="exact"/>
        <w:ind w:hanging="0" w:left="0" w:right="60"/>
        <w:jc w:val="both"/>
      </w:pPr>
      <w:r>
        <w:rPr/>
        <w:t>Zamawiający dopuszcza możliwość składania ofert częściowych. Opis poszczególnych części zamówienia:</w:t>
      </w:r>
    </w:p>
    <w:p>
      <w:pPr>
        <w:pStyle w:val="style68"/>
        <w:tabs>
          <w:tab w:leader="none" w:pos="7408" w:val="left"/>
        </w:tabs>
        <w:spacing w:line="278" w:lineRule="exact"/>
        <w:ind w:hanging="0" w:left="0" w:right="60"/>
        <w:jc w:val="both"/>
      </w:pPr>
      <w:r>
        <w:rPr/>
        <w:t xml:space="preserve">Część 1. </w:t>
      </w:r>
      <w:r>
        <w:rPr>
          <w:b/>
          <w:bCs/>
        </w:rPr>
        <w:t xml:space="preserve">Termomodernizacja budynku Urzędu Gminy Szumowo. </w:t>
      </w:r>
    </w:p>
    <w:p>
      <w:pPr>
        <w:pStyle w:val="style0"/>
        <w:jc w:val="both"/>
      </w:pPr>
      <w:r>
        <w:rPr/>
        <w:t xml:space="preserve">Zakres robót obejmuje: </w:t>
      </w:r>
    </w:p>
    <w:p>
      <w:pPr>
        <w:pStyle w:val="style0"/>
        <w:jc w:val="both"/>
      </w:pPr>
      <w:r>
        <w:rPr/>
        <w:t xml:space="preserve">- Remont elewacji, </w:t>
      </w:r>
    </w:p>
    <w:p>
      <w:pPr>
        <w:pStyle w:val="style0"/>
        <w:jc w:val="both"/>
      </w:pPr>
      <w:r>
        <w:rPr/>
        <w:t>- Montaż elewacyjnych profili ozdobnych</w:t>
      </w:r>
    </w:p>
    <w:p>
      <w:pPr>
        <w:pStyle w:val="style0"/>
        <w:jc w:val="both"/>
      </w:pPr>
      <w:r>
        <w:rPr/>
        <w:t>- Wyprawa wierzchnia – tynk akrylowy,</w:t>
      </w:r>
    </w:p>
    <w:p>
      <w:pPr>
        <w:pStyle w:val="style0"/>
        <w:jc w:val="both"/>
      </w:pPr>
      <w:r>
        <w:rPr/>
        <w:t>- Licowanie schodów i cokołów płytkami klinkierowymi,</w:t>
      </w:r>
    </w:p>
    <w:p>
      <w:pPr>
        <w:pStyle w:val="style0"/>
        <w:jc w:val="both"/>
      </w:pPr>
      <w:r>
        <w:rPr/>
        <w:t xml:space="preserve">- Wymiana obróbek blacharskich, </w:t>
      </w:r>
    </w:p>
    <w:p>
      <w:pPr>
        <w:pStyle w:val="style0"/>
        <w:jc w:val="both"/>
      </w:pPr>
      <w:r>
        <w:rPr/>
        <w:t>- Obudowa dachu wiatrołapu płytą warstwową,</w:t>
      </w:r>
    </w:p>
    <w:p>
      <w:pPr>
        <w:pStyle w:val="style0"/>
        <w:jc w:val="both"/>
      </w:pPr>
      <w:r>
        <w:rPr/>
        <w:t>- Niezbędne roboty zabezpieczające i towarzyszące.</w:t>
      </w:r>
    </w:p>
    <w:p>
      <w:pPr>
        <w:pStyle w:val="style0"/>
        <w:tabs>
          <w:tab w:leader="none" w:pos="567" w:val="left"/>
          <w:tab w:leader="none" w:pos="2835" w:val="left"/>
          <w:tab w:leader="none" w:pos="9676" w:val="left"/>
        </w:tabs>
        <w:spacing w:line="278" w:lineRule="exact"/>
        <w:ind w:hanging="0" w:left="0" w:right="60"/>
        <w:jc w:val="both"/>
      </w:pPr>
      <w:r>
        <w:rPr>
          <w:sz w:val="20"/>
          <w:szCs w:val="20"/>
        </w:rPr>
      </w:r>
    </w:p>
    <w:p>
      <w:pPr>
        <w:pStyle w:val="style68"/>
        <w:tabs>
          <w:tab w:leader="none" w:pos="7408" w:val="left"/>
        </w:tabs>
        <w:spacing w:line="278" w:lineRule="exact"/>
        <w:ind w:hanging="0" w:left="0" w:right="60"/>
        <w:jc w:val="both"/>
      </w:pPr>
      <w:r>
        <w:rPr/>
        <w:t xml:space="preserve">Część 2. </w:t>
      </w:r>
      <w:r>
        <w:rPr>
          <w:b/>
          <w:bCs/>
        </w:rPr>
        <w:t>Remont świetlicy wiejskiej w Radwanach – Zaorze.</w:t>
      </w:r>
    </w:p>
    <w:p>
      <w:pPr>
        <w:pStyle w:val="style0"/>
        <w:tabs>
          <w:tab w:leader="none" w:pos="7408" w:val="left"/>
        </w:tabs>
        <w:spacing w:line="278" w:lineRule="exact"/>
        <w:ind w:hanging="0" w:left="0" w:right="60"/>
        <w:jc w:val="both"/>
      </w:pPr>
      <w:r>
        <w:rPr/>
        <w:t>Zakres robót obejmuje:</w:t>
      </w:r>
    </w:p>
    <w:p>
      <w:pPr>
        <w:pStyle w:val="style0"/>
        <w:tabs>
          <w:tab w:leader="none" w:pos="7408" w:val="left"/>
        </w:tabs>
        <w:spacing w:line="278" w:lineRule="exact"/>
        <w:ind w:hanging="0" w:left="0" w:right="60"/>
        <w:jc w:val="both"/>
      </w:pPr>
      <w:r>
        <w:rPr/>
        <w:t>-  Wykonanie ściany z cegły pełnej,</w:t>
      </w:r>
    </w:p>
    <w:p>
      <w:pPr>
        <w:pStyle w:val="style0"/>
        <w:tabs>
          <w:tab w:leader="none" w:pos="7408" w:val="left"/>
        </w:tabs>
        <w:spacing w:line="278" w:lineRule="exact"/>
        <w:ind w:hanging="0" w:left="0" w:right="60"/>
        <w:jc w:val="both"/>
      </w:pPr>
      <w:r>
        <w:rPr/>
        <w:t>- Przemurowanie komina,</w:t>
      </w:r>
    </w:p>
    <w:p>
      <w:pPr>
        <w:pStyle w:val="style0"/>
        <w:tabs>
          <w:tab w:leader="none" w:pos="7408" w:val="left"/>
        </w:tabs>
        <w:spacing w:line="278" w:lineRule="exact"/>
        <w:ind w:hanging="0" w:left="0" w:right="60"/>
        <w:jc w:val="both"/>
      </w:pPr>
      <w:r>
        <w:rPr/>
        <w:t>- Wykonanie posadzki z płytek klinkierowych,</w:t>
      </w:r>
    </w:p>
    <w:p>
      <w:pPr>
        <w:pStyle w:val="style0"/>
        <w:tabs>
          <w:tab w:leader="none" w:pos="7408" w:val="left"/>
        </w:tabs>
        <w:spacing w:line="278" w:lineRule="exact"/>
        <w:ind w:hanging="0" w:left="0" w:right="60"/>
        <w:jc w:val="both"/>
      </w:pPr>
      <w:r>
        <w:rPr/>
        <w:t xml:space="preserve">- Montaż stolarki okiennej i drzwiowej, </w:t>
      </w:r>
    </w:p>
    <w:p>
      <w:pPr>
        <w:pStyle w:val="style0"/>
        <w:tabs>
          <w:tab w:leader="none" w:pos="7408" w:val="left"/>
        </w:tabs>
        <w:spacing w:line="278" w:lineRule="exact"/>
        <w:ind w:hanging="0" w:left="0" w:right="60"/>
        <w:jc w:val="both"/>
      </w:pPr>
      <w:r>
        <w:rPr/>
        <w:t>- Wykonanie obróbek blacharskich,</w:t>
      </w:r>
    </w:p>
    <w:p>
      <w:pPr>
        <w:pStyle w:val="style0"/>
        <w:tabs>
          <w:tab w:leader="none" w:pos="7408" w:val="left"/>
        </w:tabs>
        <w:spacing w:line="278" w:lineRule="exact"/>
        <w:ind w:hanging="0" w:left="0" w:right="60"/>
        <w:jc w:val="both"/>
      </w:pPr>
      <w:r>
        <w:rPr/>
        <w:t>- Wykonanie okładzin typu siding,</w:t>
      </w:r>
    </w:p>
    <w:p>
      <w:pPr>
        <w:pStyle w:val="style0"/>
        <w:tabs>
          <w:tab w:leader="none" w:pos="7408" w:val="left"/>
        </w:tabs>
        <w:spacing w:line="278" w:lineRule="exact"/>
        <w:ind w:hanging="0" w:left="0" w:right="60"/>
        <w:jc w:val="both"/>
      </w:pPr>
      <w:r>
        <w:rPr/>
        <w:t>- Wykonanie elewacji wraz z dociepleniem,</w:t>
      </w:r>
    </w:p>
    <w:p>
      <w:pPr>
        <w:pStyle w:val="style0"/>
        <w:tabs>
          <w:tab w:leader="none" w:pos="7408" w:val="left"/>
        </w:tabs>
        <w:spacing w:line="278" w:lineRule="exact"/>
        <w:ind w:hanging="0" w:left="0" w:right="60"/>
        <w:jc w:val="both"/>
      </w:pPr>
      <w:r>
        <w:rPr/>
        <w:t>- Wyprawa wierzchnia – tynk akrylowy</w:t>
      </w:r>
    </w:p>
    <w:p>
      <w:pPr>
        <w:pStyle w:val="style0"/>
        <w:tabs>
          <w:tab w:leader="none" w:pos="7408" w:val="left"/>
        </w:tabs>
        <w:spacing w:line="278" w:lineRule="exact"/>
        <w:ind w:hanging="0" w:left="0" w:right="60"/>
        <w:jc w:val="both"/>
      </w:pPr>
      <w:r>
        <w:rPr/>
        <w:t xml:space="preserve">- Licowanie schodów i cokołów płytkami klinkierowymi, </w:t>
      </w:r>
    </w:p>
    <w:p>
      <w:pPr>
        <w:pStyle w:val="style0"/>
        <w:tabs>
          <w:tab w:leader="none" w:pos="7408" w:val="left"/>
        </w:tabs>
        <w:spacing w:line="278" w:lineRule="exact"/>
        <w:ind w:hanging="0" w:left="0" w:right="60"/>
        <w:jc w:val="both"/>
      </w:pPr>
      <w:r>
        <w:rPr/>
        <w:t>- Wykonanie opaski z polbruku,</w:t>
      </w:r>
    </w:p>
    <w:p>
      <w:pPr>
        <w:pStyle w:val="style0"/>
        <w:tabs>
          <w:tab w:leader="none" w:pos="7408" w:val="left"/>
        </w:tabs>
        <w:spacing w:line="278" w:lineRule="exact"/>
        <w:ind w:hanging="0" w:left="0" w:right="60"/>
        <w:jc w:val="both"/>
      </w:pPr>
      <w:r>
        <w:rPr/>
        <w:t>- Wykonanie instalacji odgromowej,</w:t>
      </w:r>
    </w:p>
    <w:p>
      <w:pPr>
        <w:pStyle w:val="style0"/>
        <w:jc w:val="both"/>
      </w:pPr>
      <w:r>
        <w:rPr/>
        <w:t>- Niezbędne roboty zabezpieczające i towarzyszące.</w:t>
      </w:r>
    </w:p>
    <w:p>
      <w:pPr>
        <w:pStyle w:val="style0"/>
        <w:tabs>
          <w:tab w:leader="none" w:pos="7408" w:val="left"/>
        </w:tabs>
        <w:spacing w:line="278" w:lineRule="exact"/>
        <w:ind w:hanging="0" w:left="0" w:right="60"/>
        <w:jc w:val="both"/>
      </w:pPr>
      <w:r>
        <w:rPr/>
      </w:r>
    </w:p>
    <w:p>
      <w:pPr>
        <w:pStyle w:val="style68"/>
        <w:tabs>
          <w:tab w:leader="none" w:pos="7408" w:val="left"/>
        </w:tabs>
        <w:spacing w:line="278" w:lineRule="exact"/>
        <w:ind w:hanging="0" w:left="0" w:right="60"/>
        <w:jc w:val="both"/>
      </w:pPr>
      <w:r>
        <w:rPr>
          <w:sz w:val="24"/>
          <w:szCs w:val="24"/>
        </w:rPr>
        <w:t>Do każdej części zamówienia zawarta będzie odrębna umowa.  Istnieje możliwość zawarcia jednej umowy obejmującej kilka części zamówienia w przypadku złożenia przez oferenta najkorzystniejszych ofert na dane części zamówienia.</w:t>
      </w:r>
    </w:p>
    <w:p>
      <w:pPr>
        <w:pStyle w:val="style68"/>
        <w:tabs>
          <w:tab w:leader="none" w:pos="7408" w:val="left"/>
        </w:tabs>
        <w:spacing w:line="278" w:lineRule="exact"/>
        <w:ind w:hanging="0" w:left="0" w:right="60"/>
        <w:jc w:val="both"/>
      </w:pPr>
      <w:r>
        <w:rPr>
          <w:sz w:val="24"/>
          <w:szCs w:val="24"/>
        </w:rPr>
      </w:r>
    </w:p>
    <w:p>
      <w:pPr>
        <w:pStyle w:val="style0"/>
        <w:jc w:val="both"/>
      </w:pPr>
      <w:r>
        <w:rPr/>
        <w:t>2.  Minimalny okres gwarancji na przedmiot zamówienia Zamawiający ustalił na 36 miesięcy.</w:t>
      </w:r>
    </w:p>
    <w:p>
      <w:pPr>
        <w:pStyle w:val="style0"/>
        <w:jc w:val="both"/>
      </w:pPr>
      <w:r>
        <w:rPr>
          <w:rFonts w:cs="Tahoma"/>
        </w:rPr>
        <w:t>3.</w:t>
      </w:r>
      <w:r>
        <w:rPr/>
        <w:t xml:space="preserve"> Szczegółowy zakres prac określają przedmiary robót (zał. nr 8 i 9 do niniejszej specyfikacji).</w:t>
      </w:r>
    </w:p>
    <w:p>
      <w:pPr>
        <w:pStyle w:val="style0"/>
        <w:ind w:hanging="284" w:left="284" w:right="0"/>
        <w:jc w:val="both"/>
      </w:pPr>
      <w:r>
        <w:rPr>
          <w:rFonts w:cs="Tahoma"/>
        </w:rPr>
        <w:t>4. Zaleca się</w:t>
      </w:r>
      <w:r>
        <w:rPr>
          <w:rFonts w:cs="Tahoma"/>
          <w:i/>
        </w:rPr>
        <w:t xml:space="preserve"> </w:t>
      </w:r>
      <w:r>
        <w:rPr>
          <w:rFonts w:cs="Tahoma"/>
        </w:rPr>
        <w:t>aby Wykonawca dokonał wizji lokalnej w celu zapoznania się z miejscem realizacji robót oraz ich zakresem, a także zdobył na własną odpowiedzialność i ryzyko, wszelkie dodatkowe informacje, które mogą być konieczne do przygotowania oferty oraz zawarcia umowy i wykonania zamówienia.</w:t>
      </w:r>
    </w:p>
    <w:p>
      <w:pPr>
        <w:pStyle w:val="style0"/>
        <w:ind w:hanging="284" w:left="284" w:right="0"/>
        <w:jc w:val="both"/>
      </w:pPr>
      <w:r>
        <w:rPr>
          <w:rFonts w:cs="Tahoma"/>
        </w:rPr>
        <w:t xml:space="preserve">5.  </w:t>
      </w:r>
      <w:r>
        <w:rPr/>
        <w:t xml:space="preserve">Zamawiający dołącza do SIWZ przedmiar robót. Do oferty należy załączyć kosztorys ofertowy. Kosztorys należy sporządzić w formie kosztorysu szczegółowego. </w:t>
      </w:r>
    </w:p>
    <w:p>
      <w:pPr>
        <w:pStyle w:val="style0"/>
        <w:ind w:hanging="284" w:left="284" w:right="0"/>
        <w:jc w:val="both"/>
      </w:pPr>
      <w:r>
        <w:rPr/>
        <w:t>6. W ofercie Wykonawca powinien podać cenę ryczałtową, obejmującą całkowity koszt wykonania przedmiotu zamówienia, uwzględniającą rozmiar robót budowlanych i inne koszty ponoszone przez Wykonawcę. Wykonawca nie będzie mógł żądać podwyższenia wynagrodzenia.</w:t>
      </w:r>
    </w:p>
    <w:p>
      <w:pPr>
        <w:pStyle w:val="style0"/>
        <w:ind w:hanging="284" w:left="284" w:right="0"/>
        <w:jc w:val="both"/>
      </w:pPr>
      <w:r>
        <w:rPr/>
        <w:t>7 Użyte w przedmiarach robót symbole firm i ich znaki towarowe należy traktować jako opis technologii i parametrów technicznych materiałów. Zamawiający dopuszcza złożenie oferty z wykorzystaniem równoważnych  technologii  i materiałów.</w:t>
      </w:r>
    </w:p>
    <w:p>
      <w:pPr>
        <w:pStyle w:val="style0"/>
        <w:tabs>
          <w:tab w:leader="none" w:pos="540" w:val="left"/>
        </w:tabs>
        <w:suppressAutoHyphens w:val="false"/>
        <w:jc w:val="both"/>
      </w:pPr>
      <w:r>
        <w:rPr/>
        <w:t>8.  Zamawiający nie dopuszcza możliwości składania ofert wariantowych.</w:t>
      </w:r>
    </w:p>
    <w:p>
      <w:pPr>
        <w:pStyle w:val="style0"/>
        <w:tabs>
          <w:tab w:leader="none" w:pos="824" w:val="left"/>
        </w:tabs>
        <w:suppressAutoHyphens w:val="false"/>
        <w:ind w:hanging="284" w:left="284" w:right="0"/>
        <w:jc w:val="both"/>
      </w:pPr>
      <w:r>
        <w:rPr/>
        <w:t>9.  Zamawiający nie przewiduje udzielenie zamówień uzupełniających, o których mowa w art. 67 ust. 1 pkt 6 ustawy.</w:t>
      </w:r>
    </w:p>
    <w:p>
      <w:pPr>
        <w:pStyle w:val="style0"/>
        <w:tabs>
          <w:tab w:leader="none" w:pos="824" w:val="left"/>
        </w:tabs>
        <w:suppressAutoHyphens w:val="false"/>
        <w:ind w:hanging="284" w:left="284" w:right="0"/>
        <w:jc w:val="both"/>
      </w:pPr>
      <w:r>
        <w:rPr/>
        <w:t xml:space="preserve">10. Zamawiający nie zamierza zawrzeć umowy ramowej ani ustanowić dynamicznego systemu zakupów. </w:t>
      </w:r>
    </w:p>
    <w:p>
      <w:pPr>
        <w:pStyle w:val="style0"/>
        <w:tabs>
          <w:tab w:leader="none" w:pos="540" w:val="left"/>
        </w:tabs>
        <w:suppressAutoHyphens w:val="false"/>
        <w:jc w:val="both"/>
      </w:pPr>
      <w:r>
        <w:rPr/>
        <w:t xml:space="preserve">11. Nie będzie zastosowana aukcja elektroniczna. </w:t>
      </w:r>
    </w:p>
    <w:p>
      <w:pPr>
        <w:pStyle w:val="style0"/>
        <w:tabs>
          <w:tab w:leader="none" w:pos="824" w:val="left"/>
        </w:tabs>
        <w:suppressAutoHyphens w:val="false"/>
        <w:ind w:hanging="284" w:left="284" w:right="0"/>
        <w:jc w:val="both"/>
      </w:pPr>
      <w:r>
        <w:rPr>
          <w:spacing w:val="-1"/>
        </w:rPr>
        <w:t xml:space="preserve">12. . Informacja na temat możliwości powierzenia przez wykonawcę wykonania części lub całości zamówienia podwykonawcom: </w:t>
      </w:r>
    </w:p>
    <w:p>
      <w:pPr>
        <w:pStyle w:val="style0"/>
        <w:tabs>
          <w:tab w:leader="none" w:pos="824" w:val="left"/>
        </w:tabs>
        <w:suppressAutoHyphens w:val="false"/>
        <w:ind w:hanging="284" w:left="284" w:right="0"/>
        <w:jc w:val="both"/>
      </w:pPr>
      <w:r>
        <w:rPr>
          <w:spacing w:val="-1"/>
        </w:rPr>
        <w:t>a) Zamawiający nie stawia wymagań odnośnie obowiązku osobistego wykonania przez wykonawcę kluczowych części zamówienia</w:t>
      </w:r>
    </w:p>
    <w:p>
      <w:pPr>
        <w:pStyle w:val="style0"/>
        <w:tabs>
          <w:tab w:leader="none" w:pos="824" w:val="left"/>
        </w:tabs>
        <w:suppressAutoHyphens w:val="false"/>
        <w:ind w:hanging="284" w:left="284" w:right="0"/>
        <w:jc w:val="both"/>
      </w:pPr>
      <w:r>
        <w:rPr>
          <w:spacing w:val="-1"/>
        </w:rPr>
        <w:t>b) Zgodnie z art. 36a ust. 1 ustawy Pzp, Wykonawca może powierzyć wykonanie części zamówienia podwykonawcy</w:t>
      </w:r>
    </w:p>
    <w:p>
      <w:pPr>
        <w:pStyle w:val="style0"/>
        <w:tabs>
          <w:tab w:leader="none" w:pos="824" w:val="left"/>
        </w:tabs>
        <w:suppressAutoHyphens w:val="false"/>
        <w:ind w:hanging="284" w:left="284" w:right="0"/>
        <w:jc w:val="both"/>
      </w:pPr>
      <w:r>
        <w:rPr>
          <w:spacing w:val="-1"/>
        </w:rPr>
        <w:t>c) zgodnie z art. 36b ust. 1 ustawy Pzp, Zamawiający żąda wskazania przez wykonawcę części zamówienia, której wykonanie zamierza powierzyć podwykonawcy oraz podania przez wykonawcę nazw (firm) podwykonawców, na których zasoby wykonawca powołuje się na zasadach określonych a art. 26 ust. 2b Ustawy, w celu wykazania spełnienia warunków udziału w postepowaniu, o których mowa w art. 22 ust. 1 ustawy Pzp.</w:t>
      </w:r>
    </w:p>
    <w:p>
      <w:pPr>
        <w:pStyle w:val="style0"/>
        <w:tabs>
          <w:tab w:leader="none" w:pos="824" w:val="left"/>
        </w:tabs>
        <w:suppressAutoHyphens w:val="false"/>
        <w:ind w:hanging="284" w:left="284" w:right="0"/>
        <w:jc w:val="both"/>
      </w:pPr>
      <w:r>
        <w:rPr>
          <w:spacing w:val="-1"/>
        </w:rPr>
        <w:t>Jeżeli zmiana albo rezygnacja z podwykonawstwa dotyczy podmiotu, na którego zasoby wykonawca powoływał się , na zasadach określonych w art. 26 ust. 2b ustawy, w celu spełnienia warunków udziału w postepowaniu, o których mowa w art. 22 ust. 1 ustawy, wykonawca jest zobowiązany wykazać zamawiającemu iż proponowany inny podwykonawca lub wykonawca samodzielnie spełnia je w stopniu nie mniejszym niż wymagany w trakcie postepowania o udzielenie zamówienia, pod rygorem odstąpienia od umowy z przyczyn leżących po stronie wykonawcy.</w:t>
      </w:r>
    </w:p>
    <w:p>
      <w:pPr>
        <w:pStyle w:val="style0"/>
        <w:tabs>
          <w:tab w:leader="none" w:pos="824" w:val="left"/>
        </w:tabs>
        <w:suppressAutoHyphens w:val="false"/>
        <w:ind w:hanging="284" w:left="284" w:right="0"/>
        <w:jc w:val="both"/>
      </w:pPr>
      <w:r>
        <w:rPr>
          <w:spacing w:val="-1"/>
        </w:rPr>
        <w:t>d) W przypadku zamiaru powierzenia części zamówienia podwykonawcy, wykonawca zobowiązany jest wpisać powyższą informację w formularzu oferty. Brak wskazania w ofercie przewidzianych podwykonawców do realizacji robót oznacza, że wykonawca zobowiązuje się do wykonania robót osobiście tj. bez udziału podwykonawców.</w:t>
      </w:r>
    </w:p>
    <w:p>
      <w:pPr>
        <w:pStyle w:val="style0"/>
        <w:tabs>
          <w:tab w:leader="none" w:pos="824" w:val="left"/>
        </w:tabs>
        <w:suppressAutoHyphens w:val="false"/>
        <w:ind w:hanging="284" w:left="284" w:right="0"/>
        <w:jc w:val="both"/>
      </w:pPr>
      <w:r>
        <w:rPr>
          <w:spacing w:val="-1"/>
        </w:rPr>
        <w:t>e) wymagania dotyczące umowy o podwykonawstwo na roboty.</w:t>
      </w:r>
    </w:p>
    <w:p>
      <w:pPr>
        <w:pStyle w:val="style0"/>
        <w:tabs>
          <w:tab w:leader="none" w:pos="824" w:val="left"/>
        </w:tabs>
        <w:suppressAutoHyphens w:val="false"/>
        <w:ind w:hanging="284" w:left="284" w:right="0"/>
        <w:jc w:val="both"/>
      </w:pPr>
      <w:r>
        <w:rPr>
          <w:spacing w:val="-1"/>
          <w:u w:val="single"/>
        </w:rPr>
        <w:t>Umowa powinna zawierać:</w:t>
      </w:r>
    </w:p>
    <w:p>
      <w:pPr>
        <w:pStyle w:val="style0"/>
        <w:tabs>
          <w:tab w:leader="none" w:pos="824" w:val="left"/>
        </w:tabs>
        <w:suppressAutoHyphens w:val="false"/>
        <w:ind w:hanging="284" w:left="284" w:right="0"/>
        <w:jc w:val="both"/>
      </w:pPr>
      <w:r>
        <w:rPr>
          <w:spacing w:val="-1"/>
        </w:rPr>
        <w:t>wskazanie, że umowa dotyczy zamówienia publicznego Gminy Szumowo pod nazwą Wykonanie</w:t>
      </w:r>
    </w:p>
    <w:p>
      <w:pPr>
        <w:pStyle w:val="style0"/>
        <w:tabs>
          <w:tab w:leader="none" w:pos="824" w:val="left"/>
        </w:tabs>
        <w:suppressAutoHyphens w:val="false"/>
        <w:ind w:hanging="284" w:left="284" w:right="0"/>
        <w:jc w:val="both"/>
      </w:pPr>
      <w:r>
        <w:rPr>
          <w:spacing w:val="-1"/>
        </w:rPr>
        <w:t>termomodernizacji budynków Zespołu Szkół w Szumowie.</w:t>
      </w:r>
    </w:p>
    <w:p>
      <w:pPr>
        <w:pStyle w:val="style0"/>
        <w:tabs>
          <w:tab w:leader="none" w:pos="824" w:val="left"/>
        </w:tabs>
        <w:suppressAutoHyphens w:val="false"/>
        <w:ind w:hanging="284" w:left="284" w:right="0"/>
        <w:jc w:val="both"/>
      </w:pPr>
      <w:r>
        <w:rPr>
          <w:spacing w:val="-1"/>
        </w:rPr>
        <w:t>- którego ogłoszenie opublikowano w BZP</w:t>
      </w:r>
    </w:p>
    <w:p>
      <w:pPr>
        <w:pStyle w:val="style0"/>
        <w:tabs>
          <w:tab w:leader="none" w:pos="824" w:val="left"/>
        </w:tabs>
        <w:suppressAutoHyphens w:val="false"/>
        <w:ind w:hanging="284" w:left="284" w:right="0"/>
        <w:jc w:val="both"/>
      </w:pPr>
      <w:r>
        <w:rPr>
          <w:spacing w:val="-1"/>
        </w:rPr>
        <w:t>- datę i numer umowy zawartej pomiędzy Gminą Szumowo a Wykonawcą,</w:t>
      </w:r>
    </w:p>
    <w:p>
      <w:pPr>
        <w:pStyle w:val="style0"/>
        <w:tabs>
          <w:tab w:leader="none" w:pos="824" w:val="left"/>
        </w:tabs>
        <w:suppressAutoHyphens w:val="false"/>
        <w:ind w:hanging="284" w:left="284" w:right="0"/>
        <w:jc w:val="both"/>
      </w:pPr>
      <w:r>
        <w:rPr>
          <w:spacing w:val="-1"/>
        </w:rPr>
        <w:t>- zobowiązanie podwykonawcy do wykonania robót o podwykonawstwo wyłącznie na potrzeby stanowiącej przedmiot zamówienia publicznego Gminy Szumowo,</w:t>
      </w:r>
    </w:p>
    <w:p>
      <w:pPr>
        <w:pStyle w:val="style0"/>
        <w:tabs>
          <w:tab w:leader="none" w:pos="824" w:val="left"/>
        </w:tabs>
        <w:suppressAutoHyphens w:val="false"/>
        <w:ind w:hanging="284" w:left="284" w:right="0"/>
        <w:jc w:val="both"/>
      </w:pPr>
      <w:r>
        <w:rPr>
          <w:spacing w:val="-1"/>
        </w:rPr>
        <w:t xml:space="preserve">- obowiązek ustalenia przez strony umowy o podwykonawstwo wartości robót wykonanych przez podwykonawcę będących podmiotem odbiorów częściowych lub odbioru końcowego dokonanych przez Zamawiającego </w:t>
      </w:r>
    </w:p>
    <w:p>
      <w:pPr>
        <w:pStyle w:val="style0"/>
        <w:tabs>
          <w:tab w:leader="none" w:pos="824" w:val="left"/>
        </w:tabs>
        <w:suppressAutoHyphens w:val="false"/>
        <w:ind w:hanging="284" w:left="284" w:right="0"/>
        <w:jc w:val="both"/>
      </w:pPr>
      <w:r>
        <w:rPr>
          <w:spacing w:val="-1"/>
        </w:rPr>
        <w:t>- oświadczenie podwykonawcy o zapoznaniu się ze SWIZ oraz umową łączącą Zamawiającego i Wykonawcę i akceptuje warunki dotyczące podwykonawcy w nich zawarte.</w:t>
      </w:r>
    </w:p>
    <w:p>
      <w:pPr>
        <w:pStyle w:val="style0"/>
        <w:tabs>
          <w:tab w:leader="none" w:pos="824" w:val="left"/>
        </w:tabs>
        <w:suppressAutoHyphens w:val="false"/>
        <w:ind w:hanging="284" w:left="284" w:right="0"/>
        <w:jc w:val="both"/>
      </w:pPr>
      <w:r>
        <w:rPr>
          <w:spacing w:val="-1"/>
          <w:u w:val="single"/>
        </w:rPr>
        <w:t>Zamawiający nie dopuszcza:</w:t>
      </w:r>
    </w:p>
    <w:p>
      <w:pPr>
        <w:pStyle w:val="style0"/>
        <w:tabs>
          <w:tab w:leader="none" w:pos="824" w:val="left"/>
        </w:tabs>
        <w:suppressAutoHyphens w:val="false"/>
        <w:ind w:hanging="284" w:left="284" w:right="0"/>
        <w:jc w:val="both"/>
      </w:pPr>
      <w:r>
        <w:rPr>
          <w:spacing w:val="-1"/>
        </w:rPr>
        <w:t>- objęcia umową o podwykonawstwo tych części zamówienia, które nie były w ofercie przewidziane do wykonania przez podwykonawców,</w:t>
      </w:r>
    </w:p>
    <w:p>
      <w:pPr>
        <w:pStyle w:val="style0"/>
        <w:tabs>
          <w:tab w:leader="none" w:pos="824" w:val="left"/>
        </w:tabs>
        <w:suppressAutoHyphens w:val="false"/>
        <w:ind w:hanging="284" w:left="284" w:right="0"/>
        <w:jc w:val="both"/>
      </w:pPr>
      <w:r>
        <w:rPr>
          <w:spacing w:val="-1"/>
        </w:rPr>
        <w:t>- ustalenia wynagrodzenia podwykonawcy w umowie o podwykonawstwo w wysokości wyższej niż wysokość wynagrodzenia należnego Wykonawcy za te część robót,</w:t>
      </w:r>
    </w:p>
    <w:p>
      <w:pPr>
        <w:pStyle w:val="style0"/>
        <w:tabs>
          <w:tab w:leader="none" w:pos="824" w:val="left"/>
        </w:tabs>
        <w:suppressAutoHyphens w:val="false"/>
        <w:ind w:hanging="284" w:left="284" w:right="0"/>
        <w:jc w:val="both"/>
      </w:pPr>
      <w:r>
        <w:rPr>
          <w:spacing w:val="-1"/>
        </w:rPr>
        <w:t>- objęcia umową o podwykonawstwo robót nie objętych umową pomiędzy Zamawiającym a Wykonawcą lub wykraczającymi poza ich zakres.</w:t>
      </w:r>
    </w:p>
    <w:p>
      <w:pPr>
        <w:pStyle w:val="style0"/>
        <w:tabs>
          <w:tab w:leader="none" w:pos="824" w:val="left"/>
        </w:tabs>
        <w:suppressAutoHyphens w:val="false"/>
        <w:ind w:hanging="284" w:left="284" w:right="0"/>
        <w:jc w:val="both"/>
      </w:pPr>
      <w:r>
        <w:rPr>
          <w:spacing w:val="-1"/>
        </w:rPr>
        <w:t>f) Dodatkowe informacje w zakresie podwykonawstwa:</w:t>
      </w:r>
    </w:p>
    <w:p>
      <w:pPr>
        <w:pStyle w:val="style0"/>
        <w:tabs>
          <w:tab w:leader="none" w:pos="824" w:val="left"/>
        </w:tabs>
        <w:suppressAutoHyphens w:val="false"/>
        <w:ind w:hanging="284" w:left="284" w:right="0"/>
        <w:jc w:val="both"/>
      </w:pPr>
      <w:r>
        <w:rPr>
          <w:spacing w:val="-1"/>
        </w:rPr>
        <w:t>- termin, o którym mowa w art. 143d ust. 1 pkt. 2 ustala się na 10 dni roboczych od daty dostarczenia projektu umowy lub zmiany umowy o podwykonawstwo robót.</w:t>
      </w:r>
    </w:p>
    <w:p>
      <w:pPr>
        <w:pStyle w:val="style0"/>
        <w:tabs>
          <w:tab w:leader="none" w:pos="824" w:val="left"/>
        </w:tabs>
        <w:suppressAutoHyphens w:val="false"/>
        <w:ind w:hanging="284" w:left="284" w:right="0"/>
        <w:jc w:val="both"/>
      </w:pPr>
      <w:r>
        <w:rPr>
          <w:spacing w:val="-1"/>
        </w:rPr>
        <w:t>- Zamawiający zastrzega możliwość odstąpienia od umowy z winy wykonawcy w przypadku nie spełnienia wymogów określonych w art. 36 ust. 2 Pzp wraz ze skutkami wynikającymi z odstąpienia od umowy wykonawcy (kara umowna 10%)</w:t>
      </w:r>
    </w:p>
    <w:p>
      <w:pPr>
        <w:pStyle w:val="style0"/>
        <w:tabs>
          <w:tab w:leader="none" w:pos="824" w:val="left"/>
        </w:tabs>
        <w:suppressAutoHyphens w:val="false"/>
        <w:ind w:hanging="284" w:left="284" w:right="0"/>
        <w:jc w:val="both"/>
      </w:pPr>
      <w:r>
        <w:rPr>
          <w:spacing w:val="-1"/>
        </w:rPr>
        <w:t>- Zamawiający zobowiązuje się do przekazania wykonawcy kopii otrzymanych przez Zamawiającego umów o podwykonawstwo w ciągu 7 dni od daty ich otrzymania.</w:t>
      </w:r>
    </w:p>
    <w:p>
      <w:pPr>
        <w:pStyle w:val="style0"/>
        <w:tabs>
          <w:tab w:leader="none" w:pos="824" w:val="left"/>
        </w:tabs>
        <w:suppressAutoHyphens w:val="false"/>
        <w:ind w:hanging="284" w:left="284" w:right="0"/>
        <w:jc w:val="both"/>
      </w:pPr>
      <w:r>
        <w:rPr>
          <w:spacing w:val="-1"/>
        </w:rPr>
        <w:t xml:space="preserve">14. Jeśli Wykonawca zawrze umowę z podwykonawcą bez zgody, o której mowa w punkcie 12, Zamawiający może, bez przekazania formalnego zawiadomienia o tym, według swojej decyzji, zastosować sankcje za naruszenie umowy, tzn. wypowiedzieć umowę z konsekwencjami określonymi w § 8  pkt 1 umowy. </w:t>
      </w:r>
    </w:p>
    <w:p>
      <w:pPr>
        <w:pStyle w:val="style68"/>
        <w:tabs>
          <w:tab w:leader="none" w:pos="7408" w:val="left"/>
        </w:tabs>
        <w:spacing w:line="278" w:lineRule="exact"/>
        <w:ind w:hanging="0" w:left="0" w:right="60"/>
        <w:jc w:val="both"/>
      </w:pPr>
      <w:r>
        <w:rPr>
          <w:sz w:val="24"/>
          <w:szCs w:val="24"/>
        </w:rPr>
        <w:t xml:space="preserve">Wspólny Słownik Zamówień (CPV)-  45453000-7 – </w:t>
      </w:r>
      <w:r>
        <w:rPr>
          <w:rFonts w:cs="Tahoma"/>
          <w:sz w:val="24"/>
          <w:szCs w:val="24"/>
        </w:rPr>
        <w:t>roboty remontowe i elewacyjne.</w:t>
      </w:r>
    </w:p>
    <w:p>
      <w:pPr>
        <w:pStyle w:val="style0"/>
        <w:jc w:val="both"/>
      </w:pPr>
      <w:r>
        <w:rPr/>
      </w:r>
    </w:p>
    <w:p>
      <w:pPr>
        <w:pStyle w:val="style0"/>
        <w:ind w:hanging="0" w:left="10" w:right="0"/>
        <w:jc w:val="both"/>
      </w:pPr>
      <w:r>
        <w:rPr>
          <w:rFonts w:cs="Tahoma" w:eastAsia="Times New Roman"/>
          <w:color w:val="000000"/>
        </w:rPr>
      </w:r>
    </w:p>
    <w:p>
      <w:pPr>
        <w:pStyle w:val="style0"/>
        <w:ind w:hanging="0" w:left="10" w:right="0"/>
        <w:jc w:val="both"/>
      </w:pPr>
      <w:r>
        <w:rPr>
          <w:rFonts w:cs="Tahoma"/>
          <w:b/>
          <w:u w:val="single"/>
        </w:rPr>
      </w:r>
    </w:p>
    <w:p>
      <w:pPr>
        <w:pStyle w:val="style0"/>
        <w:ind w:hanging="0" w:left="10" w:right="0"/>
        <w:jc w:val="both"/>
      </w:pPr>
      <w:r>
        <w:rPr>
          <w:rFonts w:cs="Tahoma"/>
          <w:b/>
          <w:u w:val="single"/>
        </w:rPr>
        <w:t>4.</w:t>
      </w:r>
      <w:r>
        <w:rPr>
          <w:rFonts w:cs="Tahoma"/>
          <w:b/>
          <w:sz w:val="26"/>
          <w:u w:val="single"/>
        </w:rPr>
        <w:t>Termin wykonania zamówienia.</w:t>
      </w:r>
    </w:p>
    <w:p>
      <w:pPr>
        <w:pStyle w:val="style0"/>
        <w:ind w:hanging="0" w:left="20" w:right="0"/>
      </w:pPr>
      <w:r>
        <w:rPr>
          <w:rFonts w:cs="Tahoma" w:eastAsia="Times New Roman"/>
        </w:rPr>
        <w:t>Terminy realizacji zamówienia ustala się do dnia 30.06.2016 r.</w:t>
      </w:r>
    </w:p>
    <w:p>
      <w:pPr>
        <w:pStyle w:val="style0"/>
        <w:ind w:hanging="0" w:left="20" w:right="0"/>
      </w:pPr>
      <w:r>
        <w:rPr>
          <w:rFonts w:cs="Tahoma" w:eastAsia="Times New Roman"/>
        </w:rPr>
      </w:r>
    </w:p>
    <w:p>
      <w:pPr>
        <w:pStyle w:val="style68"/>
        <w:tabs>
          <w:tab w:leader="none" w:pos="1415" w:val="left"/>
          <w:tab w:leader="none" w:pos="16183" w:val="left"/>
        </w:tabs>
      </w:pPr>
      <w:r>
        <w:rPr>
          <w:b/>
          <w:bCs/>
          <w:sz w:val="26"/>
          <w:u w:val="single"/>
        </w:rPr>
        <w:t>5. Opis warunków udziału w postępowaniu oraz opis sposobu dokonywania oceny spełniania tych warunków.</w:t>
      </w:r>
    </w:p>
    <w:p>
      <w:pPr>
        <w:pStyle w:val="style68"/>
        <w:tabs>
          <w:tab w:leader="none" w:pos="4346" w:val="left"/>
          <w:tab w:leader="none" w:pos="10630" w:val="left"/>
        </w:tabs>
        <w:ind w:hanging="334" w:left="322" w:right="0"/>
        <w:jc w:val="both"/>
      </w:pPr>
      <w:r>
        <w:rPr/>
        <w:t>1.  O udzielenie zamówienia mogą ubiegać się oferenci, którzy spełniają warunki: (art. 22 ust.1 pkt 1-4):</w:t>
      </w:r>
    </w:p>
    <w:p>
      <w:pPr>
        <w:pStyle w:val="style0"/>
        <w:tabs>
          <w:tab w:leader="none" w:pos="648" w:val="left"/>
          <w:tab w:leader="none" w:pos="1608" w:val="left"/>
          <w:tab w:leader="none" w:pos="3456" w:val="left"/>
          <w:tab w:leader="none" w:pos="24330" w:val="left"/>
        </w:tabs>
        <w:ind w:hanging="0" w:left="120" w:right="0"/>
        <w:jc w:val="both"/>
      </w:pPr>
      <w:r>
        <w:rPr>
          <w:rFonts w:cs="Arial" w:eastAsia="Arial"/>
        </w:rPr>
        <w:t xml:space="preserve">1)   posiadają uprawnienia do wykonywania określonej działalności lub czynności, jeżeli przepisy </w:t>
        <w:tab/>
        <w:t>prawa nakładają obowiązek ich posiadania;</w:t>
      </w:r>
    </w:p>
    <w:p>
      <w:pPr>
        <w:pStyle w:val="style68"/>
        <w:tabs>
          <w:tab w:leader="none" w:pos="2634" w:val="left"/>
          <w:tab w:leader="none" w:pos="4560" w:val="left"/>
          <w:tab w:leader="none" w:pos="24330" w:val="left"/>
        </w:tabs>
        <w:ind w:hanging="0" w:left="120" w:right="0"/>
        <w:jc w:val="both"/>
      </w:pPr>
      <w:r>
        <w:rPr>
          <w:sz w:val="24"/>
          <w:szCs w:val="24"/>
        </w:rPr>
        <w:t>2)    posiadają wiedzę i doświadczenie;</w:t>
      </w:r>
    </w:p>
    <w:p>
      <w:pPr>
        <w:pStyle w:val="style0"/>
        <w:tabs>
          <w:tab w:leader="none" w:pos="661" w:val="left"/>
          <w:tab w:leader="none" w:pos="4560" w:val="left"/>
          <w:tab w:leader="none" w:pos="24330" w:val="left"/>
        </w:tabs>
        <w:ind w:hanging="0" w:left="120" w:right="0"/>
        <w:jc w:val="both"/>
      </w:pPr>
      <w:r>
        <w:rPr>
          <w:rFonts w:cs="Arial" w:eastAsia="Arial"/>
        </w:rPr>
        <w:t xml:space="preserve">3)   dysponują odpowiednim potencjałem technicznym oraz osobami zdolnymi do wykonania </w:t>
        <w:tab/>
        <w:t>zamówienia;</w:t>
      </w:r>
    </w:p>
    <w:p>
      <w:pPr>
        <w:pStyle w:val="style68"/>
        <w:tabs>
          <w:tab w:leader="none" w:pos="2520" w:val="left"/>
          <w:tab w:leader="none" w:pos="22290" w:val="left"/>
        </w:tabs>
        <w:jc w:val="both"/>
      </w:pPr>
      <w:r>
        <w:rPr>
          <w:sz w:val="24"/>
          <w:szCs w:val="24"/>
        </w:rPr>
        <w:t xml:space="preserve">  </w:t>
      </w:r>
      <w:r>
        <w:rPr>
          <w:sz w:val="24"/>
          <w:szCs w:val="24"/>
        </w:rPr>
        <w:t>4)    dotyczące sytuacji ekonomicznej i finansowej.</w:t>
      </w:r>
    </w:p>
    <w:p>
      <w:pPr>
        <w:pStyle w:val="style68"/>
        <w:tabs>
          <w:tab w:leader="none" w:pos="2520" w:val="left"/>
          <w:tab w:leader="none" w:pos="22290" w:val="left"/>
        </w:tabs>
        <w:jc w:val="both"/>
      </w:pPr>
      <w:r>
        <w:rPr>
          <w:sz w:val="24"/>
          <w:szCs w:val="24"/>
        </w:rPr>
      </w:r>
    </w:p>
    <w:p>
      <w:pPr>
        <w:pStyle w:val="style68"/>
        <w:tabs>
          <w:tab w:leader="none" w:pos="2520" w:val="left"/>
          <w:tab w:leader="none" w:pos="22290" w:val="left"/>
        </w:tabs>
        <w:jc w:val="both"/>
      </w:pPr>
      <w:r>
        <w:rPr>
          <w:sz w:val="24"/>
          <w:szCs w:val="24"/>
        </w:rPr>
      </w:r>
    </w:p>
    <w:p>
      <w:pPr>
        <w:pStyle w:val="style68"/>
        <w:numPr>
          <w:ilvl w:val="0"/>
          <w:numId w:val="9"/>
        </w:numPr>
        <w:tabs>
          <w:tab w:leader="none" w:pos="606" w:val="left"/>
          <w:tab w:leader="none" w:pos="8992" w:val="left"/>
        </w:tabs>
        <w:ind w:hanging="360" w:left="371" w:right="0"/>
      </w:pPr>
      <w:r>
        <w:rPr>
          <w:sz w:val="24"/>
          <w:szCs w:val="24"/>
        </w:rPr>
        <w:t>Opis sposobu dokonywania oceny spełniania warunków udziału</w:t>
      </w:r>
    </w:p>
    <w:p>
      <w:pPr>
        <w:pStyle w:val="style0"/>
        <w:tabs>
          <w:tab w:leader="none" w:pos="1280" w:val="left"/>
          <w:tab w:leader="none" w:pos="9666" w:val="left"/>
        </w:tabs>
        <w:spacing w:line="100" w:lineRule="atLeast"/>
        <w:ind w:hanging="348" w:left="708" w:right="0"/>
        <w:jc w:val="both"/>
      </w:pPr>
      <w:r>
        <w:rPr>
          <w:b/>
        </w:rPr>
        <w:t>1) Za spełnienie warunku posiadania uprawnień do wykonywania określonej działalności lub czynności, jeżeli przepisy prawa nakładają obowiązek ich posiadania.</w:t>
      </w:r>
      <w:r>
        <w:rPr/>
        <w:t xml:space="preserve"> </w:t>
      </w:r>
    </w:p>
    <w:p>
      <w:pPr>
        <w:pStyle w:val="style0"/>
        <w:tabs>
          <w:tab w:leader="none" w:pos="1280" w:val="left"/>
          <w:tab w:leader="none" w:pos="9666" w:val="left"/>
        </w:tabs>
        <w:spacing w:line="100" w:lineRule="atLeast"/>
        <w:ind w:hanging="0" w:left="708" w:right="0"/>
        <w:jc w:val="both"/>
      </w:pPr>
      <w:r>
        <w:rPr/>
        <w:t>Oferent powinien przedłożyć oświadczenie zgodne z art. 22 ust. 1 ustawy Prawo zamówień publicznych (zał. nr 2 do SIWZ).</w:t>
      </w:r>
    </w:p>
    <w:p>
      <w:pPr>
        <w:pStyle w:val="style0"/>
        <w:tabs>
          <w:tab w:leader="none" w:pos="1280" w:val="left"/>
          <w:tab w:leader="none" w:pos="9666" w:val="left"/>
        </w:tabs>
        <w:spacing w:line="100" w:lineRule="atLeast"/>
        <w:ind w:hanging="0" w:left="708" w:right="0"/>
        <w:jc w:val="both"/>
      </w:pPr>
      <w:r>
        <w:rPr>
          <w:b/>
          <w:bCs/>
        </w:rPr>
      </w:r>
    </w:p>
    <w:p>
      <w:pPr>
        <w:pStyle w:val="style0"/>
        <w:tabs>
          <w:tab w:leader="none" w:pos="947" w:val="left"/>
          <w:tab w:leader="none" w:pos="9333" w:val="left"/>
        </w:tabs>
        <w:spacing w:line="100" w:lineRule="atLeast"/>
        <w:ind w:hanging="0" w:left="375" w:right="0"/>
        <w:jc w:val="both"/>
      </w:pPr>
      <w:r>
        <w:rPr>
          <w:b/>
          <w:bCs/>
        </w:rPr>
        <w:t>2)</w:t>
      </w:r>
      <w:r>
        <w:rPr/>
        <w:t xml:space="preserve"> </w:t>
      </w:r>
      <w:r>
        <w:rPr>
          <w:b/>
        </w:rPr>
        <w:t>Na potwierdzenie spełnienia warunku posiadania wiedzy i doświadczenia.</w:t>
      </w:r>
    </w:p>
    <w:p>
      <w:pPr>
        <w:pStyle w:val="style0"/>
        <w:tabs>
          <w:tab w:leader="none" w:pos="1280" w:val="left"/>
          <w:tab w:leader="none" w:pos="9666" w:val="left"/>
        </w:tabs>
        <w:spacing w:line="100" w:lineRule="atLeast"/>
        <w:ind w:hanging="0" w:left="708" w:right="0"/>
        <w:jc w:val="both"/>
      </w:pPr>
      <w:r>
        <w:rPr/>
        <w:t>Oferent powinien przedłożyć oświadczenie zgodne z art. 22 ust. 1 ustawy Prawo zamówień publicznych (zał. nr 2 do SIWZ).</w:t>
      </w:r>
    </w:p>
    <w:p>
      <w:pPr>
        <w:pStyle w:val="style0"/>
        <w:tabs>
          <w:tab w:leader="none" w:pos="1280" w:val="left"/>
          <w:tab w:leader="none" w:pos="9666" w:val="left"/>
        </w:tabs>
        <w:spacing w:line="100" w:lineRule="atLeast"/>
        <w:ind w:hanging="0" w:left="708" w:right="0"/>
        <w:jc w:val="both"/>
      </w:pPr>
      <w:r>
        <w:rPr>
          <w:b/>
          <w:bCs/>
        </w:rPr>
      </w:r>
    </w:p>
    <w:p>
      <w:pPr>
        <w:pStyle w:val="style0"/>
        <w:tabs>
          <w:tab w:leader="none" w:pos="917" w:val="left"/>
          <w:tab w:leader="none" w:pos="9303" w:val="left"/>
        </w:tabs>
        <w:spacing w:line="100" w:lineRule="atLeast"/>
        <w:ind w:hanging="0" w:left="345" w:right="0"/>
        <w:jc w:val="both"/>
      </w:pPr>
      <w:r>
        <w:rPr>
          <w:b/>
          <w:bCs/>
        </w:rPr>
        <w:t>3)</w:t>
      </w:r>
      <w:r>
        <w:rPr/>
        <w:t xml:space="preserve"> </w:t>
      </w:r>
      <w:r>
        <w:rPr>
          <w:b/>
        </w:rPr>
        <w:t>Na potwierdzenie spełnienia warunku dysponowania odpowiednim potencjałem technicznym oraz osobami zdolnymi do wykonania zamówienia.</w:t>
      </w:r>
    </w:p>
    <w:p>
      <w:pPr>
        <w:pStyle w:val="style0"/>
        <w:tabs>
          <w:tab w:leader="none" w:pos="1280" w:val="left"/>
          <w:tab w:leader="none" w:pos="9666" w:val="left"/>
        </w:tabs>
        <w:spacing w:line="100" w:lineRule="atLeast"/>
        <w:ind w:hanging="0" w:left="708" w:right="0"/>
        <w:jc w:val="both"/>
      </w:pPr>
      <w:r>
        <w:rPr/>
        <w:t xml:space="preserve">Oferent powinien przedłożyć oświadczenie zgodne z art. 22 ust. 1 ustawy Prawo zamówień publicznych (zał. nr 2 do SIWZ). </w:t>
      </w:r>
    </w:p>
    <w:p>
      <w:pPr>
        <w:pStyle w:val="style0"/>
        <w:tabs>
          <w:tab w:leader="none" w:pos="1280" w:val="left"/>
          <w:tab w:leader="none" w:pos="9666" w:val="left"/>
        </w:tabs>
        <w:spacing w:line="100" w:lineRule="atLeast"/>
        <w:ind w:hanging="0" w:left="708" w:right="0"/>
        <w:jc w:val="both"/>
      </w:pPr>
      <w:r>
        <w:rPr/>
      </w:r>
    </w:p>
    <w:p>
      <w:pPr>
        <w:pStyle w:val="style0"/>
        <w:tabs>
          <w:tab w:leader="none" w:pos="902" w:val="left"/>
          <w:tab w:leader="none" w:pos="9288" w:val="left"/>
        </w:tabs>
        <w:spacing w:line="100" w:lineRule="atLeast"/>
        <w:ind w:hanging="0" w:left="330" w:right="0"/>
        <w:jc w:val="both"/>
      </w:pPr>
      <w:r>
        <w:rPr>
          <w:b/>
          <w:bCs/>
        </w:rPr>
        <w:t>4)</w:t>
      </w:r>
      <w:r>
        <w:rPr/>
        <w:t xml:space="preserve"> </w:t>
      </w:r>
      <w:r>
        <w:rPr>
          <w:b/>
          <w:bCs/>
        </w:rPr>
        <w:t>Na potwierdzenie</w:t>
      </w:r>
      <w:r>
        <w:rPr>
          <w:b/>
        </w:rPr>
        <w:t xml:space="preserve"> spełnienia warunku dotyczącego sytuacji ekonomicznej i finansowej.</w:t>
      </w:r>
    </w:p>
    <w:p>
      <w:pPr>
        <w:pStyle w:val="style0"/>
        <w:tabs>
          <w:tab w:leader="none" w:pos="1280" w:val="left"/>
          <w:tab w:leader="none" w:pos="9666" w:val="left"/>
        </w:tabs>
        <w:spacing w:line="100" w:lineRule="atLeast"/>
        <w:ind w:hanging="0" w:left="708" w:right="0"/>
        <w:jc w:val="both"/>
      </w:pPr>
      <w:r>
        <w:rPr/>
        <w:t>Oferent powinien przedłożyć oświadczenie zgodne z art. 22 ust. 1 ustawy Prawo zamówień publicznych (zał. nr 2 do SIWZ).</w:t>
      </w:r>
    </w:p>
    <w:p>
      <w:pPr>
        <w:pStyle w:val="style0"/>
        <w:tabs>
          <w:tab w:leader="none" w:pos="1280" w:val="left"/>
          <w:tab w:leader="none" w:pos="9666" w:val="left"/>
        </w:tabs>
        <w:spacing w:line="100" w:lineRule="atLeast"/>
        <w:ind w:hanging="0" w:left="708" w:right="0"/>
        <w:jc w:val="both"/>
      </w:pPr>
      <w:r>
        <w:rPr/>
      </w:r>
    </w:p>
    <w:p>
      <w:pPr>
        <w:pStyle w:val="style0"/>
        <w:tabs>
          <w:tab w:leader="none" w:pos="1280" w:val="left"/>
          <w:tab w:leader="none" w:pos="9666" w:val="left"/>
        </w:tabs>
        <w:spacing w:line="100" w:lineRule="atLeast"/>
        <w:ind w:hanging="0" w:left="708" w:right="0"/>
        <w:jc w:val="both"/>
      </w:pPr>
      <w:r>
        <w:rPr/>
        <w:t xml:space="preserve">Ocena spełniania w/w warunków  zostanie dokonana zgodnie z formułą „spełnia – nie spełnia” w oparciu o informacje zawarte w oświadczeniach. </w:t>
      </w:r>
    </w:p>
    <w:p>
      <w:pPr>
        <w:pStyle w:val="style0"/>
        <w:tabs>
          <w:tab w:leader="none" w:pos="1280" w:val="left"/>
          <w:tab w:leader="none" w:pos="9666" w:val="left"/>
        </w:tabs>
        <w:spacing w:line="100" w:lineRule="atLeast"/>
        <w:ind w:hanging="0" w:left="708" w:right="0"/>
        <w:jc w:val="both"/>
      </w:pPr>
      <w:r>
        <w:rPr/>
      </w:r>
    </w:p>
    <w:p>
      <w:pPr>
        <w:pStyle w:val="style0"/>
        <w:tabs>
          <w:tab w:leader="none" w:pos="8958" w:val="left"/>
        </w:tabs>
        <w:spacing w:line="100" w:lineRule="atLeast"/>
        <w:jc w:val="both"/>
      </w:pPr>
      <w:r>
        <w:rPr>
          <w:rFonts w:eastAsia="Times New Roman"/>
        </w:rPr>
        <w:t xml:space="preserve"> </w:t>
      </w:r>
      <w:r>
        <w:rPr/>
        <w:t>3. Wykonawca może polegać na wiedzy i doświadczeniu, potencjale technicznym, osobach zdolnych do wykonania zamówienia innych podmiotów, niezależnie od charakteru prawnego łączącego go z nimi stosunków. Wykonawca w takiej sytuacji zobowiązany jest udowodnić Zamawiającemu, iż będzie dysponował zasobami niezbędnymi do realizacji zamówienia, w szczególności przedstawiając w tym celu pisemne, dołączone do oferty, zobowiązanie tych podmiotów lub inny dokument dotyczący oddania do dyspozycji niezbędnych zasobów na okres korzystania z nich przy wykonywaniu zamówienia. Z treści zobowiązania lub innego dokumentu ma wynikać kwestia regulacji sposobu wykorzystania zasobów innego podmiotu, przez Wykonawcę, przy wykonywaniu zamówienia, charakter stosunku, jaki będzie łączył Wykonawcę z innym podmiotem, zakres i okres udziału innego podmiotu przy wykonywaniu zamówienia.</w:t>
      </w:r>
    </w:p>
    <w:p>
      <w:pPr>
        <w:pStyle w:val="style0"/>
        <w:tabs>
          <w:tab w:leader="none" w:pos="8958" w:val="left"/>
        </w:tabs>
        <w:spacing w:line="100" w:lineRule="atLeast"/>
        <w:jc w:val="both"/>
      </w:pPr>
      <w:r>
        <w:rPr/>
        <w:t>4. Wykonawcy wspólnie ubiegający się o udzielenie zamówienia</w:t>
      </w:r>
    </w:p>
    <w:p>
      <w:pPr>
        <w:pStyle w:val="style73"/>
        <w:shd w:fill="FFFFFF" w:val="clear"/>
        <w:spacing w:line="100" w:lineRule="atLeast"/>
        <w:ind w:hanging="0" w:left="640" w:right="0"/>
      </w:pPr>
      <w:r>
        <w:rPr>
          <w:rFonts w:ascii="Times New Roman" w:cs="Times New Roman" w:hAnsi="Times New Roman"/>
          <w:sz w:val="24"/>
          <w:szCs w:val="24"/>
        </w:rPr>
        <w:t>1)</w:t>
      </w:r>
      <w:r>
        <w:rPr>
          <w:rFonts w:ascii="Times New Roman" w:cs="Times New Roman" w:hAnsi="Times New Roman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Wykonawcy ubiegający się wspólnie o udzielenie zamówienia zobowiązani są ustanowić pełnomocnika do reprezentowania ich w postępowaniu albo reprezentowania w postępowaniu i zawarcia umowy w sprawie zamówienia publicznego. Fakt ustanowienia pełnomocnika musi wynikać z załączonych do oferty dokumentów np. pełnomocnictwa. Dokument pełnomocnictwa, zgodnie z dyspozycją art. 23 ust. 2 ustawy PZP, powinien posiadać zakres co najmniej do reprezentowania w postępowaniu o udzielenie zamówienia Wykonawców wspólnie ubiegających się o udzielenie zamówienia albo reprezentowania w postępowaniu i zawarcia umowy w sprawie zamówienia publicznego.</w:t>
      </w:r>
    </w:p>
    <w:p>
      <w:pPr>
        <w:pStyle w:val="style73"/>
        <w:shd w:fill="FFFFFF" w:val="clear"/>
        <w:spacing w:line="100" w:lineRule="atLeast"/>
        <w:ind w:hanging="0" w:left="640" w:right="0"/>
      </w:pPr>
      <w:r>
        <w:rPr>
          <w:rFonts w:ascii="Times New Roman" w:cs="Times New Roman" w:hAnsi="Times New Roman"/>
          <w:sz w:val="24"/>
          <w:szCs w:val="24"/>
        </w:rPr>
        <w:t>Dokument pełnomocnictwa musi być złożony w oryginale lub poświadczonej notarialnie „za zgodność z oryginałem” kopii.</w:t>
      </w:r>
    </w:p>
    <w:p>
      <w:pPr>
        <w:pStyle w:val="style73"/>
        <w:numPr>
          <w:ilvl w:val="0"/>
          <w:numId w:val="11"/>
        </w:numPr>
        <w:shd w:fill="FFFFFF" w:val="clear"/>
        <w:tabs>
          <w:tab w:leader="none" w:pos="1302" w:val="left"/>
        </w:tabs>
        <w:spacing w:line="100" w:lineRule="atLeast"/>
        <w:ind w:hanging="300" w:left="640" w:right="0"/>
      </w:pPr>
      <w:r>
        <w:rPr>
          <w:rFonts w:ascii="Times New Roman" w:cs="Times New Roman" w:hAnsi="Times New Roman"/>
          <w:sz w:val="24"/>
          <w:szCs w:val="24"/>
        </w:rPr>
        <w:t>Wykonawcy, o których mowa w powyższym pkt 1), składają wspólnie ofertę, przy czym Zamawiający wymaga, aby:</w:t>
      </w:r>
    </w:p>
    <w:p>
      <w:pPr>
        <w:pStyle w:val="style73"/>
        <w:numPr>
          <w:ilvl w:val="0"/>
          <w:numId w:val="12"/>
        </w:numPr>
        <w:shd w:fill="FFFFFF" w:val="clear"/>
        <w:tabs>
          <w:tab w:leader="none" w:pos="1863" w:val="left"/>
        </w:tabs>
        <w:spacing w:line="100" w:lineRule="atLeast"/>
        <w:ind w:hanging="280" w:left="920" w:right="0"/>
      </w:pPr>
      <w:r>
        <w:rPr>
          <w:rFonts w:ascii="Times New Roman" w:cs="Times New Roman" w:hAnsi="Times New Roman"/>
          <w:sz w:val="24"/>
          <w:szCs w:val="24"/>
        </w:rPr>
        <w:t xml:space="preserve">Każdy z przedsiębiorców konsorcjum lub wspólników spółki cywilnej, dokumenty wymienione w Dziale </w:t>
      </w:r>
      <w:r>
        <w:rPr>
          <w:rFonts w:ascii="Times New Roman" w:cs="Times New Roman" w:hAnsi="Times New Roman"/>
          <w:sz w:val="24"/>
          <w:szCs w:val="24"/>
        </w:rPr>
        <w:t>6</w:t>
      </w:r>
      <w:r>
        <w:rPr>
          <w:rFonts w:ascii="Times New Roman" w:cs="Times New Roman" w:hAnsi="Times New Roman"/>
          <w:sz w:val="24"/>
          <w:szCs w:val="24"/>
        </w:rPr>
        <w:t xml:space="preserve"> pkt </w:t>
      </w:r>
      <w:r>
        <w:rPr>
          <w:rFonts w:ascii="Times New Roman" w:cs="Times New Roman" w:hAnsi="Times New Roman"/>
          <w:sz w:val="24"/>
          <w:szCs w:val="24"/>
        </w:rPr>
        <w:t>2</w:t>
      </w:r>
      <w:r>
        <w:rPr>
          <w:rFonts w:ascii="Times New Roman" w:cs="Times New Roman" w:hAnsi="Times New Roman"/>
          <w:sz w:val="24"/>
          <w:szCs w:val="24"/>
        </w:rPr>
        <w:t xml:space="preserve"> albo dokumenty, o których mowa w pkt </w:t>
      </w:r>
      <w:r>
        <w:rPr>
          <w:rFonts w:ascii="Times New Roman" w:cs="Times New Roman" w:hAnsi="Times New Roman"/>
          <w:sz w:val="24"/>
          <w:szCs w:val="24"/>
        </w:rPr>
        <w:t>5</w:t>
      </w:r>
      <w:r>
        <w:rPr>
          <w:rFonts w:ascii="Times New Roman" w:cs="Times New Roman" w:hAnsi="Times New Roman"/>
          <w:sz w:val="24"/>
          <w:szCs w:val="24"/>
        </w:rPr>
        <w:t xml:space="preserve"> niniejszego Działu, złożył oddzielnie (tj. dokumenty </w:t>
      </w:r>
      <w:r>
        <w:rPr>
          <w:rFonts w:ascii="Times New Roman" w:cs="Times New Roman" w:hAnsi="Times New Roman"/>
          <w:sz w:val="24"/>
          <w:szCs w:val="24"/>
        </w:rPr>
        <w:t>muszą</w:t>
      </w:r>
      <w:r>
        <w:rPr>
          <w:rFonts w:ascii="Times New Roman" w:cs="Times New Roman" w:hAnsi="Times New Roman"/>
          <w:sz w:val="24"/>
          <w:szCs w:val="24"/>
        </w:rPr>
        <w:t xml:space="preserve"> zostać złożone w odniesieniu do każdego z tych Wykonawców)</w:t>
      </w:r>
    </w:p>
    <w:p>
      <w:pPr>
        <w:pStyle w:val="style0"/>
        <w:numPr>
          <w:ilvl w:val="0"/>
          <w:numId w:val="12"/>
        </w:numPr>
      </w:pPr>
      <w:r>
        <w:rPr>
          <w:sz w:val="24"/>
          <w:szCs w:val="24"/>
        </w:rPr>
        <w:t>Oświadczeni</w:t>
      </w:r>
      <w:r>
        <w:rPr>
          <w:sz w:val="24"/>
          <w:szCs w:val="24"/>
        </w:rPr>
        <w:t xml:space="preserve">e </w:t>
      </w:r>
      <w:r>
        <w:rPr>
          <w:sz w:val="24"/>
          <w:szCs w:val="24"/>
        </w:rPr>
        <w:t xml:space="preserve">w Dziale </w:t>
      </w:r>
      <w:r>
        <w:rPr>
          <w:sz w:val="24"/>
          <w:szCs w:val="24"/>
        </w:rPr>
        <w:t>6</w:t>
      </w:r>
      <w:r>
        <w:rPr>
          <w:sz w:val="24"/>
          <w:szCs w:val="24"/>
        </w:rPr>
        <w:t xml:space="preserve"> pkt 1  powinn</w:t>
      </w:r>
      <w:r>
        <w:rPr>
          <w:sz w:val="24"/>
          <w:szCs w:val="24"/>
        </w:rPr>
        <w:t xml:space="preserve">o </w:t>
      </w:r>
      <w:r>
        <w:rPr>
          <w:sz w:val="24"/>
          <w:szCs w:val="24"/>
        </w:rPr>
        <w:t>zostać złożone w taki sposób, by wskazać, że warunki udziału w postępowaniu Wykonawcy spełniają łącznie (przez jednego lub kilku Wykonawców łącznie).</w:t>
      </w:r>
    </w:p>
    <w:p>
      <w:pPr>
        <w:pStyle w:val="style73"/>
        <w:numPr>
          <w:ilvl w:val="0"/>
          <w:numId w:val="11"/>
        </w:numPr>
        <w:shd w:fill="FFFFFF" w:val="clear"/>
        <w:tabs>
          <w:tab w:leader="none" w:pos="1302" w:val="left"/>
        </w:tabs>
        <w:spacing w:line="100" w:lineRule="atLeast"/>
        <w:ind w:hanging="300" w:left="640" w:right="0"/>
      </w:pPr>
      <w:r>
        <w:rPr>
          <w:rFonts w:ascii="Times New Roman" w:cs="Times New Roman" w:hAnsi="Times New Roman"/>
          <w:sz w:val="24"/>
          <w:szCs w:val="24"/>
        </w:rPr>
        <w:t>Wypełniając formularz ofertowy, składając oświadczenie o spełnieniu warunków udziału w postępowaniu, jak również wypełniając inne dokumenty powołujące się na „Wykonawcę”, w miejscu „nazwa i adres Wykonawcy” należy wpisać dane dotyczące wszystkich podmiotów wspólnie ubiegających się o zamówienie, a nie tylko pełnomocnika.</w:t>
      </w:r>
    </w:p>
    <w:p>
      <w:pPr>
        <w:pStyle w:val="style73"/>
        <w:numPr>
          <w:ilvl w:val="0"/>
          <w:numId w:val="11"/>
        </w:numPr>
        <w:shd w:fill="FFFFFF" w:val="clear"/>
        <w:tabs>
          <w:tab w:leader="none" w:pos="1302" w:val="left"/>
        </w:tabs>
        <w:spacing w:line="100" w:lineRule="atLeast"/>
        <w:ind w:hanging="300" w:left="640" w:right="0"/>
      </w:pPr>
      <w:r>
        <w:rPr>
          <w:rFonts w:ascii="Times New Roman" w:cs="Times New Roman" w:hAnsi="Times New Roman"/>
          <w:sz w:val="24"/>
          <w:szCs w:val="24"/>
        </w:rPr>
        <w:t>W przypadku Wykonawców wspólnie ubiegających się o udzielenie zamówienia, dokumenty załączone do oferty w formie kserokopii muszą być poświadczone „za zgodność z oryginałem” przez Wykonawcę, którego dany dokument dotyczy. Dokumenty złożone przez Wykonawcę powinny być opatrzone własnoręcznym podpisem (czytelnym imieniem i nazwiskiem) lub pieczęcią imienną.</w:t>
      </w:r>
    </w:p>
    <w:p>
      <w:pPr>
        <w:pStyle w:val="style73"/>
        <w:numPr>
          <w:ilvl w:val="0"/>
          <w:numId w:val="11"/>
        </w:numPr>
        <w:shd w:fill="FFFFFF" w:val="clear"/>
        <w:tabs>
          <w:tab w:leader="none" w:pos="1302" w:val="left"/>
        </w:tabs>
        <w:spacing w:line="100" w:lineRule="atLeast"/>
        <w:ind w:hanging="300" w:left="640" w:right="0"/>
      </w:pPr>
      <w:r>
        <w:rPr>
          <w:rFonts w:ascii="Times New Roman" w:cs="Times New Roman" w:hAnsi="Times New Roman"/>
          <w:sz w:val="24"/>
          <w:szCs w:val="24"/>
        </w:rPr>
        <w:t>W przypadku, gdy oferta Wykonawców wspólnie ubiegających się o zamówienie została wybrana w przedmiotowym postępowaniu, Zamawiający zastrzega sobie prawo żądania przed zawarciem umowy w sprawie zamówienia publicznego, przedstawienia umowy regulującej ich współpracę.</w:t>
      </w:r>
    </w:p>
    <w:p>
      <w:pPr>
        <w:pStyle w:val="style73"/>
        <w:numPr>
          <w:ilvl w:val="0"/>
          <w:numId w:val="11"/>
        </w:numPr>
        <w:shd w:fill="FFFFFF" w:val="clear"/>
        <w:tabs>
          <w:tab w:leader="none" w:pos="1302" w:val="left"/>
        </w:tabs>
        <w:spacing w:line="100" w:lineRule="atLeast"/>
        <w:ind w:hanging="300" w:left="640" w:right="0"/>
      </w:pPr>
      <w:r>
        <w:rPr>
          <w:rFonts w:ascii="Times New Roman" w:cs="Times New Roman" w:hAnsi="Times New Roman"/>
          <w:sz w:val="24"/>
          <w:szCs w:val="24"/>
        </w:rPr>
        <w:t>Wszelka korespondencja i rozliczenia będą dokonywane wyłącznie z pełnomocnikiem.</w:t>
      </w:r>
    </w:p>
    <w:p>
      <w:pPr>
        <w:pStyle w:val="style73"/>
        <w:shd w:fill="FFFFFF" w:val="clear"/>
        <w:tabs>
          <w:tab w:leader="none" w:pos="1002" w:val="left"/>
        </w:tabs>
        <w:spacing w:line="100" w:lineRule="atLeast"/>
        <w:ind w:hanging="0" w:left="340" w:right="0"/>
      </w:pPr>
      <w:r>
        <w:rPr>
          <w:sz w:val="24"/>
          <w:szCs w:val="24"/>
        </w:rPr>
      </w:r>
    </w:p>
    <w:p>
      <w:pPr>
        <w:pStyle w:val="style0"/>
        <w:shd w:fill="FFFFFF" w:val="clear"/>
        <w:spacing w:after="0" w:before="100" w:line="250" w:lineRule="exact"/>
        <w:contextualSpacing w:val="false"/>
        <w:jc w:val="both"/>
      </w:pPr>
      <w:r>
        <w:rPr/>
        <w:t xml:space="preserve">5. </w:t>
      </w:r>
      <w:r>
        <w:rPr>
          <w:color w:val="000000"/>
          <w:lang w:bidi="hi-IN" w:eastAsia="pl-PL"/>
        </w:rPr>
        <w:t>Postanowienia dotyczące Wykonawców mających siedzibę lub miejsce zamieszkania poza terytorium Rzeczpospolitej Polskiej:</w:t>
      </w:r>
    </w:p>
    <w:p>
      <w:pPr>
        <w:pStyle w:val="style0"/>
        <w:widowControl/>
        <w:suppressAutoHyphens w:val="false"/>
        <w:jc w:val="both"/>
      </w:pPr>
      <w:r>
        <w:rPr>
          <w:color w:val="000000"/>
        </w:rPr>
        <w:t>Jeżeli wykonawca ma siedzibę lub miejsce zamieszkania poza terytorium Rzeczypospolitej Polskiej,</w:t>
      </w:r>
    </w:p>
    <w:p>
      <w:pPr>
        <w:pStyle w:val="style0"/>
        <w:widowControl/>
        <w:suppressAutoHyphens w:val="false"/>
        <w:jc w:val="both"/>
      </w:pPr>
      <w:r>
        <w:rPr>
          <w:color w:val="000000"/>
        </w:rPr>
        <w:t>- składa dokument lub dokumenty wystawione w kraju, w którym ma siedzibę lub miejsce zamieszkania, potwierdzające odpowiednio, że:</w:t>
      </w:r>
    </w:p>
    <w:p>
      <w:pPr>
        <w:pStyle w:val="style0"/>
        <w:widowControl/>
        <w:suppressAutoHyphens w:val="false"/>
        <w:jc w:val="both"/>
      </w:pPr>
      <w:r>
        <w:rPr>
          <w:rFonts w:eastAsia="Times New Roman"/>
          <w:color w:val="000000"/>
        </w:rPr>
        <w:t>–</w:t>
      </w:r>
      <w:r>
        <w:rPr>
          <w:rStyle w:val="style16"/>
          <w:rFonts w:eastAsia="Times New Roman"/>
          <w:color w:val="000000"/>
        </w:rPr>
        <w:t xml:space="preserve"> </w:t>
      </w:r>
      <w:r>
        <w:rPr>
          <w:color w:val="000000"/>
        </w:rPr>
        <w:t>nie otwarto jego likwidacji ani nie ogłoszono upadłości,</w:t>
      </w:r>
    </w:p>
    <w:p>
      <w:pPr>
        <w:pStyle w:val="style0"/>
        <w:widowControl/>
        <w:suppressAutoHyphens w:val="false"/>
        <w:jc w:val="both"/>
      </w:pPr>
      <w:r>
        <w:rPr>
          <w:rFonts w:eastAsia="Times New Roman"/>
          <w:color w:val="000000"/>
        </w:rPr>
        <w:t>–</w:t>
      </w:r>
      <w:r>
        <w:rPr>
          <w:rStyle w:val="style16"/>
          <w:rFonts w:eastAsia="Times New Roman"/>
          <w:color w:val="000000"/>
        </w:rPr>
        <w:t xml:space="preserve"> </w:t>
      </w:r>
      <w:r>
        <w:rPr>
          <w:color w:val="000000"/>
        </w:rPr>
        <w:t xml:space="preserve">nie zalega z uiszczaniem podatków, opłat, składek na ubezpieczenie społeczne i zdrowotne albo że uzyskał przewidziane prawem zwolnienie, odroczenie lub rozłożenie na raty zaległych </w:t>
      </w:r>
      <w:r>
        <w:rPr/>
        <w:t>płatności lub wstrzymanie w całości wykonania decyzji właściwego organu,</w:t>
      </w:r>
    </w:p>
    <w:p>
      <w:pPr>
        <w:pStyle w:val="style0"/>
        <w:jc w:val="both"/>
      </w:pPr>
      <w:r>
        <w:rPr>
          <w:rFonts w:eastAsia="Times New Roman"/>
        </w:rPr>
        <w:t>–</w:t>
      </w:r>
      <w:r>
        <w:rPr>
          <w:rStyle w:val="style16"/>
          <w:rFonts w:eastAsia="Times New Roman"/>
        </w:rPr>
        <w:t xml:space="preserve"> </w:t>
      </w:r>
      <w:r>
        <w:rPr/>
        <w:t>nie orzeczono wobec niego zakazu ubiegania się o zamówienie,</w:t>
      </w:r>
    </w:p>
    <w:p>
      <w:pPr>
        <w:pStyle w:val="style0"/>
        <w:jc w:val="both"/>
      </w:pPr>
      <w:r>
        <w:rPr>
          <w:rFonts w:eastAsia="Times New Roman"/>
        </w:rPr>
        <w:t xml:space="preserve">– </w:t>
      </w:r>
      <w:r>
        <w:rPr/>
        <w:t>składa zaświadczenie właściwego organu sądowego lub administracyjnego miejsca zamieszkania albo zamieszkania osoby, której dokumenty dotyczą, w zakresie określonym</w:t>
      </w:r>
      <w:r>
        <w:rPr>
          <w:color w:val="000000"/>
        </w:rPr>
        <w:t xml:space="preserve"> w</w:t>
      </w:r>
      <w:r>
        <w:rPr>
          <w:rStyle w:val="style17"/>
          <w:color w:val="000000"/>
        </w:rPr>
        <w:t xml:space="preserve"> art. 24 ust. 1 pkt 4-8, 10 i 11 u</w:t>
      </w:r>
      <w:r>
        <w:rPr>
          <w:color w:val="000000"/>
        </w:rPr>
        <w:t>stawy;</w:t>
      </w:r>
    </w:p>
    <w:p>
      <w:pPr>
        <w:pStyle w:val="style0"/>
        <w:tabs>
          <w:tab w:leader="none" w:pos="4648" w:val="left"/>
        </w:tabs>
        <w:ind w:hanging="0" w:left="-15" w:right="0"/>
        <w:jc w:val="both"/>
      </w:pPr>
      <w:r>
        <w:rPr/>
        <w:t>Dokumenty, powinny być wystawione nie wcześniej niż 6 miesięcy przed upływem terminu składania wniosków o dopuszczenie do</w:t>
      </w:r>
      <w:r>
        <w:rPr>
          <w:color w:val="000000"/>
        </w:rPr>
        <w:t xml:space="preserve"> udziału w postępowaniu o udzielenie zamówienia albo składania ofert. </w:t>
      </w:r>
      <w:r>
        <w:rPr/>
        <w:t>Dokumenty i oświadczenia, o których mowa powyżej muszą zostać złożone w formie oryginału lub kopii poświadczonej za „zgodność z oryginałem” przez Wykonawcę.</w:t>
      </w:r>
    </w:p>
    <w:p>
      <w:pPr>
        <w:pStyle w:val="style0"/>
      </w:pPr>
      <w:r>
        <w:rPr>
          <w:rFonts w:eastAsia="Times New Roman"/>
        </w:rPr>
      </w:r>
    </w:p>
    <w:p>
      <w:pPr>
        <w:pStyle w:val="style0"/>
      </w:pPr>
      <w:r>
        <w:rPr>
          <w:rFonts w:eastAsia="Times New Roman"/>
        </w:rPr>
        <w:t>6. Z postępowania o udzielenie zamówienia zgodnie z art. 24 ust. 1 wyklucza się:</w:t>
      </w:r>
    </w:p>
    <w:p>
      <w:pPr>
        <w:pStyle w:val="style0"/>
        <w:jc w:val="both"/>
      </w:pPr>
      <w:r>
        <w:rPr/>
        <w:t>1) wykonawców, w stosunku do których otwarto likwidację lub których upadłość ogłoszono, z wyjątkiem wykonawców, którzy po ogłoszeniu upadłości zawarli układ zatwierdzony prawomocnym postanowieniem sądu, jeżeli układ nie przewiduje zaspokojenia wierzycieli przez likwidację majątku upadłego;</w:t>
      </w:r>
    </w:p>
    <w:p>
      <w:pPr>
        <w:pStyle w:val="style0"/>
        <w:jc w:val="both"/>
      </w:pPr>
      <w:r>
        <w:rPr/>
        <w:t>2) wykonawców, którzy zalegają z uiszczeniem podatków, opłat lub składek na ubezpieczenia społeczne lub zdrowotne, z wyjątkiem przypadków gdy uzyskali oni przewidziane prawem zwolnienie, odroczenie, rozłożenie na raty zaległych płatności lub wstrzymanie w całości wykonania decyzji właściwego organu;</w:t>
      </w:r>
    </w:p>
    <w:p>
      <w:pPr>
        <w:pStyle w:val="style0"/>
        <w:jc w:val="both"/>
      </w:pPr>
      <w:r>
        <w:rPr/>
        <w:t>3) osoby fizyczne, które prawomocnie skazano za przestępstwo popełnione w związku z postępowaniem o udzielenie zamówienia, przestępstwo przeciwko prawom osób wykonujących pracę zarobkową, przestępstwo przeciwko środowisku, przestępstwo przekupstwa, przestępstwo przeciwko obrotowi gospodarczemu lub inne przestępstwo popełnione w celu osiągnięcia korzyści majątkowych, a także za przestępstwo skarbowe lub przestępstwo udziału w zorganizowanej grupie albo związku mających na celu popełnienie przestępstwa lub przestępstwa skarbowego;</w:t>
      </w:r>
    </w:p>
    <w:p>
      <w:pPr>
        <w:pStyle w:val="style0"/>
        <w:jc w:val="both"/>
      </w:pPr>
      <w:r>
        <w:rPr/>
        <w:t>4) spółki jawne, których wspólnika prawomocnie skazano za przestępstwo popełnione w związku z postępowaniem o udzielenie zamówienia, przestępstwo przeciwko prawom osób wykonujących pracę zarobkową, przestępstwo przeciwko środowisku, przestępstwo przekupstwa, przestępstwo przeciwko obrotowi gospodarczemu lub inne przestępstwo popełnione w celu osiągnięcia korzyści majątkowych, a także za przestępstwo skarbowe lub przestępstwo udziału w zorganizowanej grupie albo związku mających na celu popełnienie przestępstwa lub przestępstwa skarbowego;</w:t>
      </w:r>
    </w:p>
    <w:p>
      <w:pPr>
        <w:pStyle w:val="style0"/>
        <w:jc w:val="both"/>
      </w:pPr>
      <w:r>
        <w:rPr/>
        <w:t>5) spółki partnerskie, których partnera lub członka zarządu prawomocnie skazano za przestępstwo popełnione w związku z postępowaniem o udzielenie zamówienia, przestępstwo przeciwko prawom osób wykonujących pracę zarobkową, przestępstwo przeciwko środowisku, przestępstwo przekupstwa, przestępstwo przeciwko obrotowi gospodarczemu lub inne przestępstwo popełnione w celu osiągnięcia korzyści majątkowych, a także za przestępstwo skarbowe lub przestępstwo udziału w zorganizowanej grupie albo związku mających na celu popełnienie przestępstwa lub przestępstwa skarbowego;</w:t>
      </w:r>
    </w:p>
    <w:p>
      <w:pPr>
        <w:pStyle w:val="style0"/>
        <w:jc w:val="both"/>
      </w:pPr>
      <w:r>
        <w:rPr/>
        <w:t>6) spółki komandytowe oraz spółki komandytowo-akcyjne, których komplementariusza prawomocnie skazano za przestępstwo popełnione w związku z postępowaniem o udzielenie zamówienia, przestępstwo przeciwko prawom osób wykonujących pracę zarobkową, przestępstwo przeciwko środowisku, przestępstwo przekupstwa, przestępstwo przeciwko obrotowi gospodarczemu lub inne przestępstwo popełnione w celu osiągnięcia korzyści majątkowych, a także za przestępstwo skarbowe lub przestępstwo udziału w zorganizowanej grupie albo związku mających na celu popełnienie przestępstwa lub przestępstwa skarbowego;</w:t>
      </w:r>
    </w:p>
    <w:p>
      <w:pPr>
        <w:pStyle w:val="style0"/>
        <w:jc w:val="both"/>
      </w:pPr>
      <w:r>
        <w:rPr>
          <w:rFonts w:ascii="Verdana" w:cs="Verdana" w:eastAsia="Verdana" w:hAnsi="Verdana"/>
          <w:color w:val="000000"/>
          <w:sz w:val="20"/>
          <w:szCs w:val="20"/>
        </w:rPr>
        <w:t xml:space="preserve">7) </w:t>
      </w:r>
      <w:r>
        <w:rPr>
          <w:rFonts w:eastAsia="Verdana"/>
          <w:color w:val="000000"/>
        </w:rPr>
        <w:t>osoby prawne, których urzędującego członka organu zarządzającego prawomocnie skazano za przestępstwo popełnione w związku z postępowaniem o udzielenie zamówienia, przestępstwo przeciwko prawom osób wykonujących pracę zarobkową, przestępstwo przeciwko środowisku, przestępstwo przekupstwa, przestępstwo przeciwko obrotowi gospodarczemu lub inne przestępstwo popełnione w celu osiągnięcia korzyści majątkowych, a także za przestępstwo skarbowe lub przestępstwo udziału w zorganizowanej grupie albo związku mających na celu popełnienie przestępstwa lub przestępstwa skarbowego;</w:t>
      </w:r>
    </w:p>
    <w:p>
      <w:pPr>
        <w:pStyle w:val="style0"/>
        <w:jc w:val="both"/>
      </w:pPr>
      <w:r>
        <w:rPr/>
        <w:t>8) podmioty zbiorowe, wobec których sąd orzekł zakaz ubiegania się o zamówienia na podstawie przepisów o odpowiedzialności podmiotów zbiorowych za czyny zabronione pod groźbą kary;</w:t>
      </w:r>
    </w:p>
    <w:p>
      <w:pPr>
        <w:pStyle w:val="style0"/>
        <w:jc w:val="both"/>
      </w:pPr>
      <w:r>
        <w:rPr/>
        <w:t>9) wykonawców będących osobami fizycznymi, które prawomocnie skazano za przestępstwo, o którym mowa w art. 9</w:t>
      </w:r>
      <w:r>
        <w:rPr>
          <w:color w:val="0000CD"/>
        </w:rPr>
        <w:t xml:space="preserve"> </w:t>
      </w:r>
      <w:r>
        <w:rPr/>
        <w:t>lub art. 10</w:t>
      </w:r>
      <w:r>
        <w:rPr>
          <w:color w:val="0000CD"/>
        </w:rPr>
        <w:t xml:space="preserve"> </w:t>
      </w:r>
      <w:r>
        <w:rPr/>
        <w:t>ustawy z dnia 15 czerwca 2012r. o skutkach powierzania wykonywania pracy cudzoziemcom przebywającym wbrew przepisom na terytorium Rzeczypospolitej Polskiej (Dz. U. poz. 769) - przez okres 1 roku od dnia uprawomocnienia się wyroku;</w:t>
      </w:r>
    </w:p>
    <w:p>
      <w:pPr>
        <w:pStyle w:val="style0"/>
        <w:jc w:val="both"/>
      </w:pPr>
      <w:r>
        <w:rPr/>
        <w:t xml:space="preserve">10) wykonawców będących spółką jawną, spółką partnerską, spółką komandytową, spółką komandytowo-akcyjną lub osobą prawną, których odpowiednio wspólnika, partnera, członka zarządu, komplementariusza lub urzędującego członka organu zarządzającego prawomocnie skazano za przestępstwo, o którym mowa w art.9 </w:t>
      </w:r>
      <w:r>
        <w:rPr>
          <w:color w:val="000000"/>
        </w:rPr>
        <w:t>lub  art. 10 ustaw</w:t>
      </w:r>
      <w:r>
        <w:rPr/>
        <w:t>y z dnia 15 czerwca 2012 r. o skutkach powierzania wykonywania pracy cudzoziemcom przebywającym wbrew przepisom na terytorium Rzeczypospolitej Polskiej - przez okres 1 roku od dnia uprawomocnienia się wyroku.</w:t>
      </w:r>
    </w:p>
    <w:p>
      <w:pPr>
        <w:pStyle w:val="style0"/>
        <w:jc w:val="both"/>
      </w:pPr>
      <w:r>
        <w:rPr/>
      </w:r>
    </w:p>
    <w:p>
      <w:pPr>
        <w:pStyle w:val="style0"/>
        <w:jc w:val="both"/>
      </w:pPr>
      <w:r>
        <w:rPr/>
        <w:t>oraz art. 24 ust.2 i 2a:</w:t>
      </w:r>
    </w:p>
    <w:p>
      <w:pPr>
        <w:pStyle w:val="style0"/>
        <w:jc w:val="both"/>
      </w:pPr>
      <w:r>
        <w:rPr/>
      </w:r>
    </w:p>
    <w:p>
      <w:pPr>
        <w:pStyle w:val="style0"/>
        <w:jc w:val="both"/>
      </w:pPr>
      <w:r>
        <w:rPr/>
        <w:t>1) wykonywali bezpośrednio czynności związane z przygotowaniem prowadzonego postępowania, z wyłączeniem czynności wykonywanych podczas dialogu technicznego, o którym mowa w art. 31a ust. 1, lub posługiwali się w celu sporządzenia oferty osobami uczestniczącymi w dokonywaniu tych czynności, chyba że udział tych wykonawców w postępowaniu nie utrudni uczciwej konkurencji; przepisu nie stosuje się do wykonawców, którym udziela się zamówienia na podstawie art. 62 ust. 1 pkt 2 lub art. 67 ust. 1 pkt 1 i 2;</w:t>
      </w:r>
    </w:p>
    <w:p>
      <w:pPr>
        <w:pStyle w:val="style0"/>
        <w:jc w:val="both"/>
      </w:pPr>
      <w:r>
        <w:rPr/>
        <w:t>2) nie wnieśli wadium do upływu terminu składania ofert, na przedłużony okres związania ofertą lub w terminie, o którym mowa w art. 46 ust. 3, albo nie zgodzili się na przedłużenie okresu związania ofertą;</w:t>
      </w:r>
    </w:p>
    <w:p>
      <w:pPr>
        <w:pStyle w:val="style0"/>
        <w:jc w:val="both"/>
      </w:pPr>
      <w:r>
        <w:rPr/>
        <w:t>3) złożyli nieprawdziwe informacje mające wpływ lub mogące mieć wpływ na wynik prowadzonego postępowania;</w:t>
      </w:r>
    </w:p>
    <w:p>
      <w:pPr>
        <w:pStyle w:val="style0"/>
        <w:jc w:val="both"/>
      </w:pPr>
      <w:r>
        <w:rPr/>
        <w:t>4) nie wykazali spełniania warunków udziału w postępowaniu;</w:t>
      </w:r>
    </w:p>
    <w:p>
      <w:pPr>
        <w:pStyle w:val="style0"/>
        <w:jc w:val="both"/>
      </w:pPr>
      <w:r>
        <w:rPr/>
        <w:t>5) należąc do tej samej grupy kapitałowej, w rozumieniu ustawy z dnia 16 lutego 2007 r. o ochronie konkurencji i konsumentów (Dz. U. Nr 50, poz. 331, z późn. zm.), złożyli odrębne oferty lub wnioski o dopuszczenie do udziału w tym samym postępowaniu, chyba że wykażą, że istniejące między nimi powiązania nie prowadzą do zachwiania uczciwej konkurencji pomiędzy wykonawcami w postępowaniu o udzielenie zamówienia.</w:t>
      </w:r>
    </w:p>
    <w:p>
      <w:pPr>
        <w:pStyle w:val="style0"/>
        <w:jc w:val="both"/>
      </w:pPr>
      <w:r>
        <w:rPr/>
        <w:t>2a. Zamawiający</w:t>
      </w:r>
      <w:bookmarkStart w:id="0" w:name="luc_hili_21"/>
      <w:bookmarkEnd w:id="0"/>
      <w:r>
        <w:rPr/>
        <w:t xml:space="preserve">  wyklucza z postępowania o udzielenie zamówienia wykonawcę, który w okresie 3 lat przed wszczęciem postępowania, w sposób zawiniony poważnie naruszył obowiązki zawodowe, w szczególności, gdy wykonawca w wyniku zamierzonego działania lub rażącego niedbalstwa nie wykonał lub nienależycie wykonał zamówienie, co zamawiający jest w stanie wykazać za pomocą dowolnych środków dowodowych, jeżeli zamawiający przewidział taką możliwość wykluczenia wykonawcy w ogłoszeniu o zamówieniu, w specyfikacji istotnych warunków zamówienia lub w zaproszeniu do negocjacji. Zamawiający nie  wyklucza z postępowania o udzielenie zamówienia wykonawcy, który udowodni, że podjął konkretne środki techniczne, organizacyjne i kadrowe, które mają zapobiec zawinionemu i poważnemu naruszaniu obowiązków zawodowych w przyszłości oraz naprawił szkody powstałe w wyniku naruszenia obowiązków zawodowych lub zobowiązał się do ich naprawienia.</w:t>
      </w:r>
    </w:p>
    <w:p>
      <w:pPr>
        <w:pStyle w:val="style0"/>
        <w:jc w:val="both"/>
      </w:pPr>
      <w:r>
        <w:rPr/>
        <w:t>3. Zamawiający zawiadamia równocześnie wykonawców, którzy zostali wykluczeni z postępowania o udzielenie zamówienia, podając uzasadnienie faktyczne i prawne, z zastrzeżeniem art. 92 ust. 1 pkt 4. Ofertę wykonawcy wykluczonego uznaje się za odrzuconą.</w:t>
      </w:r>
    </w:p>
    <w:p>
      <w:pPr>
        <w:pStyle w:val="style0"/>
        <w:jc w:val="both"/>
      </w:pPr>
      <w:r>
        <w:rPr>
          <w:rFonts w:cs="Tahoma"/>
          <w:sz w:val="26"/>
        </w:rPr>
        <w:t>5.</w:t>
      </w:r>
      <w:r>
        <w:rPr>
          <w:rFonts w:cs="Tahoma"/>
        </w:rPr>
        <w:t>Wykonawca może powierzyć wykonywanie części zamówienia podwykonawcy wówczas Wykonawca zobowiązany jest do podania w ofercie części zamówienia,  którego wykonanie  powierzy podwykonawcy.  Nie podanie w ofercie części zamówienia, której wykonanie powierzy podwykonawcy, Zamawiający uzna za zobowiązanie się Wykonawcy  do samodzielnego wykonania zamówienia.</w:t>
      </w:r>
    </w:p>
    <w:p>
      <w:pPr>
        <w:pStyle w:val="style0"/>
        <w:jc w:val="both"/>
      </w:pPr>
      <w:r>
        <w:rPr>
          <w:rFonts w:cs="Tahoma"/>
          <w:sz w:val="26"/>
        </w:rPr>
      </w:r>
    </w:p>
    <w:p>
      <w:pPr>
        <w:pStyle w:val="style68"/>
        <w:tabs>
          <w:tab w:leader="none" w:pos="1415" w:val="left"/>
          <w:tab w:leader="none" w:pos="16183" w:val="left"/>
        </w:tabs>
        <w:jc w:val="both"/>
      </w:pPr>
      <w:r>
        <w:rPr>
          <w:b/>
          <w:bCs/>
          <w:sz w:val="26"/>
          <w:u w:val="single"/>
        </w:rPr>
        <w:t>6. Wykaz oświadczeń lub dokumentów, jaki mają dostarczyć wykonawcy w celu spełniania tych warunków udziału w postępowaniu.</w:t>
      </w:r>
    </w:p>
    <w:p>
      <w:pPr>
        <w:pStyle w:val="style68"/>
        <w:tabs>
          <w:tab w:leader="none" w:pos="7410" w:val="left"/>
        </w:tabs>
        <w:jc w:val="both"/>
      </w:pPr>
      <w:r>
        <w:rPr>
          <w:color w:val="000000"/>
          <w:spacing w:val="-2"/>
          <w:sz w:val="24"/>
          <w:szCs w:val="24"/>
          <w:lang w:bidi="hi-IN"/>
        </w:rPr>
        <w:t>1.  W celu wykazania spełnienia warunków udziału w postępowaniu z art. 22 ust. 1 Prawa</w:t>
      </w:r>
      <w:r>
        <w:rPr>
          <w:color w:val="000000"/>
          <w:sz w:val="24"/>
          <w:szCs w:val="24"/>
          <w:lang w:bidi="hi-IN"/>
        </w:rPr>
        <w:t xml:space="preserve"> zamówień publicznych należy przedłożyć:</w:t>
      </w:r>
    </w:p>
    <w:p>
      <w:pPr>
        <w:pStyle w:val="style0"/>
        <w:shd w:fill="FFFFFF" w:val="clear"/>
        <w:spacing w:after="0" w:before="100" w:line="250" w:lineRule="exact"/>
        <w:ind w:hanging="0" w:left="0" w:right="5"/>
        <w:contextualSpacing w:val="false"/>
        <w:jc w:val="both"/>
      </w:pPr>
      <w:r>
        <w:rPr>
          <w:color w:val="000000"/>
          <w:spacing w:val="-2"/>
          <w:lang w:bidi="hi-IN"/>
        </w:rPr>
        <w:t>-  Oświadczenie o spełnianiu warunków udziału w postępowaniu (Załącznik Nr 2);</w:t>
      </w:r>
    </w:p>
    <w:p>
      <w:pPr>
        <w:pStyle w:val="style0"/>
        <w:shd w:fill="FFFFFF" w:val="clear"/>
        <w:spacing w:after="0" w:before="100" w:line="250" w:lineRule="exact"/>
        <w:ind w:hanging="0" w:left="0" w:right="5"/>
        <w:contextualSpacing w:val="false"/>
        <w:jc w:val="both"/>
      </w:pPr>
      <w:r>
        <w:rPr>
          <w:color w:val="000000"/>
          <w:spacing w:val="-2"/>
          <w:lang w:bidi="hi-IN"/>
        </w:rPr>
        <w:t>2. W celu wykazania braku podstaw do wykluczenia z postępowania o udzielenie zamówienia wykonawcy w okolicznościach, o których mowa w art. 24 ust. 1 ustawy Pzp Zamawiający żąda przedłożenia następujących dokumentów:</w:t>
      </w:r>
    </w:p>
    <w:p>
      <w:pPr>
        <w:pStyle w:val="style0"/>
        <w:shd w:fill="FFFFFF" w:val="clear"/>
        <w:spacing w:after="0" w:before="100" w:line="250" w:lineRule="exact"/>
        <w:ind w:hanging="0" w:left="0" w:right="5"/>
        <w:contextualSpacing w:val="false"/>
        <w:jc w:val="both"/>
      </w:pPr>
      <w:r>
        <w:rPr>
          <w:color w:val="000000"/>
          <w:spacing w:val="-2"/>
          <w:lang w:bidi="hi-IN"/>
        </w:rPr>
        <w:t>- Oświadczenie o braku podstaw do wykluczenia z postępowania o udzielenie zamówienia z art. 24 ust. 1 Prawa zamówień publicznych (Załącznik Nr 3);</w:t>
      </w:r>
    </w:p>
    <w:p>
      <w:pPr>
        <w:pStyle w:val="style0"/>
        <w:shd w:fill="FFFFFF" w:val="clear"/>
        <w:spacing w:after="0" w:before="100" w:line="250" w:lineRule="exact"/>
        <w:ind w:hanging="0" w:left="0" w:right="5"/>
        <w:contextualSpacing w:val="false"/>
        <w:jc w:val="both"/>
      </w:pPr>
      <w:r>
        <w:rPr>
          <w:color w:val="000000"/>
          <w:spacing w:val="-2"/>
          <w:lang w:bidi="hi-IN"/>
        </w:rPr>
        <w:t>Jeżeli Wykonawca wykazał doświadczenie innego podmiotu winien złożyć w szczególności pisemne zobowiązanie tego podmiotu do oddania Wykonawcy do dyspozycji  niezbędnych zasobów na okres korzystania z nich przy wykonywaniu zamówienia oraz pisemne zobowiązanie tego podmiotu do uczestnictwa w realizacji części zamówienia.</w:t>
      </w:r>
    </w:p>
    <w:p>
      <w:pPr>
        <w:pStyle w:val="style0"/>
        <w:shd w:fill="FFFFFF" w:val="clear"/>
        <w:spacing w:after="0" w:before="100" w:line="250" w:lineRule="exact"/>
        <w:contextualSpacing w:val="false"/>
        <w:jc w:val="both"/>
      </w:pPr>
      <w:r>
        <w:rPr>
          <w:color w:val="000000"/>
          <w:spacing w:val="-4"/>
          <w:lang w:bidi="hi-IN"/>
        </w:rPr>
        <w:t>3. Ponadto do oferty należy dołączyć:</w:t>
      </w:r>
    </w:p>
    <w:p>
      <w:pPr>
        <w:pStyle w:val="style0"/>
        <w:shd w:fill="FFFFFF" w:val="clear"/>
        <w:spacing w:after="0" w:before="100" w:line="250" w:lineRule="exact"/>
        <w:contextualSpacing w:val="false"/>
        <w:jc w:val="both"/>
      </w:pPr>
      <w:r>
        <w:rPr>
          <w:color w:val="000000"/>
          <w:spacing w:val="-4"/>
          <w:lang w:bidi="hi-IN"/>
        </w:rPr>
        <w:t xml:space="preserve">- </w:t>
      </w:r>
      <w:r>
        <w:rPr>
          <w:rFonts w:eastAsia="Times New Roman"/>
          <w:spacing w:val="-2"/>
        </w:rPr>
        <w:t>O</w:t>
      </w:r>
      <w:r>
        <w:rPr>
          <w:color w:val="000000"/>
          <w:spacing w:val="-6"/>
          <w:lang w:bidi="hi-IN" w:eastAsia="pl-PL"/>
        </w:rPr>
        <w:t>świadczenie dotyczące grupy kapitałowej,</w:t>
      </w:r>
      <w:r>
        <w:rPr>
          <w:color w:val="000000"/>
          <w:lang w:eastAsia="pl-PL"/>
        </w:rPr>
        <w:t xml:space="preserve"> listę podmiotów należących do tej samej grupy kapitałowej, o której mowa w art. 24 ust. 2 pkt 5 ustawy Pzp, albo informację o tym, że nie należy do grupy kapitałowej (Załącznik Nr 4);</w:t>
      </w:r>
    </w:p>
    <w:p>
      <w:pPr>
        <w:pStyle w:val="style0"/>
        <w:shd w:fill="FFFFFF" w:val="clear"/>
        <w:spacing w:after="0" w:before="100" w:line="250" w:lineRule="exact"/>
        <w:contextualSpacing w:val="false"/>
        <w:jc w:val="both"/>
      </w:pPr>
      <w:r>
        <w:rPr>
          <w:color w:val="000000"/>
          <w:lang w:eastAsia="pl-PL"/>
        </w:rPr>
        <w:t xml:space="preserve">- </w:t>
      </w:r>
      <w:r>
        <w:rPr>
          <w:color w:val="000000"/>
          <w:spacing w:val="-2"/>
          <w:lang w:bidi="hi-IN"/>
        </w:rPr>
        <w:t>wykaz części zamówienia, które wykonawca zamierza powierzyć podwykonawcom (jeżeli dotyczy) (załącznik Nr 5)</w:t>
      </w:r>
    </w:p>
    <w:p>
      <w:pPr>
        <w:pStyle w:val="style0"/>
        <w:shd w:fill="FFFFFF" w:val="clear"/>
        <w:spacing w:after="0" w:before="100" w:line="250" w:lineRule="exact"/>
        <w:contextualSpacing w:val="false"/>
        <w:jc w:val="both"/>
      </w:pPr>
      <w:r>
        <w:rPr>
          <w:color w:val="000000"/>
        </w:rPr>
        <w:t>Parafowany projekt umowy- termomodernizacja budynku Urzędu Gminy Szumowo (załącznik Nr 6) - jeżeli dotyczy</w:t>
      </w:r>
    </w:p>
    <w:p>
      <w:pPr>
        <w:pStyle w:val="style0"/>
        <w:shd w:fill="FFFFFF" w:val="clear"/>
        <w:spacing w:after="0" w:before="100" w:line="250" w:lineRule="exact"/>
        <w:contextualSpacing w:val="false"/>
        <w:jc w:val="both"/>
      </w:pPr>
      <w:r>
        <w:rPr>
          <w:color w:val="000000"/>
        </w:rPr>
        <w:t>- Parafowany projekt umowy- Remont świetlicy wiejskiej w Radwanach  - Zaorze ( załącznik Nr 7) - jeżeli dotyczy.</w:t>
      </w:r>
    </w:p>
    <w:p>
      <w:pPr>
        <w:pStyle w:val="style0"/>
        <w:spacing w:line="100" w:lineRule="atLeast"/>
        <w:jc w:val="both"/>
      </w:pPr>
      <w:r>
        <w:rPr>
          <w:rFonts w:cs="font289"/>
          <w:bCs/>
          <w:color w:val="000000"/>
          <w:lang w:eastAsia="pl-PL"/>
        </w:rPr>
      </w:r>
    </w:p>
    <w:p>
      <w:pPr>
        <w:pStyle w:val="style68"/>
        <w:tabs>
          <w:tab w:leader="none" w:pos="1415" w:val="left"/>
          <w:tab w:leader="none" w:pos="16183" w:val="left"/>
        </w:tabs>
        <w:jc w:val="both"/>
      </w:pPr>
      <w:r>
        <w:rPr>
          <w:b/>
          <w:sz w:val="26"/>
          <w:u w:val="single"/>
        </w:rPr>
        <w:t>7. Informację o sposobie porozumiewania się zamawiającego z wykonawcami oraz przekazywania oświadczeń lub dokumentów, a także wskazanie osób uprawnionych do porozumiewania się z wykonawcami.</w:t>
      </w:r>
    </w:p>
    <w:p>
      <w:pPr>
        <w:pStyle w:val="style68"/>
        <w:tabs>
          <w:tab w:leader="none" w:pos="15051" w:val="left"/>
        </w:tabs>
        <w:jc w:val="both"/>
      </w:pPr>
      <w:r>
        <w:rPr>
          <w:sz w:val="24"/>
          <w:szCs w:val="24"/>
        </w:rPr>
        <w:t>1. Formy porozumiewania się z Zamawiającym:</w:t>
      </w:r>
    </w:p>
    <w:p>
      <w:pPr>
        <w:pStyle w:val="style68"/>
        <w:numPr>
          <w:ilvl w:val="0"/>
          <w:numId w:val="4"/>
        </w:numPr>
        <w:tabs>
          <w:tab w:leader="none" w:pos="4070" w:val="left"/>
          <w:tab w:leader="none" w:pos="10666" w:val="left"/>
        </w:tabs>
        <w:jc w:val="both"/>
      </w:pPr>
      <w:r>
        <w:rPr/>
        <w:t>Zamawiający nie przewiduje zorganizowania zebrania oferentów.</w:t>
      </w:r>
    </w:p>
    <w:p>
      <w:pPr>
        <w:pStyle w:val="style68"/>
        <w:tabs>
          <w:tab w:leader="none" w:pos="4145" w:val="left"/>
          <w:tab w:leader="none" w:pos="10741" w:val="left"/>
        </w:tabs>
        <w:ind w:hanging="360" w:left="75" w:right="0"/>
        <w:jc w:val="both"/>
      </w:pPr>
      <w:r>
        <w:rPr/>
        <w:t xml:space="preserve">     </w:t>
      </w:r>
      <w:r>
        <w:rPr/>
        <w:t>2. Opis sposobu przygotowywania oświadczeń i dokumentów:</w:t>
      </w:r>
    </w:p>
    <w:p>
      <w:pPr>
        <w:pStyle w:val="style68"/>
        <w:tabs>
          <w:tab w:leader="none" w:pos="31264" w:val="left"/>
        </w:tabs>
        <w:ind w:hanging="0" w:left="814" w:right="0"/>
        <w:jc w:val="both"/>
      </w:pPr>
      <w:r>
        <w:rPr/>
        <w:t>1) Wszystkie dokumenty winny być aktualne w terminie składania ofert i przedłożone w formie oryginałów lub kserokopi poświadczonej za zgodność z oryginałem przez wykonawcę.</w:t>
      </w:r>
    </w:p>
    <w:p>
      <w:pPr>
        <w:pStyle w:val="style68"/>
        <w:tabs>
          <w:tab w:leader="none" w:pos="31264" w:val="left"/>
        </w:tabs>
        <w:ind w:hanging="0" w:left="814" w:right="0"/>
        <w:jc w:val="both"/>
      </w:pPr>
      <w:r>
        <w:rPr/>
        <w:t>2) Oferta oraz wszystkie oświadczenia powinny być podpisane przez osoby uprawnione do reprezentowania wykonawcy.</w:t>
      </w:r>
    </w:p>
    <w:p>
      <w:pPr>
        <w:pStyle w:val="style68"/>
        <w:tabs>
          <w:tab w:leader="none" w:pos="31264" w:val="left"/>
        </w:tabs>
        <w:ind w:hanging="0" w:left="814" w:right="0"/>
        <w:jc w:val="both"/>
      </w:pPr>
      <w:r>
        <w:rPr/>
        <w:t>3) Podpisy na ofercie, oświadczeniach powinny być czytelne, a w przypadku podpisu nieczytelnego opatrzone imienną pieczątką.</w:t>
      </w:r>
    </w:p>
    <w:p>
      <w:pPr>
        <w:pStyle w:val="style68"/>
        <w:tabs>
          <w:tab w:leader="none" w:pos="31264" w:val="left"/>
        </w:tabs>
        <w:ind w:hanging="0" w:left="814" w:right="0"/>
        <w:jc w:val="both"/>
      </w:pPr>
      <w:r>
        <w:rPr>
          <w:sz w:val="24"/>
          <w:szCs w:val="24"/>
        </w:rPr>
        <w:t>4) Wszystkie poprawki lub zmiany w tekście oferty muszą być parafowane i datowane    własnoręcznie.</w:t>
      </w:r>
    </w:p>
    <w:p>
      <w:pPr>
        <w:pStyle w:val="style68"/>
        <w:tabs>
          <w:tab w:leader="none" w:pos="7500" w:val="left"/>
        </w:tabs>
        <w:ind w:hanging="0" w:left="15" w:right="0"/>
        <w:jc w:val="both"/>
      </w:pPr>
      <w:r>
        <w:rPr>
          <w:sz w:val="24"/>
          <w:szCs w:val="24"/>
        </w:rPr>
        <w:t>3. Sposób udzielania wyjaśnień dotyczących Specyfikacji Istotnych Warunków Zamówienia:</w:t>
      </w:r>
    </w:p>
    <w:p>
      <w:pPr>
        <w:pStyle w:val="style68"/>
        <w:numPr>
          <w:ilvl w:val="0"/>
          <w:numId w:val="5"/>
        </w:numPr>
        <w:tabs>
          <w:tab w:leader="none" w:pos="23760" w:val="left"/>
          <w:tab w:leader="none" w:pos="30450" w:val="left"/>
        </w:tabs>
        <w:ind w:hanging="360" w:left="720" w:right="0"/>
        <w:jc w:val="both"/>
      </w:pPr>
      <w:r>
        <w:rPr>
          <w:sz w:val="24"/>
          <w:szCs w:val="24"/>
        </w:rPr>
        <w:t xml:space="preserve">Wykonawca może zwrócić się do zamawiającego o wyjaśnienie treści SIWZ, kierując swoje zapytania na piśmie, faxem, e-mailem pod adres Zamawiającego (zgodnie z art. 38 ust.1 ustawy), tak aby dotarły one do niego </w:t>
      </w:r>
      <w:r>
        <w:rPr>
          <w:rFonts w:cs="Arial" w:eastAsia="Arial"/>
          <w:sz w:val="24"/>
          <w:szCs w:val="24"/>
        </w:rPr>
        <w:t>nie później niż do końca dnia, w którym upływa połowa wyznaczonego terminu składania ofert</w:t>
      </w:r>
      <w:r>
        <w:rPr>
          <w:sz w:val="24"/>
          <w:szCs w:val="24"/>
        </w:rPr>
        <w:t>. Zamawiający niezwłocznie prześle treść zapytania oraz udzieli wyjaśnień wszystkim wykonawcom, którym doręczono specyfikację, bez ujawniania źródła zapytania oraz zamieści je na stronie internetowej.</w:t>
      </w:r>
    </w:p>
    <w:p>
      <w:pPr>
        <w:pStyle w:val="style68"/>
        <w:numPr>
          <w:ilvl w:val="0"/>
          <w:numId w:val="5"/>
        </w:numPr>
        <w:tabs>
          <w:tab w:leader="none" w:pos="7348" w:val="left"/>
          <w:tab w:leader="none" w:pos="23760" w:val="left"/>
          <w:tab w:leader="none" w:pos="30450" w:val="left"/>
        </w:tabs>
        <w:ind w:hanging="360" w:left="720" w:right="0"/>
        <w:jc w:val="both"/>
      </w:pPr>
      <w:r>
        <w:rPr>
          <w:sz w:val="24"/>
          <w:szCs w:val="24"/>
        </w:rPr>
        <w:t xml:space="preserve">Przed upływem terminu składania ofert, Zamawiający może zmodyfikować treść Specyfikacji. </w:t>
      </w:r>
      <w:r>
        <w:rPr>
          <w:rFonts w:cs="Arial" w:eastAsia="Arial"/>
          <w:sz w:val="24"/>
          <w:szCs w:val="24"/>
        </w:rPr>
        <w:t>Dokonaną zmianę specyfikacji zamawiający przekazuje niezwłocznie wszystkim wykonawcom, którym przekazano specyfikację istotnych warunków zamówienia, a jeżeli specyfikacja jest udostępniana na stronie internetowej, zamieszcza ją także na tej stronie. Jeżeli zmiana treści specyfikacji istotnych warunków zamówienia prowadzi do zmiany treści ogłoszenia o zamówieniu, Zamawiający zamieści ogłoszenie o zmianie ogłoszenia w Biuletynie Zamówień Publicznych.</w:t>
      </w:r>
    </w:p>
    <w:p>
      <w:pPr>
        <w:pStyle w:val="style0"/>
        <w:numPr>
          <w:ilvl w:val="0"/>
          <w:numId w:val="5"/>
        </w:numPr>
        <w:tabs>
          <w:tab w:leader="none" w:pos="23760" w:val="left"/>
          <w:tab w:leader="none" w:pos="30450" w:val="left"/>
        </w:tabs>
        <w:ind w:hanging="360" w:left="720" w:right="0"/>
        <w:jc w:val="both"/>
      </w:pPr>
      <w:r>
        <w:rPr>
          <w:rFonts w:cs="Arial" w:eastAsia="Arial"/>
        </w:rPr>
        <w:t>Jeżeli w wyniku zmiany treści specyfikacji istotnych warunków zamówienia nieprowadzącej do zmiany treści ogłoszenia o zamówieniu będzie niezbędny dodatkowy czas na wprowadzenie zmian w ofertach, zamawiający przedłuży termin składania ofert i poinformuje o tym wykonawców, którym przekazano specyfikację istotnych warunków zamówienia, oraz zamieści informację na stronie internetowej.</w:t>
      </w:r>
    </w:p>
    <w:p>
      <w:pPr>
        <w:pStyle w:val="style68"/>
        <w:tabs>
          <w:tab w:leader="none" w:pos="735" w:val="left"/>
          <w:tab w:leader="none" w:pos="7410" w:val="left"/>
        </w:tabs>
        <w:jc w:val="both"/>
      </w:pPr>
      <w:r>
        <w:rPr>
          <w:sz w:val="24"/>
          <w:szCs w:val="24"/>
        </w:rPr>
        <w:t>4. Zamawiający wyznacza do kontaktu z Wykonawcami Pana Krzysztofa Bobkowskiego–   Kierownika Referatu Gospodarki Przestrzennej i Inwestycji.</w:t>
      </w:r>
    </w:p>
    <w:p>
      <w:pPr>
        <w:pStyle w:val="style68"/>
        <w:tabs>
          <w:tab w:leader="none" w:pos="7410" w:val="left"/>
        </w:tabs>
        <w:jc w:val="both"/>
      </w:pPr>
      <w:r>
        <w:rPr>
          <w:b/>
          <w:bCs/>
          <w:sz w:val="26"/>
          <w:szCs w:val="26"/>
        </w:rPr>
      </w:r>
    </w:p>
    <w:p>
      <w:pPr>
        <w:pStyle w:val="style68"/>
        <w:tabs>
          <w:tab w:leader="none" w:pos="7410" w:val="left"/>
        </w:tabs>
        <w:jc w:val="both"/>
      </w:pPr>
      <w:r>
        <w:rPr>
          <w:b/>
          <w:bCs/>
          <w:sz w:val="26"/>
          <w:szCs w:val="26"/>
        </w:rPr>
        <w:t>8.</w:t>
      </w:r>
      <w:r>
        <w:rPr>
          <w:b/>
          <w:bCs/>
          <w:sz w:val="26"/>
          <w:szCs w:val="26"/>
          <w:u w:val="single"/>
        </w:rPr>
        <w:t xml:space="preserve"> Wymagania dotyczące wadium.</w:t>
      </w:r>
    </w:p>
    <w:p>
      <w:pPr>
        <w:pStyle w:val="style0"/>
        <w:tabs>
          <w:tab w:leader="none" w:pos="4056" w:val="left"/>
        </w:tabs>
        <w:jc w:val="both"/>
      </w:pPr>
      <w:r>
        <w:rPr>
          <w:rFonts w:cs="Tahoma"/>
        </w:rPr>
        <w:t>Zamawiający nie żąda wniesienia wadium.</w:t>
      </w:r>
    </w:p>
    <w:p>
      <w:pPr>
        <w:pStyle w:val="style68"/>
        <w:tabs>
          <w:tab w:leader="none" w:pos="14202" w:val="left"/>
        </w:tabs>
        <w:jc w:val="both"/>
      </w:pPr>
      <w:r>
        <w:rPr>
          <w:b/>
          <w:bCs/>
          <w:sz w:val="26"/>
          <w:szCs w:val="26"/>
        </w:rPr>
      </w:r>
    </w:p>
    <w:p>
      <w:pPr>
        <w:pStyle w:val="style68"/>
        <w:tabs>
          <w:tab w:leader="none" w:pos="14202" w:val="left"/>
        </w:tabs>
        <w:jc w:val="both"/>
      </w:pPr>
      <w:r>
        <w:rPr>
          <w:b/>
          <w:bCs/>
          <w:sz w:val="26"/>
          <w:szCs w:val="26"/>
        </w:rPr>
        <w:t>9.</w:t>
      </w:r>
      <w:r>
        <w:rPr>
          <w:b/>
          <w:bCs/>
          <w:sz w:val="26"/>
          <w:szCs w:val="26"/>
          <w:u w:val="single"/>
        </w:rPr>
        <w:t xml:space="preserve"> Termin związania ofertą.</w:t>
      </w:r>
    </w:p>
    <w:p>
      <w:pPr>
        <w:pStyle w:val="style68"/>
        <w:numPr>
          <w:ilvl w:val="0"/>
          <w:numId w:val="6"/>
        </w:numPr>
        <w:tabs>
          <w:tab w:leader="none" w:pos="1415" w:val="left"/>
          <w:tab w:leader="none" w:pos="15900" w:val="left"/>
        </w:tabs>
        <w:jc w:val="both"/>
      </w:pPr>
      <w:r>
        <w:rPr/>
        <w:t>Termin związania ofertą rozpoczyna się z dniem upływu terminu do składania oferty i trwa przez okres 30 dni.</w:t>
      </w:r>
    </w:p>
    <w:p>
      <w:pPr>
        <w:pStyle w:val="style68"/>
        <w:tabs>
          <w:tab w:leader="none" w:pos="15" w:val="left"/>
          <w:tab w:leader="none" w:pos="2556" w:val="left"/>
          <w:tab w:leader="none" w:pos="9205" w:val="left"/>
          <w:tab w:leader="none" w:pos="20294" w:val="left"/>
        </w:tabs>
        <w:ind w:hanging="30" w:left="0" w:right="0"/>
        <w:jc w:val="both"/>
      </w:pPr>
      <w:r>
        <w:rPr>
          <w:sz w:val="24"/>
          <w:szCs w:val="24"/>
        </w:rPr>
        <w:t>2) W uzasadnionych przypadkach zamawiający może tylko raz, na co najmniej 3 dni przed upływem terminu związania ofertą zwrócić się do wykonawców o wyrażenie zgody na przedłużenie tego terminu o oznaczony okres, jednak nie dłuższy niż 60 dni.</w:t>
      </w:r>
    </w:p>
    <w:p>
      <w:pPr>
        <w:pStyle w:val="style68"/>
        <w:tabs>
          <w:tab w:leader="none" w:pos="7976" w:val="left"/>
        </w:tabs>
        <w:jc w:val="both"/>
      </w:pPr>
      <w:r>
        <w:rPr>
          <w:sz w:val="24"/>
          <w:szCs w:val="24"/>
        </w:rPr>
      </w:r>
    </w:p>
    <w:p>
      <w:pPr>
        <w:pStyle w:val="style68"/>
        <w:tabs>
          <w:tab w:leader="none" w:pos="15051" w:val="left"/>
        </w:tabs>
        <w:jc w:val="both"/>
      </w:pPr>
      <w:r>
        <w:rPr>
          <w:b/>
          <w:bCs/>
          <w:sz w:val="26"/>
          <w:szCs w:val="26"/>
        </w:rPr>
        <w:t>10.</w:t>
      </w:r>
      <w:r>
        <w:rPr>
          <w:b/>
          <w:bCs/>
          <w:sz w:val="26"/>
          <w:szCs w:val="26"/>
          <w:u w:val="single"/>
        </w:rPr>
        <w:t xml:space="preserve"> Opis sposobu przygotowywania ofert.</w:t>
      </w:r>
    </w:p>
    <w:p>
      <w:pPr>
        <w:pStyle w:val="style68"/>
        <w:tabs>
          <w:tab w:leader="none" w:pos="8054" w:val="left"/>
        </w:tabs>
        <w:ind w:hanging="0" w:left="13" w:right="0"/>
        <w:jc w:val="both"/>
      </w:pPr>
      <w:r>
        <w:rPr/>
        <w:t>1) Ofertę należy sporządzić w języku polskim w formie pisemnej.</w:t>
      </w:r>
    </w:p>
    <w:p>
      <w:pPr>
        <w:pStyle w:val="style68"/>
        <w:tabs>
          <w:tab w:leader="none" w:pos="8054" w:val="left"/>
        </w:tabs>
        <w:ind w:hanging="0" w:left="13" w:right="0"/>
        <w:jc w:val="both"/>
      </w:pPr>
      <w:r>
        <w:rPr/>
        <w:t>2) Oferta, a także wszystkie składane oświadczenia muszą być podpisane przez osobę lub osoby upoważnione do reprezentowania wykonawcy zgodnie z reprezentacją wynikającą z właściwego rejestru.</w:t>
      </w:r>
    </w:p>
    <w:p>
      <w:pPr>
        <w:pStyle w:val="style68"/>
        <w:tabs>
          <w:tab w:leader="none" w:pos="8054" w:val="left"/>
        </w:tabs>
        <w:ind w:hanging="0" w:left="13" w:right="0"/>
        <w:jc w:val="both"/>
      </w:pPr>
      <w:r>
        <w:rPr/>
        <w:t>3) Podpisy na ofercie, oświadczeniach powinny być czytelne, a w przypadku podpisu nieczytelnego opatrzone imienną pieczątką.</w:t>
      </w:r>
    </w:p>
    <w:p>
      <w:pPr>
        <w:pStyle w:val="style68"/>
        <w:tabs>
          <w:tab w:leader="none" w:pos="8054" w:val="left"/>
        </w:tabs>
        <w:ind w:hanging="0" w:left="13" w:right="0"/>
        <w:jc w:val="both"/>
      </w:pPr>
      <w:r>
        <w:rPr/>
        <w:t>4) Oferenci przedstawiają ofertę zgodnie z wymogami określonymi w SIWZ. Oferta winna zawierać:</w:t>
      </w:r>
    </w:p>
    <w:p>
      <w:pPr>
        <w:pStyle w:val="style68"/>
        <w:numPr>
          <w:ilvl w:val="0"/>
          <w:numId w:val="7"/>
        </w:numPr>
        <w:tabs>
          <w:tab w:leader="none" w:pos="3600" w:val="left"/>
          <w:tab w:leader="none" w:pos="27930" w:val="left"/>
        </w:tabs>
      </w:pPr>
      <w:r>
        <w:rPr/>
        <w:t>wypełniony druk oferty – Załącznik Nr 1;</w:t>
      </w:r>
    </w:p>
    <w:p>
      <w:pPr>
        <w:pStyle w:val="style68"/>
        <w:numPr>
          <w:ilvl w:val="0"/>
          <w:numId w:val="7"/>
        </w:numPr>
        <w:tabs>
          <w:tab w:leader="none" w:pos="3600" w:val="left"/>
          <w:tab w:leader="none" w:pos="27930" w:val="left"/>
        </w:tabs>
      </w:pPr>
      <w:r>
        <w:rPr/>
        <w:t>wypełniony druk oświadczenia – Załącznik Nr 2;</w:t>
      </w:r>
    </w:p>
    <w:p>
      <w:pPr>
        <w:pStyle w:val="style68"/>
        <w:numPr>
          <w:ilvl w:val="0"/>
          <w:numId w:val="7"/>
        </w:numPr>
        <w:tabs>
          <w:tab w:leader="none" w:pos="3600" w:val="left"/>
          <w:tab w:leader="none" w:pos="27930" w:val="left"/>
        </w:tabs>
      </w:pPr>
      <w:r>
        <w:rPr/>
        <w:t>wypełniony druk oświadczenia – Załącznik Nr 3;</w:t>
      </w:r>
    </w:p>
    <w:p>
      <w:pPr>
        <w:pStyle w:val="style68"/>
        <w:numPr>
          <w:ilvl w:val="0"/>
          <w:numId w:val="7"/>
        </w:numPr>
        <w:tabs>
          <w:tab w:leader="none" w:pos="7410" w:val="left"/>
        </w:tabs>
        <w:jc w:val="both"/>
      </w:pPr>
      <w:r>
        <w:rPr>
          <w:color w:val="000000"/>
          <w:spacing w:val="-2"/>
          <w:sz w:val="24"/>
          <w:szCs w:val="24"/>
          <w:lang w:bidi="hi-IN"/>
        </w:rPr>
        <w:t>wypełniony druk o</w:t>
      </w:r>
      <w:r>
        <w:rPr>
          <w:color w:val="000000"/>
          <w:spacing w:val="-6"/>
          <w:sz w:val="24"/>
          <w:szCs w:val="24"/>
          <w:lang w:bidi="hi-IN"/>
        </w:rPr>
        <w:t>świadczenia dotyczące grupy kapitałowej Załącznik Nr 4;</w:t>
      </w:r>
    </w:p>
    <w:p>
      <w:pPr>
        <w:pStyle w:val="style68"/>
        <w:numPr>
          <w:ilvl w:val="0"/>
          <w:numId w:val="7"/>
        </w:numPr>
        <w:tabs>
          <w:tab w:leader="none" w:pos="7410" w:val="left"/>
        </w:tabs>
        <w:jc w:val="both"/>
      </w:pPr>
      <w:r>
        <w:rPr>
          <w:color w:val="000000"/>
          <w:spacing w:val="-2"/>
          <w:sz w:val="24"/>
          <w:szCs w:val="24"/>
          <w:lang w:bidi="hi-IN"/>
        </w:rPr>
        <w:t xml:space="preserve">wypełniony druk wykaz części zamówienia, które wykonawca zamierza powierzyć podwykonawcom (jeżeli dotyczy)- </w:t>
      </w:r>
      <w:r>
        <w:rPr>
          <w:color w:val="000000"/>
          <w:spacing w:val="-6"/>
          <w:sz w:val="24"/>
          <w:szCs w:val="24"/>
          <w:lang w:bidi="hi-IN"/>
        </w:rPr>
        <w:t xml:space="preserve"> Załącznik Nr 5;</w:t>
      </w:r>
    </w:p>
    <w:p>
      <w:pPr>
        <w:pStyle w:val="style68"/>
        <w:numPr>
          <w:ilvl w:val="0"/>
          <w:numId w:val="7"/>
        </w:numPr>
        <w:tabs>
          <w:tab w:leader="none" w:pos="7410" w:val="left"/>
        </w:tabs>
        <w:jc w:val="both"/>
      </w:pPr>
      <w:r>
        <w:rPr/>
        <w:t xml:space="preserve">parafowany projekt umowy  - Załączniki  Nr 6, 7. </w:t>
      </w:r>
    </w:p>
    <w:p>
      <w:pPr>
        <w:pStyle w:val="style68"/>
        <w:tabs>
          <w:tab w:leader="none" w:pos="7410" w:val="left"/>
        </w:tabs>
        <w:jc w:val="both"/>
      </w:pPr>
      <w:r>
        <w:rPr/>
        <w:t>5) Wszystkie poprawki lub zmiany w tekście oferty muszą być parafowane i datowane własnoręcznie.</w:t>
      </w:r>
    </w:p>
    <w:p>
      <w:pPr>
        <w:pStyle w:val="style68"/>
        <w:numPr>
          <w:ilvl w:val="0"/>
          <w:numId w:val="8"/>
        </w:numPr>
        <w:tabs>
          <w:tab w:leader="none" w:pos="1608" w:val="left"/>
          <w:tab w:leader="none" w:pos="15887" w:val="left"/>
        </w:tabs>
        <w:ind w:hanging="283" w:left="268" w:right="0"/>
        <w:jc w:val="both"/>
      </w:pPr>
      <w:r>
        <w:rPr/>
        <w:t>Ofertę wraz ze wszystkimi podpisanymi załącznikami na kolejno ponumerowanych stronach, spiętą należy umieścić w zaklejonej i opieczętowanej kopercie.</w:t>
      </w:r>
    </w:p>
    <w:p>
      <w:pPr>
        <w:pStyle w:val="style0"/>
        <w:numPr>
          <w:ilvl w:val="0"/>
          <w:numId w:val="8"/>
        </w:numPr>
        <w:tabs>
          <w:tab w:leader="none" w:pos="1608" w:val="left"/>
          <w:tab w:leader="none" w:pos="15887" w:val="left"/>
        </w:tabs>
        <w:ind w:hanging="283" w:left="268" w:right="0"/>
        <w:jc w:val="both"/>
      </w:pPr>
      <w:r>
        <w:rPr>
          <w:lang w:val="pl-PL"/>
        </w:rPr>
        <w:t>Jeżeli według Wykonawcy oferta będzie zawierała informacje objęte tajemnicą jego przedsiębiorstwa w rozumieniu przepisów ustawy z 16 kwietnia 1993 r. o zwalczaniu nieuczciwej konkurencji (Dz.U. z 2003 r. nr 153, poz. 1503, z późn. zm.), muszą być oznaczone klauzulą NIE UDOSTĘPNIAĆ – TAJEMNICA PRZEDSIĘBIORSTWA. Zaleca się umieścić takie dokumenty na końcu oferty ( ostatnie strony w ofercie lub osobno)….</w:t>
      </w:r>
    </w:p>
    <w:p>
      <w:pPr>
        <w:pStyle w:val="style0"/>
        <w:numPr>
          <w:ilvl w:val="0"/>
          <w:numId w:val="8"/>
        </w:numPr>
        <w:tabs>
          <w:tab w:leader="none" w:pos="1608" w:val="left"/>
          <w:tab w:leader="none" w:pos="15887" w:val="left"/>
        </w:tabs>
        <w:ind w:hanging="283" w:left="268" w:right="0"/>
        <w:jc w:val="both"/>
      </w:pPr>
      <w:r>
        <w:rPr>
          <w:lang w:val="pl-PL"/>
        </w:rPr>
        <w:t>Zastrzeżenie informacji, danych, dokumentów lub oświadczeń nie stanowiących tajemnicy przedsiębiorstwa w rozumieniu przepisów o nieuczciwej konkurencji spowoduje ich odtajnienie.</w:t>
      </w:r>
    </w:p>
    <w:p>
      <w:pPr>
        <w:pStyle w:val="style68"/>
        <w:numPr>
          <w:ilvl w:val="0"/>
          <w:numId w:val="8"/>
        </w:numPr>
        <w:tabs>
          <w:tab w:leader="none" w:pos="1340" w:val="left"/>
          <w:tab w:leader="none" w:pos="15619" w:val="left"/>
        </w:tabs>
        <w:jc w:val="both"/>
      </w:pPr>
      <w:r>
        <w:rPr/>
        <w:t xml:space="preserve">Koperta powinna być zaadresowana na adres Zamawiającego oraz następująco opisana </w:t>
      </w:r>
      <w:r>
        <w:rPr>
          <w:b/>
          <w:bCs/>
        </w:rPr>
        <w:t>,,</w:t>
      </w:r>
      <w:r>
        <w:rPr>
          <w:rFonts w:cs="Tahoma"/>
          <w:b/>
          <w:bCs/>
          <w:sz w:val="24"/>
          <w:szCs w:val="24"/>
        </w:rPr>
        <w:t>Wykonanie termomodernizacji budynku Urzędu Gminy Szumowo oraz remont świetlicy wiejskiej w Radwanach - Zaorze</w:t>
      </w:r>
      <w:r>
        <w:rPr>
          <w:b/>
          <w:bCs/>
          <w:sz w:val="24"/>
          <w:szCs w:val="24"/>
        </w:rPr>
        <w:t xml:space="preserve"> ".</w:t>
      </w:r>
    </w:p>
    <w:p>
      <w:pPr>
        <w:pStyle w:val="style68"/>
        <w:numPr>
          <w:ilvl w:val="0"/>
          <w:numId w:val="8"/>
        </w:numPr>
        <w:tabs>
          <w:tab w:leader="none" w:pos="1608" w:val="left"/>
          <w:tab w:leader="none" w:pos="15887" w:val="left"/>
        </w:tabs>
        <w:ind w:hanging="283" w:left="268" w:right="0"/>
      </w:pPr>
      <w:r>
        <w:rPr/>
        <w:t>Koperta powinna również zawierać dokładny adres oferenta.</w:t>
      </w:r>
    </w:p>
    <w:p>
      <w:pPr>
        <w:pStyle w:val="style68"/>
        <w:tabs>
          <w:tab w:leader="none" w:pos="268" w:val="left"/>
          <w:tab w:leader="none" w:pos="14547" w:val="left"/>
        </w:tabs>
        <w:jc w:val="both"/>
      </w:pPr>
      <w:r>
        <w:rPr/>
        <w:t>9) Oferent może wprowadzić poprawki modyfikacje i uzupełnienia do złożonych ofert, pod warunkiem, że Zamawiający otrzyma pisemnie powiadomienie o wprowadzeniu zmian, poprawek.</w:t>
      </w:r>
    </w:p>
    <w:p>
      <w:pPr>
        <w:pStyle w:val="style68"/>
        <w:tabs>
          <w:tab w:leader="none" w:pos="268" w:val="left"/>
          <w:tab w:leader="none" w:pos="14547" w:val="left"/>
        </w:tabs>
        <w:jc w:val="both"/>
      </w:pPr>
      <w:r>
        <w:rPr/>
        <w:t>10) Oferent ma prawo przed upływem terminu składania ofert wycofać się z postępowania poprzez złożenie pisemnego powiadomienia.</w:t>
      </w:r>
    </w:p>
    <w:p>
      <w:pPr>
        <w:pStyle w:val="style68"/>
        <w:tabs>
          <w:tab w:leader="none" w:pos="7755" w:val="left"/>
        </w:tabs>
        <w:jc w:val="both"/>
      </w:pPr>
      <w:r>
        <w:rPr/>
      </w:r>
    </w:p>
    <w:p>
      <w:pPr>
        <w:pStyle w:val="style68"/>
        <w:tabs>
          <w:tab w:leader="none" w:pos="7755" w:val="left"/>
        </w:tabs>
        <w:jc w:val="both"/>
      </w:pPr>
      <w:r>
        <w:rPr>
          <w:b/>
          <w:u w:val="single"/>
        </w:rPr>
        <w:t>11. Miejsce oraz termin składania i otwarcia ofert.</w:t>
      </w:r>
    </w:p>
    <w:p>
      <w:pPr>
        <w:pStyle w:val="style68"/>
      </w:pPr>
      <w:r>
        <w:rPr/>
        <w:t>1) Oferty należy składać w siedzibie Zamawiającego, Urząd Gminy Szumowo, ul 1 Maja 50 pok. Nr 8, do dnia 18 kwietnia 2016r. do godz.</w:t>
      </w:r>
      <w:r>
        <w:rPr>
          <w:vertAlign w:val="superscript"/>
        </w:rPr>
        <w:t xml:space="preserve"> </w:t>
      </w:r>
      <w:r>
        <w:rPr/>
        <w:t>9</w:t>
      </w:r>
      <w:r>
        <w:rPr>
          <w:vertAlign w:val="superscript"/>
        </w:rPr>
        <w:t>30</w:t>
      </w:r>
    </w:p>
    <w:p>
      <w:pPr>
        <w:pStyle w:val="style68"/>
        <w:tabs>
          <w:tab w:leader="none" w:pos="7410" w:val="left"/>
        </w:tabs>
        <w:jc w:val="both"/>
      </w:pPr>
      <w:r>
        <w:rPr/>
        <w:t>2) Otwarcie ofert odbędzie się w siedzibie Zamawiającego, Urząd Gminy Szumowo, ul 1 Maja 50, pok. Nr 4 dnia 18 kwietnia 2016r., o godz. 9</w:t>
      </w:r>
      <w:r>
        <w:rPr>
          <w:vertAlign w:val="superscript"/>
        </w:rPr>
        <w:t>45</w:t>
      </w:r>
      <w:r>
        <w:rPr/>
        <w:t>.</w:t>
      </w:r>
    </w:p>
    <w:p>
      <w:pPr>
        <w:pStyle w:val="style68"/>
        <w:tabs>
          <w:tab w:leader="none" w:pos="7410" w:val="left"/>
        </w:tabs>
        <w:jc w:val="both"/>
      </w:pPr>
      <w:r>
        <w:rPr/>
        <w:t>3) Kolejność otwierania ofert będzie zgodna z kolejnością ich wpływu do Zamawiającego.</w:t>
      </w:r>
    </w:p>
    <w:p>
      <w:pPr>
        <w:pStyle w:val="style68"/>
        <w:tabs>
          <w:tab w:leader="none" w:pos="7410" w:val="left"/>
        </w:tabs>
        <w:jc w:val="both"/>
      </w:pPr>
      <w:r>
        <w:rPr/>
        <w:t>4) Oferty otrzymane przez zamawiającego po podanym terminie zostaną zwrócone Wykonawcy bez otwierania.</w:t>
      </w:r>
    </w:p>
    <w:p>
      <w:pPr>
        <w:pStyle w:val="style68"/>
        <w:tabs>
          <w:tab w:leader="none" w:pos="7410" w:val="left"/>
        </w:tabs>
        <w:jc w:val="both"/>
      </w:pPr>
      <w:r>
        <w:rPr/>
        <w:t>5) Bezpośrednio przed otwarciem ofert Zamawiający poda kwotę, jaką zamierza przeznaczyć na sfinansowanie zamówienia.</w:t>
      </w:r>
    </w:p>
    <w:p>
      <w:pPr>
        <w:pStyle w:val="style68"/>
        <w:tabs>
          <w:tab w:leader="none" w:pos="7410" w:val="left"/>
        </w:tabs>
        <w:jc w:val="both"/>
      </w:pPr>
      <w:r>
        <w:rPr/>
        <w:t>6) Podczas otwarcia ofert podaje się nazwę oraz adresy wykonawców, a także informacje dotyczące ceny, terminu wykonania zamówienia.</w:t>
      </w:r>
    </w:p>
    <w:p>
      <w:pPr>
        <w:pStyle w:val="style68"/>
        <w:tabs>
          <w:tab w:leader="none" w:pos="7410" w:val="left"/>
        </w:tabs>
        <w:jc w:val="both"/>
      </w:pPr>
      <w:r>
        <w:rPr/>
        <w:t>7) Wszystkie koszty związane z przygotowaniem i złożeniem oferty ponosi wykonawca.</w:t>
      </w:r>
    </w:p>
    <w:p>
      <w:pPr>
        <w:pStyle w:val="style68"/>
        <w:tabs>
          <w:tab w:leader="none" w:pos="14768" w:val="left"/>
        </w:tabs>
        <w:jc w:val="both"/>
      </w:pPr>
      <w:r>
        <w:rPr/>
        <w:t>8) Oferent, który będzie nieobecny przy otwarciu ofert, może wystąpić do Zamawiającego z wnioskiem o przesłanie informacji ogłoszonych w trakcie otwarcia ofert. Informacje te Zamawiający prześle niezwłocznie Oferentowi.</w:t>
      </w:r>
    </w:p>
    <w:p>
      <w:pPr>
        <w:pStyle w:val="style68"/>
        <w:tabs>
          <w:tab w:leader="none" w:pos="14768" w:val="left"/>
        </w:tabs>
        <w:jc w:val="both"/>
      </w:pPr>
      <w:r>
        <w:rPr/>
        <w:t>9)W toku badania i oceny Zamawiający może żądać od wykonawcy wyjaśnień w zakresie złożonej oferty.</w:t>
      </w:r>
    </w:p>
    <w:p>
      <w:pPr>
        <w:pStyle w:val="style68"/>
        <w:tabs>
          <w:tab w:leader="none" w:pos="14768" w:val="left"/>
        </w:tabs>
        <w:jc w:val="both"/>
      </w:pPr>
      <w:r>
        <w:rPr/>
        <w:t xml:space="preserve">10) Zamawiający zastrzega sobie możliwość dokonania poprawy oczywistych omyłek pisarskich, rachunkowych w złożonych ofertach, innych omyłek polegających na niezgodności </w:t>
      </w:r>
      <w:r>
        <w:rPr>
          <w:rFonts w:cs="Arial" w:eastAsia="Arial"/>
          <w:sz w:val="24"/>
          <w:szCs w:val="24"/>
        </w:rPr>
        <w:t xml:space="preserve">oferty ze specyfikacją istotnych warunków zamówienia, niepowodujących istotnych zmian w treści oferty- niezwłocznie zawiadamiając o tym wykonawcę, którego oferta została poprawiona </w:t>
      </w:r>
      <w:r>
        <w:rPr/>
        <w:t>zgodnie z zasadami uregulowanymi w art. 87 ust.2 pkt. 1-3. PZP.</w:t>
      </w:r>
    </w:p>
    <w:p>
      <w:pPr>
        <w:pStyle w:val="style68"/>
        <w:tabs>
          <w:tab w:leader="none" w:pos="14768" w:val="left"/>
        </w:tabs>
        <w:jc w:val="both"/>
      </w:pPr>
      <w:r>
        <w:rPr>
          <w:i/>
          <w:iCs/>
          <w:u w:val="single"/>
        </w:rPr>
      </w:r>
    </w:p>
    <w:p>
      <w:pPr>
        <w:pStyle w:val="style68"/>
        <w:tabs>
          <w:tab w:leader="none" w:pos="7410" w:val="left"/>
        </w:tabs>
        <w:jc w:val="both"/>
      </w:pPr>
      <w:r>
        <w:rPr>
          <w:b/>
          <w:bCs/>
          <w:u w:val="single"/>
        </w:rPr>
        <w:t>12. Opis sposobu obliczenia ceny.</w:t>
      </w:r>
    </w:p>
    <w:p>
      <w:pPr>
        <w:pStyle w:val="style68"/>
        <w:tabs>
          <w:tab w:leader="none" w:pos="8130" w:val="left"/>
        </w:tabs>
        <w:jc w:val="both"/>
      </w:pPr>
      <w:r>
        <w:rPr/>
        <w:t>1) W formularzu ofertowym należy podać cenę netto, stawkę podatku VAT oraz cenę brutto.</w:t>
      </w:r>
    </w:p>
    <w:p>
      <w:pPr>
        <w:pStyle w:val="style68"/>
        <w:tabs>
          <w:tab w:leader="none" w:pos="8130" w:val="left"/>
        </w:tabs>
        <w:jc w:val="both"/>
      </w:pPr>
      <w:r>
        <w:rPr/>
        <w:t>2) Cena winna być wyrażona w złotych polskich, do dwóch miejsc po przecinku.</w:t>
      </w:r>
    </w:p>
    <w:p>
      <w:pPr>
        <w:pStyle w:val="style68"/>
        <w:tabs>
          <w:tab w:leader="none" w:pos="8130" w:val="left"/>
        </w:tabs>
        <w:jc w:val="both"/>
      </w:pPr>
      <w:r>
        <w:rPr/>
        <w:t>3) Cena powinna obejmować wszystkie koszty wykonania całości zamówienia.</w:t>
      </w:r>
    </w:p>
    <w:p>
      <w:pPr>
        <w:pStyle w:val="style68"/>
        <w:tabs>
          <w:tab w:leader="none" w:pos="8130" w:val="left"/>
        </w:tabs>
        <w:jc w:val="both"/>
      </w:pPr>
      <w:r>
        <w:rPr/>
        <w:t xml:space="preserve">4) Do porównania ofert będzie brana pod uwagę </w:t>
      </w:r>
      <w:r>
        <w:rPr>
          <w:u w:val="single"/>
        </w:rPr>
        <w:t>cena brutto w PLN.</w:t>
      </w:r>
    </w:p>
    <w:p>
      <w:pPr>
        <w:pStyle w:val="style68"/>
        <w:tabs>
          <w:tab w:leader="none" w:pos="8130" w:val="left"/>
        </w:tabs>
        <w:jc w:val="both"/>
      </w:pPr>
      <w:r>
        <w:rPr/>
        <w:t>5) W sytuacji, gdy zamawiający stwierdzi, iż zachodzi podejrzenie, że wykonawca zaoferował rażąco niską cenę w stosunku do przedmiotu zamówienia, zgodnie z art 90 ust. 1 ustawy, w celu dokonania weryfikacji tego podejrzenie, zwróci się do wykonawcy o udzielenie wyjaśnień dotyczących elementów oferty mających wpływ na wysokość ceny. Wykonawca będzie zobowiązany do udzielenia wyjaśnień w terminie określonym w wezwaniu.</w:t>
      </w:r>
    </w:p>
    <w:p>
      <w:pPr>
        <w:pStyle w:val="style68"/>
        <w:tabs>
          <w:tab w:leader="none" w:pos="8130" w:val="left"/>
        </w:tabs>
        <w:jc w:val="both"/>
      </w:pPr>
      <w:r>
        <w:rPr/>
        <w:t>6) Jeżeli wykonawca nie złoży wyjaśnień lub jeżeli dokonana ocena wyjaśnień wraz z dostarczonymi dowodami potwierdzi, że oferta  zawiera rażąco niską cenę w stosunku do przedmiotu zamówienia, Zamawiający odrzuci jego ofertę.</w:t>
      </w:r>
    </w:p>
    <w:p>
      <w:pPr>
        <w:pStyle w:val="style68"/>
        <w:tabs>
          <w:tab w:leader="none" w:pos="1440" w:val="left"/>
          <w:tab w:leader="none" w:pos="8130" w:val="left"/>
        </w:tabs>
        <w:jc w:val="both"/>
      </w:pPr>
      <w:r>
        <w:rPr/>
        <w:t>7) Zamawiający, oceniając wyjaśnienia, weźmie pod uwagę obiektywne czynniki, w szczególności oszczędność metody wykonania zamówienia, wybrane rozwiązania techniczne oraz wpływ pomocy publicznej udzielonej na podstawie odrębnych przepisów.</w:t>
      </w:r>
    </w:p>
    <w:p>
      <w:pPr>
        <w:pStyle w:val="style68"/>
        <w:tabs>
          <w:tab w:leader="none" w:pos="7410" w:val="left"/>
        </w:tabs>
        <w:jc w:val="both"/>
      </w:pPr>
      <w:r>
        <w:rPr/>
      </w:r>
    </w:p>
    <w:p>
      <w:pPr>
        <w:pStyle w:val="style68"/>
        <w:tabs>
          <w:tab w:leader="none" w:pos="7410" w:val="left"/>
        </w:tabs>
        <w:jc w:val="both"/>
      </w:pPr>
      <w:r>
        <w:rPr>
          <w:b/>
          <w:u w:val="single"/>
        </w:rPr>
        <w:t>13. Opis kryteriów, którymi zamawiający będzie się kierował przy wyborze oferty wraz z podaniem znaczenia tych kryteriów oraz sposobu oceny ofert;</w:t>
      </w:r>
    </w:p>
    <w:p>
      <w:pPr>
        <w:pStyle w:val="style68"/>
        <w:tabs>
          <w:tab w:leader="none" w:pos="8084" w:val="left"/>
        </w:tabs>
        <w:ind w:hanging="283" w:left="284" w:right="0"/>
        <w:jc w:val="both"/>
      </w:pPr>
      <w:r>
        <w:rPr/>
        <w:t>1) Przy wyborze najkorzystniejszej oferty zamawiający będzie się kierował następującymi kryteriami:</w:t>
      </w:r>
    </w:p>
    <w:p>
      <w:pPr>
        <w:pStyle w:val="style68"/>
        <w:tabs>
          <w:tab w:leader="none" w:pos="17490" w:val="left"/>
        </w:tabs>
        <w:ind w:hanging="0" w:left="720" w:right="0"/>
        <w:jc w:val="both"/>
      </w:pPr>
      <w:r>
        <w:rPr>
          <w:sz w:val="24"/>
          <w:szCs w:val="24"/>
        </w:rPr>
        <w:t>Cena brutto za całość zamówienia = 90 pkt.</w:t>
      </w:r>
    </w:p>
    <w:p>
      <w:pPr>
        <w:pStyle w:val="style68"/>
        <w:tabs>
          <w:tab w:leader="none" w:pos="17490" w:val="left"/>
        </w:tabs>
        <w:ind w:hanging="0" w:left="720" w:right="0"/>
        <w:jc w:val="both"/>
      </w:pPr>
      <w:r>
        <w:rPr>
          <w:sz w:val="24"/>
          <w:szCs w:val="24"/>
        </w:rPr>
        <w:t>Długość okresu gwarancji = 10 pkt.</w:t>
      </w:r>
    </w:p>
    <w:p>
      <w:pPr>
        <w:pStyle w:val="style68"/>
        <w:tabs>
          <w:tab w:leader="none" w:pos="7410" w:val="left"/>
        </w:tabs>
        <w:jc w:val="both"/>
      </w:pPr>
      <w:r>
        <w:rPr>
          <w:sz w:val="24"/>
          <w:szCs w:val="24"/>
        </w:rPr>
        <w:t>2) Sposób wyliczenia punktów:</w:t>
      </w:r>
    </w:p>
    <w:p>
      <w:pPr>
        <w:pStyle w:val="style68"/>
        <w:tabs>
          <w:tab w:leader="none" w:pos="7410" w:val="left"/>
        </w:tabs>
        <w:jc w:val="both"/>
      </w:pPr>
      <w:r>
        <w:rPr/>
      </w:r>
    </w:p>
    <w:p>
      <w:pPr>
        <w:pStyle w:val="style68"/>
        <w:tabs>
          <w:tab w:leader="none" w:pos="7410" w:val="left"/>
        </w:tabs>
        <w:jc w:val="both"/>
      </w:pPr>
      <w:r>
        <w:rPr/>
        <w:t>a) Dla oceny kryterium ceny (Kc) zostanie zastosowany przez wszystkich członków komisji, jednakowy następujący wzór:</w:t>
      </w:r>
    </w:p>
    <w:p>
      <w:pPr>
        <w:pStyle w:val="style68"/>
        <w:tabs>
          <w:tab w:leader="none" w:pos="17490" w:val="left"/>
        </w:tabs>
        <w:ind w:hanging="0" w:left="720" w:right="0"/>
        <w:jc w:val="both"/>
      </w:pPr>
      <w:r>
        <w:rPr/>
      </w:r>
    </w:p>
    <w:p>
      <w:pPr>
        <w:pStyle w:val="style68"/>
        <w:tabs>
          <w:tab w:leader="none" w:pos="7410" w:val="left"/>
        </w:tabs>
        <w:jc w:val="both"/>
      </w:pPr>
      <w:r>
        <w:rPr>
          <w:u w:val="single"/>
        </w:rPr>
        <w:t>cena najniższej oferty</w:t>
      </w:r>
      <w:r>
        <w:rPr/>
        <w:t xml:space="preserve"> </w:t>
      </w:r>
    </w:p>
    <w:p>
      <w:pPr>
        <w:pStyle w:val="style68"/>
        <w:tabs>
          <w:tab w:leader="none" w:pos="7410" w:val="left"/>
        </w:tabs>
        <w:jc w:val="both"/>
      </w:pPr>
      <w:r>
        <w:rPr/>
        <w:t xml:space="preserve"> </w:t>
      </w:r>
      <w:r>
        <w:rPr/>
        <w:t xml:space="preserve">cena badanej oferty     </w:t>
      </w:r>
      <w:r>
        <w:rPr>
          <w:position w:val="12"/>
        </w:rPr>
        <w:t xml:space="preserve"> X  90</w:t>
      </w:r>
      <w:r>
        <w:rPr/>
        <w:t>=  ilość  punktów w kryterium (Kc)</w:t>
      </w:r>
    </w:p>
    <w:p>
      <w:pPr>
        <w:pStyle w:val="style68"/>
        <w:tabs>
          <w:tab w:leader="none" w:pos="7410" w:val="left"/>
        </w:tabs>
        <w:jc w:val="both"/>
      </w:pPr>
      <w:r>
        <w:rPr/>
      </w:r>
    </w:p>
    <w:p>
      <w:pPr>
        <w:pStyle w:val="style68"/>
        <w:tabs>
          <w:tab w:leader="none" w:pos="7410" w:val="left"/>
        </w:tabs>
        <w:jc w:val="both"/>
      </w:pPr>
      <w:r>
        <w:rPr/>
        <w:t>Sposób oceny: wg liczby uzyskanych punktów (maksymalnie 90 pkt.)</w:t>
      </w:r>
    </w:p>
    <w:p>
      <w:pPr>
        <w:pStyle w:val="style68"/>
        <w:tabs>
          <w:tab w:leader="none" w:pos="7410" w:val="left"/>
        </w:tabs>
        <w:jc w:val="both"/>
      </w:pPr>
      <w:r>
        <w:rPr>
          <w:color w:val="000000"/>
        </w:rPr>
      </w:r>
    </w:p>
    <w:p>
      <w:pPr>
        <w:pStyle w:val="style68"/>
        <w:tabs>
          <w:tab w:leader="none" w:pos="7410" w:val="left"/>
        </w:tabs>
        <w:jc w:val="both"/>
      </w:pPr>
      <w:r>
        <w:rPr>
          <w:color w:val="000000"/>
        </w:rPr>
        <w:t>b) Minimalny okres gwarancji Zamawiający ustalił na 36 miesiące, maksymalny okres gwarancji nie dłuższy niż 72 miesięcy.</w:t>
      </w:r>
    </w:p>
    <w:p>
      <w:pPr>
        <w:pStyle w:val="style68"/>
        <w:tabs>
          <w:tab w:leader="none" w:pos="7410" w:val="left"/>
        </w:tabs>
        <w:jc w:val="both"/>
      </w:pPr>
      <w:r>
        <w:rPr>
          <w:color w:val="000000"/>
        </w:rPr>
      </w:r>
    </w:p>
    <w:p>
      <w:pPr>
        <w:pStyle w:val="style68"/>
        <w:tabs>
          <w:tab w:leader="none" w:pos="7410" w:val="left"/>
        </w:tabs>
        <w:jc w:val="both"/>
      </w:pPr>
      <w:r>
        <w:rPr>
          <w:color w:val="000000"/>
        </w:rPr>
        <w:t>Dla oceny kryterium długości okresu gwarancji (Kg) zostanie zastosowana następująca punktacja:</w:t>
      </w:r>
    </w:p>
    <w:p>
      <w:pPr>
        <w:pStyle w:val="style68"/>
        <w:tabs>
          <w:tab w:leader="none" w:pos="7410" w:val="left"/>
        </w:tabs>
        <w:jc w:val="both"/>
      </w:pPr>
      <w:r>
        <w:rPr>
          <w:color w:val="000000"/>
        </w:rPr>
      </w:r>
    </w:p>
    <w:p>
      <w:pPr>
        <w:pStyle w:val="style68"/>
        <w:tabs>
          <w:tab w:leader="none" w:pos="7410" w:val="left"/>
        </w:tabs>
        <w:jc w:val="both"/>
      </w:pPr>
      <w:r>
        <w:rPr>
          <w:color w:val="000000"/>
        </w:rPr>
        <w:t>Gwarancja 36 miesiące – 0 pkt. w kryterium Kg</w:t>
      </w:r>
    </w:p>
    <w:p>
      <w:pPr>
        <w:pStyle w:val="style68"/>
        <w:tabs>
          <w:tab w:leader="none" w:pos="7410" w:val="left"/>
        </w:tabs>
        <w:jc w:val="both"/>
      </w:pPr>
      <w:r>
        <w:rPr>
          <w:color w:val="000000"/>
        </w:rPr>
        <w:t>Gwarancja 48 miesięcy – 4 pkt. w kryterium Kg</w:t>
      </w:r>
    </w:p>
    <w:p>
      <w:pPr>
        <w:pStyle w:val="style68"/>
        <w:tabs>
          <w:tab w:leader="none" w:pos="7410" w:val="left"/>
        </w:tabs>
        <w:jc w:val="both"/>
      </w:pPr>
      <w:r>
        <w:rPr>
          <w:color w:val="000000"/>
        </w:rPr>
        <w:t>Gwarancja 60 miesięcy – 7 pkt. w kryterium Kg</w:t>
      </w:r>
    </w:p>
    <w:p>
      <w:pPr>
        <w:pStyle w:val="style68"/>
        <w:tabs>
          <w:tab w:leader="none" w:pos="7410" w:val="left"/>
        </w:tabs>
        <w:jc w:val="both"/>
      </w:pPr>
      <w:r>
        <w:rPr>
          <w:color w:val="000000"/>
        </w:rPr>
        <w:t>Gwarancja 72 miesięcy – 10 pkt. w kryterium Kg</w:t>
      </w:r>
    </w:p>
    <w:p>
      <w:pPr>
        <w:pStyle w:val="style68"/>
        <w:tabs>
          <w:tab w:leader="none" w:pos="7410" w:val="left"/>
        </w:tabs>
        <w:spacing w:line="360" w:lineRule="auto"/>
        <w:jc w:val="both"/>
      </w:pPr>
      <w:r>
        <w:rPr>
          <w:color w:val="000000"/>
        </w:rPr>
      </w:r>
    </w:p>
    <w:p>
      <w:pPr>
        <w:pStyle w:val="style68"/>
        <w:tabs>
          <w:tab w:leader="none" w:pos="7410" w:val="left"/>
        </w:tabs>
        <w:jc w:val="both"/>
      </w:pPr>
      <w:r>
        <w:rPr/>
        <w:t>Wynik końcowy:</w:t>
      </w:r>
    </w:p>
    <w:p>
      <w:pPr>
        <w:pStyle w:val="style68"/>
        <w:tabs>
          <w:tab w:leader="none" w:pos="7410" w:val="left"/>
        </w:tabs>
        <w:jc w:val="both"/>
      </w:pPr>
      <w:r>
        <w:rPr>
          <w:shd w:fill="FFFF00" w:val="clear"/>
        </w:rPr>
      </w:r>
    </w:p>
    <w:p>
      <w:pPr>
        <w:pStyle w:val="style68"/>
        <w:tabs>
          <w:tab w:leader="none" w:pos="7410" w:val="left"/>
        </w:tabs>
        <w:jc w:val="both"/>
      </w:pPr>
      <w:r>
        <w:rPr/>
        <w:t xml:space="preserve">Wzór: </w:t>
      </w:r>
      <w:r>
        <w:rPr>
          <w:b/>
          <w:bCs/>
        </w:rPr>
        <w:t xml:space="preserve">Wk = Kc + Kg </w:t>
      </w:r>
    </w:p>
    <w:p>
      <w:pPr>
        <w:pStyle w:val="style68"/>
        <w:tabs>
          <w:tab w:leader="none" w:pos="182" w:val="left"/>
          <w:tab w:leader="none" w:pos="11554" w:val="left"/>
        </w:tabs>
        <w:ind w:hanging="0" w:left="13" w:right="0"/>
        <w:jc w:val="both"/>
      </w:pPr>
      <w:r>
        <w:rPr>
          <w:sz w:val="24"/>
          <w:szCs w:val="24"/>
        </w:rPr>
      </w:r>
    </w:p>
    <w:p>
      <w:pPr>
        <w:pStyle w:val="style0"/>
        <w:tabs>
          <w:tab w:leader="none" w:pos="644" w:val="left"/>
          <w:tab w:leader="none" w:pos="3102" w:val="left"/>
          <w:tab w:leader="none" w:pos="14206" w:val="left"/>
        </w:tabs>
        <w:ind w:hanging="284" w:left="284" w:right="0"/>
        <w:jc w:val="both"/>
      </w:pPr>
      <w:r>
        <w:rPr>
          <w:sz w:val="24"/>
          <w:szCs w:val="24"/>
        </w:rPr>
        <w:t>3</w:t>
      </w:r>
      <w:r>
        <w:rPr>
          <w:rFonts w:eastAsia="Arial"/>
          <w:color w:val="000000"/>
        </w:rPr>
        <w:t xml:space="preserve">) </w:t>
      </w:r>
      <w:r>
        <w:rPr>
          <w:rFonts w:eastAsia="Arial"/>
          <w:color w:val="000000"/>
          <w:sz w:val="24"/>
          <w:szCs w:val="24"/>
        </w:rPr>
        <w:t xml:space="preserve">Oferta, która </w:t>
      </w:r>
      <w:r>
        <w:rPr>
          <w:rFonts w:eastAsia="Arial"/>
          <w:color w:val="000000"/>
          <w:sz w:val="24"/>
          <w:szCs w:val="24"/>
          <w:lang w:val="pl-PL"/>
        </w:rPr>
        <w:t>uzyska największą liczbę punktów</w:t>
      </w:r>
      <w:r>
        <w:rPr>
          <w:rFonts w:eastAsia="Arial"/>
          <w:color w:val="000000"/>
          <w:sz w:val="24"/>
          <w:szCs w:val="24"/>
        </w:rPr>
        <w:t xml:space="preserve"> </w:t>
      </w:r>
      <w:r>
        <w:rPr>
          <w:rFonts w:eastAsia="Arial"/>
          <w:color w:val="000000"/>
          <w:sz w:val="24"/>
          <w:szCs w:val="24"/>
          <w:lang w:val="pl-PL"/>
        </w:rPr>
        <w:t xml:space="preserve"> </w:t>
      </w:r>
      <w:r>
        <w:rPr>
          <w:rFonts w:eastAsia="Arial"/>
          <w:color w:val="000000"/>
          <w:sz w:val="24"/>
          <w:szCs w:val="24"/>
        </w:rPr>
        <w:t xml:space="preserve">zostanie uznana za najkorzystniejszą, pozostałe oferty zostaną sklasyfikowane zgodnie z ilością uzyskanych punktów. </w:t>
      </w:r>
    </w:p>
    <w:p>
      <w:pPr>
        <w:pStyle w:val="style68"/>
        <w:tabs>
          <w:tab w:leader="none" w:pos="644" w:val="left"/>
          <w:tab w:leader="none" w:pos="3102" w:val="left"/>
          <w:tab w:leader="none" w:pos="14206" w:val="left"/>
        </w:tabs>
        <w:ind w:hanging="284" w:left="284" w:right="0"/>
        <w:jc w:val="both"/>
      </w:pPr>
      <w:r>
        <w:rPr>
          <w:rFonts w:cs="Tahoma"/>
          <w:b/>
          <w:u w:val="single"/>
        </w:rPr>
      </w:r>
    </w:p>
    <w:p>
      <w:pPr>
        <w:pStyle w:val="style68"/>
        <w:tabs>
          <w:tab w:leader="none" w:pos="382" w:val="left"/>
          <w:tab w:leader="none" w:pos="2830" w:val="left"/>
          <w:tab w:leader="none" w:pos="10600" w:val="left"/>
        </w:tabs>
        <w:jc w:val="both"/>
      </w:pPr>
      <w:r>
        <w:rPr>
          <w:sz w:val="24"/>
          <w:szCs w:val="24"/>
          <w:lang w:eastAsia="pl-PL"/>
        </w:rPr>
      </w:r>
    </w:p>
    <w:p>
      <w:pPr>
        <w:pStyle w:val="style68"/>
        <w:tabs>
          <w:tab w:leader="none" w:pos="7127" w:val="left"/>
        </w:tabs>
        <w:jc w:val="both"/>
      </w:pPr>
      <w:r>
        <w:rPr>
          <w:b/>
          <w:u w:val="single"/>
        </w:rPr>
        <w:t>14. Informacje o formalnościach jakie powinny zostać dopełnione po wyborze oferty w celu zawarcia umowy w sprawie zamówienia publicznego.</w:t>
      </w:r>
    </w:p>
    <w:p>
      <w:pPr>
        <w:pStyle w:val="style68"/>
        <w:tabs>
          <w:tab w:leader="none" w:pos="6844" w:val="left"/>
        </w:tabs>
        <w:jc w:val="both"/>
      </w:pPr>
      <w:r>
        <w:rPr/>
        <w:t>1) Wykonawca, którego oferta zostanie wybrana winien zgłosić się do Zamawiającego w wyznaczonym terminie w celu podpisania umowy.</w:t>
      </w:r>
    </w:p>
    <w:p>
      <w:pPr>
        <w:pStyle w:val="style68"/>
        <w:tabs>
          <w:tab w:leader="none" w:pos="6844" w:val="left"/>
        </w:tabs>
        <w:jc w:val="both"/>
      </w:pPr>
      <w:r>
        <w:rPr/>
        <w:t>2) Zgodnie z art. 92 ustawy, n</w:t>
      </w:r>
      <w:r>
        <w:rPr>
          <w:rFonts w:cs="Arial" w:eastAsia="Arial"/>
          <w:sz w:val="24"/>
          <w:szCs w:val="24"/>
        </w:rPr>
        <w:t>iezwłocznie po wyborze najkorzystniejszej oferty Zamawiający jednocześnie zawiadamia wykonawców, którzy złożyli oferty, o:</w:t>
      </w:r>
    </w:p>
    <w:p>
      <w:pPr>
        <w:pStyle w:val="style0"/>
        <w:tabs>
          <w:tab w:leader="none" w:pos="816" w:val="left"/>
        </w:tabs>
        <w:ind w:hanging="408" w:left="408" w:right="0"/>
        <w:jc w:val="both"/>
      </w:pPr>
      <w:r>
        <w:rPr>
          <w:rFonts w:cs="Arial" w:eastAsia="Arial"/>
        </w:rPr>
        <w:t xml:space="preserve">- </w:t>
        <w:tab/>
        <w:t>wyborze najkorzystniejszej oferty, podając nazwę (firmę) albo imię i nazwisko, siedzibę albo miejsce zamieszkania i adres wykonawcy, którego ofertę wybrano, uzasadnienie jej wyboru oraz nazwy (firmy) albo imiona i nazwiska, siedziby albo miejsca zamieszkania i adresy wykonawców, którzy złożyli oferty, a także punktację przyznaną ofertom w każdym kryterium oceny ofert i łączną punktację;</w:t>
      </w:r>
    </w:p>
    <w:p>
      <w:pPr>
        <w:pStyle w:val="style0"/>
        <w:tabs>
          <w:tab w:leader="none" w:pos="816" w:val="left"/>
        </w:tabs>
        <w:ind w:hanging="408" w:left="408" w:right="0"/>
        <w:jc w:val="both"/>
      </w:pPr>
      <w:r>
        <w:rPr>
          <w:rFonts w:cs="Arial" w:eastAsia="Arial"/>
        </w:rPr>
        <w:t>-</w:t>
        <w:tab/>
        <w:t>wykonawcach, których oferty zostały odrzucone, podając uzasadnienie faktyczne i prawne;</w:t>
      </w:r>
    </w:p>
    <w:p>
      <w:pPr>
        <w:pStyle w:val="style0"/>
        <w:tabs>
          <w:tab w:leader="none" w:pos="816" w:val="left"/>
        </w:tabs>
        <w:ind w:hanging="408" w:left="408" w:right="0"/>
        <w:jc w:val="both"/>
      </w:pPr>
      <w:r>
        <w:rPr>
          <w:rFonts w:cs="Arial" w:eastAsia="Arial"/>
        </w:rPr>
        <w:t>-</w:t>
        <w:tab/>
        <w:t>wykonawcach, którzy zostali wykluczeni z postępowania o udzielenie zamówienia, podając uzasadnienie faktyczne i prawne - jeżeli postępowanie jest prowadzone w trybie przetargu nieograniczonego, negocjacji bez ogłoszenia albo zapytania o cenę;</w:t>
      </w:r>
    </w:p>
    <w:p>
      <w:pPr>
        <w:pStyle w:val="style0"/>
        <w:tabs>
          <w:tab w:leader="none" w:pos="816" w:val="left"/>
        </w:tabs>
        <w:ind w:hanging="408" w:left="408" w:right="0"/>
        <w:jc w:val="both"/>
      </w:pPr>
      <w:r>
        <w:rPr>
          <w:rFonts w:cs="Arial" w:eastAsia="Arial"/>
        </w:rPr>
        <w:t>-</w:t>
        <w:tab/>
        <w:t>terminie, określonym zgodnie z art. 94 ust. 1 lub 2, po którego upływie umowa w sprawie zamówienia publicznego może być zawarta.</w:t>
      </w:r>
    </w:p>
    <w:p>
      <w:pPr>
        <w:pStyle w:val="style0"/>
        <w:tabs>
          <w:tab w:leader="none" w:pos="816" w:val="left"/>
        </w:tabs>
        <w:ind w:hanging="408" w:left="408" w:right="0"/>
        <w:jc w:val="both"/>
      </w:pPr>
      <w:r>
        <w:rPr/>
        <w:t>3) Zamawiający dopuszcza możliwość powiadomienia faxem, e-mailem o wyborze najkorzystniejszej oferty.</w:t>
      </w:r>
    </w:p>
    <w:p>
      <w:pPr>
        <w:pStyle w:val="style0"/>
      </w:pPr>
      <w:r>
        <w:rPr>
          <w:rFonts w:ascii="Arial" w:cs="Arial" w:eastAsia="Arial" w:hAnsi="Arial"/>
          <w:sz w:val="20"/>
          <w:szCs w:val="20"/>
        </w:rPr>
      </w:r>
    </w:p>
    <w:p>
      <w:pPr>
        <w:pStyle w:val="style68"/>
        <w:tabs>
          <w:tab w:leader="none" w:pos="7127" w:val="left"/>
        </w:tabs>
        <w:jc w:val="both"/>
      </w:pPr>
      <w:r>
        <w:rPr>
          <w:b/>
          <w:u w:val="single"/>
        </w:rPr>
        <w:t>15. Wymagania dotyczące zabezpieczenia należytego wykonania umowy.</w:t>
      </w:r>
    </w:p>
    <w:p>
      <w:pPr>
        <w:pStyle w:val="style0"/>
        <w:tabs>
          <w:tab w:leader="none" w:pos="1361" w:val="left"/>
        </w:tabs>
        <w:ind w:hanging="284" w:left="284" w:right="0"/>
        <w:jc w:val="both"/>
      </w:pPr>
      <w:r>
        <w:rPr/>
        <w:t>Zamawiający nie żąda wniesienia zabezpieczenia należytego wykonania umowy.</w:t>
      </w:r>
    </w:p>
    <w:p>
      <w:pPr>
        <w:pStyle w:val="style68"/>
        <w:tabs>
          <w:tab w:leader="none" w:pos="7127" w:val="left"/>
        </w:tabs>
        <w:jc w:val="both"/>
      </w:pPr>
      <w:r>
        <w:rPr>
          <w:b/>
          <w:u w:val="single"/>
        </w:rPr>
      </w:r>
    </w:p>
    <w:p>
      <w:pPr>
        <w:pStyle w:val="style68"/>
        <w:tabs>
          <w:tab w:leader="none" w:pos="7127" w:val="left"/>
        </w:tabs>
        <w:jc w:val="both"/>
      </w:pPr>
      <w:r>
        <w:rPr>
          <w:b/>
          <w:u w:val="single"/>
        </w:rPr>
        <w:t>16. Istotne dla stron postanowienia, które zostaną wprowadzone do treści zawieranej umowy w sprawie zamówienia publicznego, ogólne warunki umowy albo wzór umowy, jeżeli zamawiający wymaga od wykonawcy, aby zawarł z nim umowę w sprawie zamówienia publicznego na takich warunkach.</w:t>
      </w:r>
    </w:p>
    <w:p>
      <w:pPr>
        <w:pStyle w:val="style68"/>
        <w:tabs>
          <w:tab w:leader="none" w:pos="7127" w:val="left"/>
        </w:tabs>
        <w:jc w:val="both"/>
      </w:pPr>
      <w:r>
        <w:rPr>
          <w:rFonts w:cs="Tahoma"/>
        </w:rPr>
        <w:t>1. Wzór umowy stanowią załączniki nr 6 i 7 do Specyfikacji Istotnych Warunków Zamówienia.</w:t>
      </w:r>
    </w:p>
    <w:p>
      <w:pPr>
        <w:pStyle w:val="style0"/>
        <w:tabs>
          <w:tab w:leader="none" w:pos="611" w:val="left"/>
          <w:tab w:leader="none" w:pos="10568" w:val="left"/>
        </w:tabs>
        <w:spacing w:after="60" w:before="60"/>
        <w:ind w:hanging="0" w:left="15" w:right="0"/>
        <w:contextualSpacing w:val="false"/>
        <w:jc w:val="both"/>
      </w:pPr>
      <w:r>
        <w:rPr>
          <w:rFonts w:cs="Tahoma"/>
        </w:rPr>
        <w:t>2. Umowa zostanie zawarta z wykonawcą, który spełnia wszystkie wymagania oraz którego oferta okaże się najkorzystniejsza.</w:t>
      </w:r>
    </w:p>
    <w:p>
      <w:pPr>
        <w:pStyle w:val="style68"/>
        <w:tabs>
          <w:tab w:leader="none" w:pos="99" w:val="left"/>
          <w:tab w:leader="none" w:pos="2547" w:val="left"/>
          <w:tab w:leader="none" w:pos="10317" w:val="left"/>
        </w:tabs>
        <w:jc w:val="both"/>
      </w:pPr>
      <w:r>
        <w:rPr/>
        <w:t>3.  Możliwość z</w:t>
      </w:r>
      <w:r>
        <w:rPr>
          <w:sz w:val="24"/>
          <w:szCs w:val="24"/>
        </w:rPr>
        <w:t>miany postanowień Umowy w przypadku:</w:t>
      </w:r>
    </w:p>
    <w:p>
      <w:pPr>
        <w:pStyle w:val="style68"/>
        <w:numPr>
          <w:ilvl w:val="0"/>
          <w:numId w:val="10"/>
        </w:numPr>
        <w:tabs>
          <w:tab w:leader="none" w:pos="791" w:val="left"/>
          <w:tab w:leader="none" w:pos="1826" w:val="left"/>
        </w:tabs>
        <w:ind w:hanging="360" w:left="851" w:right="0"/>
        <w:jc w:val="both"/>
      </w:pPr>
      <w:r>
        <w:rPr/>
        <w:t>zmiany terminu realizacji całości zamówienia w  przypadku wystąpienia siły wyższej. Przez siłę wyższą rozumie się wszelkie okoliczności i zdarzenia zewnętrzne, będące poza kontrolą strony, niemożliwe do przewidzenia, którym strona nie może zapobiec, ani też uniknąć. Za siłę wyższą uważa się w szczególności pożar, działania sił przyrody (huragany, powodzie itp.), zamieszki, strajki, akty terroryzmu itp.</w:t>
      </w:r>
    </w:p>
    <w:p>
      <w:pPr>
        <w:pStyle w:val="style0"/>
        <w:numPr>
          <w:ilvl w:val="0"/>
          <w:numId w:val="10"/>
        </w:numPr>
        <w:tabs>
          <w:tab w:leader="none" w:pos="1702" w:val="left"/>
        </w:tabs>
        <w:spacing w:after="0" w:before="100"/>
        <w:ind w:hanging="360" w:left="851" w:right="0"/>
        <w:contextualSpacing w:val="false"/>
        <w:jc w:val="both"/>
      </w:pPr>
      <w:r>
        <w:rPr/>
        <w:t>innych przyczyn zewnętrznie  niezależnych od Zamawiającego skutkujące niemożliwością wykonania przedmiotu zamówienia</w:t>
      </w:r>
    </w:p>
    <w:p>
      <w:pPr>
        <w:pStyle w:val="style0"/>
        <w:numPr>
          <w:ilvl w:val="0"/>
          <w:numId w:val="10"/>
        </w:numPr>
        <w:tabs>
          <w:tab w:leader="none" w:pos="1702" w:val="left"/>
        </w:tabs>
        <w:spacing w:after="0" w:before="100"/>
        <w:ind w:hanging="360" w:left="851" w:right="0"/>
        <w:contextualSpacing w:val="false"/>
        <w:jc w:val="both"/>
      </w:pPr>
      <w:r>
        <w:rPr>
          <w:color w:val="000000"/>
        </w:rPr>
        <w:t>zakresu przedmiotu zamówienia, a w szczególności wykonania robót dodatkowych oraz użycia materiałów innych niż ujętych w kosztorysie ofertowym. Projekt zmian wykonawca przedstawi w formie kosztorysów wycinkowych– różnicowych.</w:t>
      </w:r>
    </w:p>
    <w:p>
      <w:pPr>
        <w:pStyle w:val="style0"/>
        <w:tabs>
          <w:tab w:leader="none" w:pos="165" w:val="left"/>
          <w:tab w:leader="none" w:pos="2613" w:val="left"/>
          <w:tab w:leader="none" w:pos="10383" w:val="left"/>
        </w:tabs>
        <w:spacing w:after="0" w:before="100"/>
        <w:ind w:hanging="0" w:left="66" w:right="0"/>
        <w:contextualSpacing w:val="false"/>
        <w:jc w:val="both"/>
      </w:pPr>
      <w:r>
        <w:rPr/>
        <w:t>Uzgodnienia w tym zakresie wymagają dla swej ważności zatwierdzenia przez Wójta Gminy Szumowo, a zmiana umowy może nastąpić jedynie na piśmie w formie aneksu pod rygorem nieważności.</w:t>
      </w:r>
    </w:p>
    <w:p>
      <w:pPr>
        <w:pStyle w:val="style0"/>
        <w:tabs>
          <w:tab w:leader="none" w:pos="15051" w:val="left"/>
        </w:tabs>
        <w:jc w:val="both"/>
      </w:pPr>
      <w:r>
        <w:rPr>
          <w:b/>
          <w:u w:val="single"/>
          <w:lang w:val="pl-PL"/>
        </w:rPr>
      </w:r>
    </w:p>
    <w:p>
      <w:pPr>
        <w:pStyle w:val="style68"/>
        <w:tabs>
          <w:tab w:leader="none" w:pos="15051" w:val="left"/>
        </w:tabs>
        <w:jc w:val="both"/>
      </w:pPr>
      <w:r>
        <w:rPr>
          <w:b/>
          <w:u w:val="single"/>
        </w:rPr>
      </w:r>
    </w:p>
    <w:p>
      <w:pPr>
        <w:pStyle w:val="style68"/>
        <w:tabs>
          <w:tab w:leader="none" w:pos="15051" w:val="left"/>
        </w:tabs>
        <w:jc w:val="both"/>
      </w:pPr>
      <w:r>
        <w:rPr>
          <w:b/>
          <w:u w:val="single"/>
        </w:rPr>
        <w:t>17. Pouczenie o środkach ochrony prawnej przysługujących wykonawcy w toku postępowania o udzielenie zamówienia.</w:t>
      </w:r>
    </w:p>
    <w:p>
      <w:pPr>
        <w:pStyle w:val="style68"/>
        <w:ind w:hanging="0" w:left="-2" w:right="0"/>
        <w:jc w:val="both"/>
      </w:pPr>
      <w:r>
        <w:rPr/>
        <w:t xml:space="preserve">W toku postępowania o udzielenie zamówienia wykonawcy przysługują środki ochrony prawnej określone w dziale VI Prawa zamówień publicznych. </w:t>
      </w:r>
    </w:p>
    <w:p>
      <w:pPr>
        <w:pStyle w:val="style0"/>
      </w:pPr>
      <w:r>
        <w:rPr>
          <w:b/>
          <w:bCs/>
          <w:u w:val="single"/>
        </w:rPr>
      </w:r>
    </w:p>
    <w:p>
      <w:pPr>
        <w:pStyle w:val="style0"/>
      </w:pPr>
      <w:r>
        <w:rPr>
          <w:b/>
          <w:bCs/>
          <w:u w:val="single"/>
        </w:rPr>
        <w:t>Załączniki:</w:t>
      </w:r>
    </w:p>
    <w:p>
      <w:pPr>
        <w:pStyle w:val="style0"/>
      </w:pPr>
      <w:r>
        <w:rPr/>
        <w:t>Załączniki składające się na integralną cześć specyfikacji:</w:t>
      </w:r>
    </w:p>
    <w:p>
      <w:pPr>
        <w:pStyle w:val="style0"/>
        <w:shd w:fill="FFFFFF" w:val="clear"/>
        <w:tabs>
          <w:tab w:leader="none" w:pos="226" w:val="left"/>
        </w:tabs>
        <w:spacing w:after="0" w:before="100" w:line="250" w:lineRule="exact"/>
        <w:contextualSpacing w:val="false"/>
        <w:jc w:val="both"/>
      </w:pPr>
      <w:r>
        <w:rPr>
          <w:color w:val="000000"/>
          <w:spacing w:val="-4"/>
          <w:lang w:bidi="hi-IN"/>
        </w:rPr>
        <w:t>1)  Formularz ofertowy- (Załącznik nr 1),</w:t>
      </w:r>
    </w:p>
    <w:p>
      <w:pPr>
        <w:pStyle w:val="style0"/>
        <w:shd w:fill="FFFFFF" w:val="clear"/>
        <w:tabs>
          <w:tab w:leader="none" w:pos="226" w:val="left"/>
        </w:tabs>
        <w:spacing w:after="0" w:before="100" w:line="250" w:lineRule="exact"/>
        <w:contextualSpacing w:val="false"/>
        <w:jc w:val="both"/>
      </w:pPr>
      <w:r>
        <w:rPr>
          <w:color w:val="000000"/>
          <w:spacing w:val="-4"/>
          <w:lang w:bidi="hi-IN"/>
        </w:rPr>
        <w:t>2)  O</w:t>
      </w:r>
      <w:r>
        <w:rPr>
          <w:color w:val="000000"/>
          <w:spacing w:val="-2"/>
          <w:lang w:bidi="hi-IN"/>
        </w:rPr>
        <w:t xml:space="preserve">świadczenie o spełnieniu warunków udziału w postępowaniu- </w:t>
      </w:r>
      <w:r>
        <w:rPr>
          <w:color w:val="000000"/>
          <w:spacing w:val="-4"/>
          <w:lang w:bidi="hi-IN"/>
        </w:rPr>
        <w:t>(Załącznik nr 2),</w:t>
      </w:r>
    </w:p>
    <w:p>
      <w:pPr>
        <w:pStyle w:val="style0"/>
        <w:shd w:fill="FFFFFF" w:val="clear"/>
        <w:tabs>
          <w:tab w:leader="none" w:pos="288" w:val="left"/>
        </w:tabs>
        <w:spacing w:after="0" w:before="100" w:line="250" w:lineRule="exact"/>
        <w:contextualSpacing w:val="false"/>
        <w:jc w:val="both"/>
      </w:pPr>
      <w:r>
        <w:rPr>
          <w:color w:val="000000"/>
          <w:spacing w:val="-11"/>
          <w:lang w:bidi="hi-IN"/>
        </w:rPr>
        <w:t>3)</w:t>
      </w:r>
      <w:r>
        <w:rPr>
          <w:color w:val="000000"/>
          <w:lang w:bidi="hi-IN"/>
        </w:rPr>
        <w:tab/>
        <w:t>O</w:t>
      </w:r>
      <w:r>
        <w:rPr>
          <w:color w:val="000000"/>
          <w:spacing w:val="-2"/>
          <w:lang w:bidi="hi-IN"/>
        </w:rPr>
        <w:t xml:space="preserve">świadczenie o braku podstaw do wykluczenia z postępowania o udzielenie zamówienia- </w:t>
      </w:r>
      <w:r>
        <w:rPr>
          <w:color w:val="000000"/>
          <w:spacing w:val="-4"/>
          <w:lang w:bidi="hi-IN"/>
        </w:rPr>
        <w:t>(Załącznik nr 3),</w:t>
      </w:r>
    </w:p>
    <w:p>
      <w:pPr>
        <w:pStyle w:val="style0"/>
        <w:shd w:fill="FFFFFF" w:val="clear"/>
        <w:tabs>
          <w:tab w:leader="none" w:pos="226" w:val="left"/>
        </w:tabs>
        <w:spacing w:after="0" w:before="100" w:line="250" w:lineRule="exact"/>
        <w:contextualSpacing w:val="false"/>
        <w:jc w:val="both"/>
      </w:pPr>
      <w:r>
        <w:rPr>
          <w:color w:val="000000"/>
          <w:spacing w:val="-2"/>
          <w:lang w:bidi="hi-IN"/>
        </w:rPr>
        <w:t>4)  O</w:t>
      </w:r>
      <w:r>
        <w:rPr>
          <w:color w:val="000000"/>
          <w:spacing w:val="-6"/>
          <w:lang w:bidi="hi-IN"/>
        </w:rPr>
        <w:t xml:space="preserve">świadczenie dotyczące grupy kapitałowej- </w:t>
      </w:r>
      <w:r>
        <w:rPr>
          <w:color w:val="000000"/>
          <w:spacing w:val="-4"/>
          <w:lang w:bidi="hi-IN"/>
        </w:rPr>
        <w:t>(Załącznik nr 4),</w:t>
      </w:r>
    </w:p>
    <w:p>
      <w:pPr>
        <w:pStyle w:val="style0"/>
        <w:shd w:fill="FFFFFF" w:val="clear"/>
        <w:tabs>
          <w:tab w:leader="none" w:pos="226" w:val="left"/>
        </w:tabs>
        <w:spacing w:after="0" w:before="100" w:line="250" w:lineRule="exact"/>
        <w:contextualSpacing w:val="false"/>
        <w:jc w:val="both"/>
      </w:pPr>
      <w:r>
        <w:rPr>
          <w:color w:val="000000"/>
          <w:spacing w:val="-4"/>
          <w:lang w:bidi="hi-IN"/>
        </w:rPr>
        <w:t xml:space="preserve">5) </w:t>
      </w:r>
      <w:r>
        <w:rPr>
          <w:color w:val="000000"/>
          <w:spacing w:val="-6"/>
          <w:lang w:bidi="hi-IN"/>
        </w:rPr>
        <w:t xml:space="preserve">Wykaz części zamówienia, które Wykonawca zamierza powierzyć podwykonawcom- </w:t>
      </w:r>
      <w:r>
        <w:rPr>
          <w:color w:val="000000"/>
          <w:spacing w:val="-4"/>
          <w:lang w:bidi="hi-IN"/>
        </w:rPr>
        <w:t>(Załącznik nr 5),</w:t>
      </w:r>
    </w:p>
    <w:p>
      <w:pPr>
        <w:pStyle w:val="style0"/>
        <w:shd w:fill="FFFFFF" w:val="clear"/>
        <w:tabs>
          <w:tab w:leader="none" w:pos="226" w:val="left"/>
        </w:tabs>
        <w:spacing w:after="0" w:before="100" w:line="250" w:lineRule="exact"/>
        <w:contextualSpacing w:val="false"/>
        <w:jc w:val="both"/>
      </w:pPr>
      <w:r>
        <w:rPr>
          <w:color w:val="000000"/>
          <w:spacing w:val="-4"/>
          <w:lang w:bidi="hi-IN"/>
        </w:rPr>
        <w:t>6) P</w:t>
      </w:r>
      <w:r>
        <w:rPr/>
        <w:t>rojekt umowy- (</w:t>
      </w:r>
      <w:r>
        <w:rPr>
          <w:color w:val="000000"/>
          <w:spacing w:val="-4"/>
          <w:lang w:bidi="hi-IN"/>
        </w:rPr>
        <w:t>Załączniki nr 6 i 7).</w:t>
      </w:r>
    </w:p>
    <w:p>
      <w:pPr>
        <w:pStyle w:val="style0"/>
        <w:shd w:fill="FFFFFF" w:val="clear"/>
        <w:tabs>
          <w:tab w:leader="none" w:pos="226" w:val="left"/>
        </w:tabs>
        <w:spacing w:after="0" w:before="100" w:line="250" w:lineRule="exact"/>
        <w:contextualSpacing w:val="false"/>
        <w:jc w:val="both"/>
      </w:pPr>
      <w:r>
        <w:rPr>
          <w:color w:val="000000"/>
          <w:spacing w:val="-4"/>
          <w:lang w:bidi="hi-IN"/>
        </w:rPr>
        <w:t>7) Przedmiar robót – (Załączniki 8 i 9)</w:t>
      </w:r>
    </w:p>
    <w:p>
      <w:pPr>
        <w:pStyle w:val="style0"/>
        <w:shd w:fill="FFFFFF" w:val="clear"/>
        <w:tabs>
          <w:tab w:leader="none" w:pos="226" w:val="left"/>
        </w:tabs>
        <w:spacing w:after="0" w:before="100" w:line="250" w:lineRule="exact"/>
        <w:contextualSpacing w:val="false"/>
        <w:jc w:val="both"/>
      </w:pPr>
      <w:r>
        <w:rPr>
          <w:color w:val="000000"/>
          <w:spacing w:val="-4"/>
          <w:lang w:bidi="hi-IN"/>
        </w:rPr>
      </w:r>
    </w:p>
    <w:p>
      <w:pPr>
        <w:pStyle w:val="style0"/>
        <w:shd w:fill="FFFFFF" w:val="clear"/>
        <w:tabs>
          <w:tab w:leader="none" w:pos="226" w:val="left"/>
        </w:tabs>
        <w:spacing w:after="0" w:before="100" w:line="250" w:lineRule="exact"/>
        <w:contextualSpacing w:val="false"/>
        <w:jc w:val="both"/>
      </w:pPr>
      <w:r>
        <w:rPr>
          <w:color w:val="000000"/>
          <w:spacing w:val="-4"/>
          <w:lang w:bidi="hi-IN"/>
        </w:rPr>
      </w:r>
    </w:p>
    <w:p>
      <w:pPr>
        <w:pStyle w:val="style0"/>
        <w:shd w:fill="FFFFFF" w:val="clear"/>
        <w:tabs>
          <w:tab w:leader="none" w:pos="226" w:val="left"/>
        </w:tabs>
        <w:spacing w:after="0" w:before="100" w:line="250" w:lineRule="exact"/>
        <w:contextualSpacing w:val="false"/>
        <w:jc w:val="both"/>
      </w:pPr>
      <w:r>
        <w:rPr>
          <w:color w:val="000000"/>
          <w:spacing w:val="-4"/>
          <w:lang w:bidi="hi-IN"/>
        </w:rPr>
      </w:r>
    </w:p>
    <w:p>
      <w:pPr>
        <w:pStyle w:val="style0"/>
        <w:shd w:fill="FFFFFF" w:val="clear"/>
        <w:tabs>
          <w:tab w:leader="none" w:pos="226" w:val="left"/>
        </w:tabs>
        <w:spacing w:after="0" w:before="100" w:line="250" w:lineRule="exact"/>
        <w:contextualSpacing w:val="false"/>
        <w:jc w:val="both"/>
      </w:pPr>
      <w:r>
        <w:rPr>
          <w:color w:val="000000"/>
          <w:spacing w:val="-4"/>
          <w:lang w:bidi="hi-IN"/>
        </w:rPr>
      </w:r>
    </w:p>
    <w:p>
      <w:pPr>
        <w:pStyle w:val="style0"/>
        <w:shd w:fill="FFFFFF" w:val="clear"/>
        <w:tabs>
          <w:tab w:leader="none" w:pos="226" w:val="left"/>
        </w:tabs>
        <w:spacing w:after="0" w:before="100" w:line="250" w:lineRule="exact"/>
        <w:contextualSpacing w:val="false"/>
        <w:jc w:val="both"/>
      </w:pPr>
      <w:r>
        <w:rPr>
          <w:color w:val="000000"/>
          <w:spacing w:val="-4"/>
          <w:lang w:bidi="hi-IN"/>
        </w:rPr>
      </w:r>
    </w:p>
    <w:p>
      <w:pPr>
        <w:pStyle w:val="style0"/>
        <w:shd w:fill="FFFFFF" w:val="clear"/>
        <w:tabs>
          <w:tab w:leader="none" w:pos="226" w:val="left"/>
        </w:tabs>
        <w:spacing w:after="0" w:before="100" w:line="250" w:lineRule="exact"/>
        <w:contextualSpacing w:val="false"/>
        <w:jc w:val="both"/>
      </w:pPr>
      <w:r>
        <w:rPr>
          <w:color w:val="000000"/>
          <w:spacing w:val="-4"/>
          <w:lang w:bidi="hi-IN"/>
        </w:rPr>
      </w:r>
    </w:p>
    <w:p>
      <w:pPr>
        <w:pStyle w:val="style0"/>
        <w:shd w:fill="FFFFFF" w:val="clear"/>
        <w:tabs>
          <w:tab w:leader="none" w:pos="226" w:val="left"/>
        </w:tabs>
        <w:spacing w:after="0" w:before="100" w:line="250" w:lineRule="exact"/>
        <w:contextualSpacing w:val="false"/>
        <w:jc w:val="both"/>
      </w:pPr>
      <w:r>
        <w:rPr>
          <w:color w:val="000000"/>
          <w:spacing w:val="-4"/>
          <w:lang w:bidi="hi-IN"/>
        </w:rPr>
      </w:r>
    </w:p>
    <w:p>
      <w:pPr>
        <w:pStyle w:val="style0"/>
        <w:shd w:fill="FFFFFF" w:val="clear"/>
        <w:tabs>
          <w:tab w:leader="none" w:pos="226" w:val="left"/>
        </w:tabs>
        <w:spacing w:after="0" w:before="100" w:line="250" w:lineRule="exact"/>
        <w:contextualSpacing w:val="false"/>
        <w:jc w:val="both"/>
      </w:pPr>
      <w:r>
        <w:rPr>
          <w:color w:val="000000"/>
          <w:spacing w:val="-4"/>
          <w:lang w:bidi="hi-IN"/>
        </w:rPr>
      </w:r>
    </w:p>
    <w:p>
      <w:pPr>
        <w:pStyle w:val="style0"/>
        <w:shd w:fill="FFFFFF" w:val="clear"/>
        <w:tabs>
          <w:tab w:leader="none" w:pos="226" w:val="left"/>
        </w:tabs>
        <w:spacing w:after="0" w:before="100" w:line="250" w:lineRule="exact"/>
        <w:contextualSpacing w:val="false"/>
        <w:jc w:val="both"/>
      </w:pPr>
      <w:r>
        <w:rPr>
          <w:color w:val="000000"/>
          <w:spacing w:val="-4"/>
          <w:lang w:bidi="hi-IN"/>
        </w:rPr>
      </w:r>
    </w:p>
    <w:p>
      <w:pPr>
        <w:pStyle w:val="style0"/>
        <w:shd w:fill="FFFFFF" w:val="clear"/>
        <w:tabs>
          <w:tab w:leader="none" w:pos="226" w:val="left"/>
        </w:tabs>
        <w:spacing w:after="0" w:before="100" w:line="250" w:lineRule="exact"/>
        <w:contextualSpacing w:val="false"/>
        <w:jc w:val="both"/>
      </w:pPr>
      <w:r>
        <w:rPr>
          <w:color w:val="000000"/>
          <w:spacing w:val="-4"/>
          <w:lang w:bidi="hi-IN"/>
        </w:rPr>
      </w:r>
    </w:p>
    <w:p>
      <w:pPr>
        <w:pStyle w:val="style0"/>
        <w:shd w:fill="FFFFFF" w:val="clear"/>
        <w:tabs>
          <w:tab w:leader="none" w:pos="226" w:val="left"/>
        </w:tabs>
        <w:spacing w:after="0" w:before="100" w:line="250" w:lineRule="exact"/>
        <w:contextualSpacing w:val="false"/>
        <w:jc w:val="both"/>
      </w:pPr>
      <w:r>
        <w:rPr>
          <w:color w:val="000000"/>
          <w:spacing w:val="-4"/>
          <w:lang w:bidi="hi-IN"/>
        </w:rPr>
      </w:r>
    </w:p>
    <w:p>
      <w:pPr>
        <w:pStyle w:val="style0"/>
        <w:shd w:fill="FFFFFF" w:val="clear"/>
        <w:tabs>
          <w:tab w:leader="none" w:pos="226" w:val="left"/>
        </w:tabs>
        <w:spacing w:after="0" w:before="100" w:line="250" w:lineRule="exact"/>
        <w:contextualSpacing w:val="false"/>
        <w:jc w:val="both"/>
      </w:pPr>
      <w:r>
        <w:rPr>
          <w:color w:val="000000"/>
          <w:spacing w:val="-4"/>
          <w:lang w:bidi="hi-IN"/>
        </w:rPr>
      </w:r>
    </w:p>
    <w:p>
      <w:pPr>
        <w:pStyle w:val="style0"/>
        <w:shd w:fill="FFFFFF" w:val="clear"/>
        <w:tabs>
          <w:tab w:leader="none" w:pos="226" w:val="left"/>
        </w:tabs>
        <w:spacing w:after="0" w:before="100" w:line="250" w:lineRule="exact"/>
        <w:contextualSpacing w:val="false"/>
        <w:jc w:val="both"/>
      </w:pPr>
      <w:r>
        <w:rPr>
          <w:color w:val="000000"/>
          <w:spacing w:val="-4"/>
          <w:lang w:bidi="hi-IN"/>
        </w:rPr>
      </w:r>
    </w:p>
    <w:p>
      <w:pPr>
        <w:pStyle w:val="style0"/>
        <w:shd w:fill="FFFFFF" w:val="clear"/>
        <w:tabs>
          <w:tab w:leader="none" w:pos="226" w:val="left"/>
        </w:tabs>
        <w:spacing w:after="0" w:before="100" w:line="250" w:lineRule="exact"/>
        <w:contextualSpacing w:val="false"/>
        <w:jc w:val="both"/>
      </w:pPr>
      <w:r>
        <w:rPr>
          <w:color w:val="000000"/>
          <w:spacing w:val="-4"/>
          <w:lang w:bidi="hi-IN"/>
        </w:rPr>
      </w:r>
    </w:p>
    <w:p>
      <w:pPr>
        <w:pStyle w:val="style0"/>
        <w:shd w:fill="FFFFFF" w:val="clear"/>
        <w:tabs>
          <w:tab w:leader="none" w:pos="226" w:val="left"/>
        </w:tabs>
        <w:spacing w:after="0" w:before="100" w:line="250" w:lineRule="exact"/>
        <w:contextualSpacing w:val="false"/>
        <w:jc w:val="both"/>
      </w:pPr>
      <w:r>
        <w:rPr>
          <w:color w:val="000000"/>
          <w:spacing w:val="-4"/>
          <w:lang w:bidi="hi-IN"/>
        </w:rPr>
      </w:r>
    </w:p>
    <w:p>
      <w:pPr>
        <w:pStyle w:val="style0"/>
        <w:shd w:fill="FFFFFF" w:val="clear"/>
        <w:tabs>
          <w:tab w:leader="none" w:pos="226" w:val="left"/>
        </w:tabs>
        <w:spacing w:after="0" w:before="100" w:line="250" w:lineRule="exact"/>
        <w:contextualSpacing w:val="false"/>
        <w:jc w:val="both"/>
      </w:pPr>
      <w:r>
        <w:rPr>
          <w:color w:val="000000"/>
          <w:spacing w:val="-4"/>
          <w:lang w:bidi="hi-IN"/>
        </w:rPr>
      </w:r>
    </w:p>
    <w:p>
      <w:pPr>
        <w:pStyle w:val="style0"/>
        <w:shd w:fill="FFFFFF" w:val="clear"/>
        <w:tabs>
          <w:tab w:leader="none" w:pos="226" w:val="left"/>
        </w:tabs>
        <w:spacing w:after="0" w:before="100" w:line="250" w:lineRule="exact"/>
        <w:contextualSpacing w:val="false"/>
        <w:jc w:val="both"/>
      </w:pPr>
      <w:r>
        <w:rPr>
          <w:color w:val="000000"/>
          <w:spacing w:val="-4"/>
          <w:lang w:bidi="hi-IN"/>
        </w:rPr>
      </w:r>
    </w:p>
    <w:p>
      <w:pPr>
        <w:pStyle w:val="style0"/>
        <w:shd w:fill="FFFFFF" w:val="clear"/>
        <w:tabs>
          <w:tab w:leader="none" w:pos="226" w:val="left"/>
        </w:tabs>
        <w:spacing w:after="0" w:before="100" w:line="250" w:lineRule="exact"/>
        <w:contextualSpacing w:val="false"/>
        <w:jc w:val="both"/>
      </w:pPr>
      <w:r>
        <w:rPr>
          <w:color w:val="000000"/>
          <w:spacing w:val="-4"/>
          <w:lang w:bidi="hi-IN"/>
        </w:rPr>
      </w:r>
    </w:p>
    <w:p>
      <w:pPr>
        <w:pStyle w:val="style0"/>
        <w:shd w:fill="FFFFFF" w:val="clear"/>
        <w:tabs>
          <w:tab w:leader="none" w:pos="226" w:val="left"/>
        </w:tabs>
        <w:spacing w:after="0" w:before="100" w:line="250" w:lineRule="exact"/>
        <w:contextualSpacing w:val="false"/>
        <w:jc w:val="both"/>
      </w:pPr>
      <w:r>
        <w:rPr>
          <w:color w:val="000000"/>
          <w:spacing w:val="-4"/>
          <w:lang w:bidi="hi-IN"/>
        </w:rPr>
      </w:r>
    </w:p>
    <w:p>
      <w:pPr>
        <w:pStyle w:val="style0"/>
        <w:shd w:fill="FFFFFF" w:val="clear"/>
        <w:tabs>
          <w:tab w:leader="none" w:pos="226" w:val="left"/>
        </w:tabs>
        <w:spacing w:after="0" w:before="100" w:line="250" w:lineRule="exact"/>
        <w:contextualSpacing w:val="false"/>
        <w:jc w:val="both"/>
      </w:pPr>
      <w:r>
        <w:rPr>
          <w:color w:val="000000"/>
          <w:spacing w:val="-4"/>
          <w:lang w:bidi="hi-IN"/>
        </w:rPr>
      </w:r>
    </w:p>
    <w:p>
      <w:pPr>
        <w:pStyle w:val="style0"/>
        <w:shd w:fill="FFFFFF" w:val="clear"/>
        <w:tabs>
          <w:tab w:leader="none" w:pos="226" w:val="left"/>
        </w:tabs>
        <w:spacing w:after="0" w:before="100" w:line="250" w:lineRule="exact"/>
        <w:contextualSpacing w:val="false"/>
        <w:jc w:val="both"/>
      </w:pPr>
      <w:r>
        <w:rPr>
          <w:color w:val="000000"/>
          <w:spacing w:val="-4"/>
          <w:lang w:bidi="hi-IN"/>
        </w:rPr>
      </w:r>
    </w:p>
    <w:p>
      <w:pPr>
        <w:pStyle w:val="style0"/>
        <w:shd w:fill="FFFFFF" w:val="clear"/>
        <w:tabs>
          <w:tab w:leader="none" w:pos="226" w:val="left"/>
        </w:tabs>
        <w:spacing w:after="0" w:before="100" w:line="250" w:lineRule="exact"/>
        <w:contextualSpacing w:val="false"/>
        <w:jc w:val="both"/>
      </w:pPr>
      <w:r>
        <w:rPr>
          <w:color w:val="000000"/>
          <w:spacing w:val="-4"/>
          <w:lang w:bidi="hi-IN"/>
        </w:rPr>
      </w:r>
    </w:p>
    <w:p>
      <w:pPr>
        <w:pStyle w:val="style0"/>
        <w:shd w:fill="FFFFFF" w:val="clear"/>
        <w:tabs>
          <w:tab w:leader="none" w:pos="226" w:val="left"/>
        </w:tabs>
        <w:spacing w:after="0" w:before="100" w:line="250" w:lineRule="exact"/>
        <w:contextualSpacing w:val="false"/>
        <w:jc w:val="both"/>
      </w:pPr>
      <w:r>
        <w:rPr>
          <w:color w:val="000000"/>
          <w:spacing w:val="-4"/>
          <w:lang w:bidi="hi-IN"/>
        </w:rPr>
      </w:r>
    </w:p>
    <w:p>
      <w:pPr>
        <w:pStyle w:val="style0"/>
        <w:shd w:fill="FFFFFF" w:val="clear"/>
        <w:tabs>
          <w:tab w:leader="none" w:pos="226" w:val="left"/>
        </w:tabs>
        <w:spacing w:after="0" w:before="100" w:line="250" w:lineRule="exact"/>
        <w:contextualSpacing w:val="false"/>
        <w:jc w:val="both"/>
      </w:pPr>
      <w:r>
        <w:rPr>
          <w:color w:val="000000"/>
          <w:spacing w:val="-4"/>
          <w:lang w:bidi="hi-IN"/>
        </w:rPr>
      </w:r>
    </w:p>
    <w:p>
      <w:pPr>
        <w:pStyle w:val="style0"/>
        <w:shd w:fill="FFFFFF" w:val="clear"/>
        <w:tabs>
          <w:tab w:leader="none" w:pos="226" w:val="left"/>
        </w:tabs>
        <w:spacing w:after="0" w:before="100" w:line="250" w:lineRule="exact"/>
        <w:contextualSpacing w:val="false"/>
        <w:jc w:val="both"/>
      </w:pPr>
      <w:r>
        <w:rPr>
          <w:color w:val="000000"/>
          <w:spacing w:val="-4"/>
          <w:lang w:bidi="hi-IN"/>
        </w:rPr>
      </w:r>
    </w:p>
    <w:p>
      <w:pPr>
        <w:pStyle w:val="style0"/>
        <w:shd w:fill="FFFFFF" w:val="clear"/>
        <w:tabs>
          <w:tab w:leader="none" w:pos="226" w:val="left"/>
        </w:tabs>
        <w:spacing w:after="0" w:before="100" w:line="250" w:lineRule="exact"/>
        <w:contextualSpacing w:val="false"/>
        <w:jc w:val="both"/>
      </w:pPr>
      <w:r>
        <w:rPr/>
      </w:r>
    </w:p>
    <w:p>
      <w:pPr>
        <w:pStyle w:val="style68"/>
        <w:jc w:val="both"/>
      </w:pPr>
      <w:bookmarkStart w:id="1" w:name="_GoBack"/>
      <w:bookmarkStart w:id="2" w:name="_GoBack"/>
      <w:bookmarkEnd w:id="2"/>
      <w:r>
        <w:rPr/>
      </w:r>
    </w:p>
    <w:p>
      <w:pPr>
        <w:pStyle w:val="style0"/>
      </w:pPr>
      <w:r>
        <w:rPr/>
      </w:r>
    </w:p>
    <w:p>
      <w:pPr>
        <w:pStyle w:val="style0"/>
      </w:pPr>
      <w:r>
        <w:rPr/>
      </w:r>
    </w:p>
    <w:sectPr>
      <w:footerReference r:id="rId3" w:type="default"/>
      <w:type w:val="nextPage"/>
      <w:pgSz w:h="16838" w:w="11906"/>
      <w:pgMar w:bottom="1409" w:footer="850" w:gutter="0" w:header="0" w:left="1134" w:right="1134" w:top="850"/>
      <w:pgNumType w:fmt="decimal"/>
      <w:formProt w:val="false"/>
      <w:textDirection w:val="lrTb"/>
      <w:docGrid w:charSpace="0" w:linePitch="360" w:type="default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Times New Roman">
    <w:charset w:val="ee"/>
    <w:family w:val="roman"/>
    <w:pitch w:val="variable"/>
  </w:font>
  <w:font w:name="Segoe UI">
    <w:charset w:val="ee"/>
    <w:family w:val="roman"/>
    <w:pitch w:val="variable"/>
  </w:font>
  <w:font w:name="Arial Narrow">
    <w:charset w:val="ee"/>
    <w:family w:val="swiss"/>
    <w:pitch w:val="variable"/>
  </w:font>
  <w:font w:name="OpenSymbol">
    <w:altName w:val="Arial Unicode MS"/>
    <w:charset w:val="ee"/>
    <w:family w:val="auto"/>
    <w:pitch w:val="variable"/>
  </w:font>
  <w:font w:name="StarSymbol">
    <w:altName w:val="Arial Unicode MS"/>
    <w:charset w:val="ee"/>
    <w:family w:val="auto"/>
    <w:pitch w:val="default"/>
  </w:font>
  <w:font w:name="Wingdings">
    <w:charset w:val="02"/>
    <w:family w:val="auto"/>
    <w:pitch w:val="variable"/>
  </w:font>
  <w:font w:name="Arial">
    <w:charset w:val="ee"/>
    <w:family w:val="swiss"/>
    <w:pitch w:val="variable"/>
  </w:font>
  <w:font w:name="Courier New">
    <w:charset w:val="ee"/>
    <w:family w:val="modern"/>
    <w:pitch w:val="default"/>
  </w:font>
  <w:font w:name="Calibri">
    <w:charset w:val="ee"/>
    <w:family w:val="roman"/>
    <w:pitch w:val="variable"/>
  </w:font>
  <w:font w:name="Segoe UI">
    <w:charset w:val="ee"/>
    <w:family w:val="swiss"/>
    <w:pitch w:val="variable"/>
  </w:font>
  <w:font w:name="Verdana">
    <w:charset w:val="ee"/>
    <w:family w:val="roman"/>
    <w:pitch w:val="variable"/>
  </w:font>
  <w:font w:name="Arial">
    <w:charset w:val="ee"/>
    <w:family w:val="roman"/>
    <w:pitch w:val="variable"/>
  </w:font>
  <w:font w:name="StarSymbol">
    <w:altName w:val="Arial Unicode MS"/>
    <w:charset w:val="80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>
  <w:p>
    <w:pPr>
      <w:pStyle w:val="style69"/>
      <w:jc w:val="right"/>
    </w:pPr>
    <w:r>
      <w:rPr/>
      <w:fldChar w:fldCharType="begin"/>
    </w:r>
    <w:r>
      <w:instrText> PAGE </w:instrText>
    </w:r>
    <w:r>
      <w:fldChar w:fldCharType="separate"/>
    </w:r>
    <w:r>
      <w:t>15</w:t>
    </w:r>
    <w:r>
      <w:fldChar w:fldCharType="end"/>
    </w:r>
  </w:p>
</w:ftr>
</file>

<file path=word/numbering.xml><?xml version="1.0" encoding="utf-8"?>
<w:numbering xmlns:w="http://schemas.openxmlformats.org/wordprocessingml/2006/main">
  <w:abstractNum w:abstractNumId="1">
    <w:lvl w:ilvl="0">
      <w:start w:val="1"/>
      <w:numFmt w:val="decimal"/>
      <w:lvlText w:val="%1."/>
      <w:lvlJc w:val="left"/>
      <w:pPr>
        <w:tabs>
          <w:tab w:pos="283" w:val="num"/>
        </w:tabs>
        <w:ind w:hanging="283" w:left="283"/>
      </w:pPr>
    </w:lvl>
    <w:lvl w:ilvl="1">
      <w:start w:val="1"/>
      <w:numFmt w:val="decimal"/>
      <w:lvlText w:val="%2."/>
      <w:lvlJc w:val="left"/>
      <w:pPr>
        <w:tabs>
          <w:tab w:pos="567" w:val="num"/>
        </w:tabs>
        <w:ind w:hanging="283" w:left="567"/>
      </w:pPr>
    </w:lvl>
    <w:lvl w:ilvl="2">
      <w:start w:val="1"/>
      <w:numFmt w:val="decimal"/>
      <w:lvlText w:val="%3."/>
      <w:lvlJc w:val="left"/>
      <w:pPr>
        <w:tabs>
          <w:tab w:pos="850" w:val="num"/>
        </w:tabs>
        <w:ind w:hanging="283" w:left="850"/>
      </w:pPr>
    </w:lvl>
    <w:lvl w:ilvl="3">
      <w:start w:val="1"/>
      <w:numFmt w:val="decimal"/>
      <w:lvlText w:val="%4."/>
      <w:lvlJc w:val="left"/>
      <w:pPr>
        <w:tabs>
          <w:tab w:pos="1134" w:val="num"/>
        </w:tabs>
        <w:ind w:hanging="283" w:left="1134"/>
      </w:pPr>
    </w:lvl>
    <w:lvl w:ilvl="4">
      <w:start w:val="1"/>
      <w:numFmt w:val="decimal"/>
      <w:lvlText w:val="%5."/>
      <w:lvlJc w:val="left"/>
      <w:pPr>
        <w:tabs>
          <w:tab w:pos="1417" w:val="num"/>
        </w:tabs>
        <w:ind w:hanging="283" w:left="1417"/>
      </w:pPr>
    </w:lvl>
    <w:lvl w:ilvl="5">
      <w:start w:val="1"/>
      <w:numFmt w:val="decimal"/>
      <w:lvlText w:val="%6."/>
      <w:lvlJc w:val="left"/>
      <w:pPr>
        <w:tabs>
          <w:tab w:pos="1701" w:val="num"/>
        </w:tabs>
        <w:ind w:hanging="283" w:left="1701"/>
      </w:pPr>
    </w:lvl>
    <w:lvl w:ilvl="6">
      <w:start w:val="1"/>
      <w:numFmt w:val="decimal"/>
      <w:lvlText w:val="%7."/>
      <w:lvlJc w:val="left"/>
      <w:pPr>
        <w:tabs>
          <w:tab w:pos="1984" w:val="num"/>
        </w:tabs>
        <w:ind w:hanging="283" w:left="1984"/>
      </w:pPr>
    </w:lvl>
    <w:lvl w:ilvl="7">
      <w:start w:val="1"/>
      <w:numFmt w:val="decimal"/>
      <w:lvlText w:val="%8."/>
      <w:lvlJc w:val="left"/>
      <w:pPr>
        <w:tabs>
          <w:tab w:pos="2268" w:val="num"/>
        </w:tabs>
        <w:ind w:hanging="283" w:left="2268"/>
      </w:pPr>
    </w:lvl>
    <w:lvl w:ilvl="8">
      <w:start w:val="1"/>
      <w:numFmt w:val="decimal"/>
      <w:lvlText w:val="%9."/>
      <w:lvlJc w:val="left"/>
      <w:pPr>
        <w:tabs>
          <w:tab w:pos="2551" w:val="num"/>
        </w:tabs>
        <w:ind w:hanging="283" w:left="2551"/>
      </w:pPr>
    </w:lvl>
  </w:abstractNum>
  <w:abstractNum w:abstractNumId="2">
    <w:lvl w:ilvl="0">
      <w:start w:val="1"/>
      <w:numFmt w:val="decimal"/>
      <w:lvlText w:val="%1)"/>
      <w:lvlJc w:val="left"/>
      <w:pPr>
        <w:tabs>
          <w:tab w:pos="360" w:val="num"/>
        </w:tabs>
        <w:ind w:hanging="360" w:left="360"/>
      </w:pPr>
      <w:rPr>
        <w:b w:val="false"/>
      </w:rPr>
    </w:lvl>
    <w:lvl w:ilvl="1">
      <w:start w:val="1"/>
      <w:numFmt w:val="decimal"/>
      <w:lvlText w:val="%2."/>
      <w:lvlJc w:val="left"/>
      <w:pPr>
        <w:tabs>
          <w:tab w:pos="567" w:val="num"/>
        </w:tabs>
        <w:ind w:hanging="283" w:left="567"/>
      </w:pPr>
    </w:lvl>
    <w:lvl w:ilvl="2">
      <w:start w:val="1"/>
      <w:numFmt w:val="decimal"/>
      <w:lvlText w:val="%3."/>
      <w:lvlJc w:val="left"/>
      <w:pPr>
        <w:tabs>
          <w:tab w:pos="850" w:val="num"/>
        </w:tabs>
        <w:ind w:hanging="283" w:left="850"/>
      </w:pPr>
    </w:lvl>
    <w:lvl w:ilvl="3">
      <w:start w:val="1"/>
      <w:numFmt w:val="decimal"/>
      <w:lvlText w:val="%4."/>
      <w:lvlJc w:val="left"/>
      <w:pPr>
        <w:tabs>
          <w:tab w:pos="1134" w:val="num"/>
        </w:tabs>
        <w:ind w:hanging="283" w:left="1134"/>
      </w:pPr>
    </w:lvl>
    <w:lvl w:ilvl="4">
      <w:start w:val="1"/>
      <w:numFmt w:val="decimal"/>
      <w:lvlText w:val="%5."/>
      <w:lvlJc w:val="left"/>
      <w:pPr>
        <w:tabs>
          <w:tab w:pos="1417" w:val="num"/>
        </w:tabs>
        <w:ind w:hanging="283" w:left="1417"/>
      </w:pPr>
    </w:lvl>
    <w:lvl w:ilvl="5">
      <w:start w:val="1"/>
      <w:numFmt w:val="decimal"/>
      <w:lvlText w:val="%6."/>
      <w:lvlJc w:val="left"/>
      <w:pPr>
        <w:tabs>
          <w:tab w:pos="1701" w:val="num"/>
        </w:tabs>
        <w:ind w:hanging="283" w:left="1701"/>
      </w:pPr>
    </w:lvl>
    <w:lvl w:ilvl="6">
      <w:start w:val="1"/>
      <w:numFmt w:val="decimal"/>
      <w:lvlText w:val="%7."/>
      <w:lvlJc w:val="left"/>
      <w:pPr>
        <w:tabs>
          <w:tab w:pos="1984" w:val="num"/>
        </w:tabs>
        <w:ind w:hanging="283" w:left="1984"/>
      </w:pPr>
    </w:lvl>
    <w:lvl w:ilvl="7">
      <w:start w:val="1"/>
      <w:numFmt w:val="decimal"/>
      <w:lvlText w:val="%8."/>
      <w:lvlJc w:val="left"/>
      <w:pPr>
        <w:tabs>
          <w:tab w:pos="2268" w:val="num"/>
        </w:tabs>
        <w:ind w:hanging="283" w:left="2268"/>
      </w:pPr>
    </w:lvl>
    <w:lvl w:ilvl="8">
      <w:start w:val="1"/>
      <w:numFmt w:val="decimal"/>
      <w:lvlText w:val="%9."/>
      <w:lvlJc w:val="left"/>
      <w:pPr>
        <w:tabs>
          <w:tab w:pos="2551" w:val="num"/>
        </w:tabs>
        <w:ind w:hanging="283" w:left="2551"/>
      </w:pPr>
    </w:lvl>
  </w:abstractNum>
  <w:abstractNum w:abstractNumId="3">
    <w:lvl w:ilvl="0">
      <w:start w:val="1"/>
      <w:numFmt w:val="bullet"/>
      <w:lvlText w:val="-"/>
      <w:lvlJc w:val="left"/>
      <w:pPr>
        <w:tabs>
          <w:tab w:pos="720" w:val="num"/>
        </w:tabs>
        <w:ind w:hanging="360" w:left="720"/>
      </w:pPr>
      <w:rPr>
        <w:rFonts w:ascii="StarSymbol" w:cs="StarSymbol" w:hAnsi="StarSymbol" w:hint="default"/>
      </w:rPr>
    </w:lvl>
    <w:lvl w:ilvl="1">
      <w:start w:val="1"/>
      <w:numFmt w:val="decimal"/>
      <w:lvlText w:val="%2."/>
      <w:lvlJc w:val="left"/>
      <w:pPr>
        <w:tabs>
          <w:tab w:pos="1080" w:val="num"/>
        </w:tabs>
        <w:ind w:hanging="360" w:left="1080"/>
      </w:pPr>
    </w:lvl>
    <w:lvl w:ilvl="2">
      <w:start w:val="1"/>
      <w:numFmt w:val="decimal"/>
      <w:lvlText w:val="%3."/>
      <w:lvlJc w:val="left"/>
      <w:pPr>
        <w:tabs>
          <w:tab w:pos="1440" w:val="num"/>
        </w:tabs>
        <w:ind w:hanging="360" w:left="1440"/>
      </w:pPr>
    </w:lvl>
    <w:lvl w:ilvl="3">
      <w:start w:val="1"/>
      <w:numFmt w:val="decimal"/>
      <w:lvlText w:val="%4."/>
      <w:lvlJc w:val="left"/>
      <w:pPr>
        <w:tabs>
          <w:tab w:pos="1800" w:val="num"/>
        </w:tabs>
        <w:ind w:hanging="360" w:left="1800"/>
      </w:pPr>
    </w:lvl>
    <w:lvl w:ilvl="4">
      <w:start w:val="1"/>
      <w:numFmt w:val="decimal"/>
      <w:lvlText w:val="%5."/>
      <w:lvlJc w:val="left"/>
      <w:pPr>
        <w:tabs>
          <w:tab w:pos="2160" w:val="num"/>
        </w:tabs>
        <w:ind w:hanging="360" w:left="2160"/>
      </w:pPr>
    </w:lvl>
    <w:lvl w:ilvl="5">
      <w:start w:val="1"/>
      <w:numFmt w:val="decimal"/>
      <w:lvlText w:val="%6."/>
      <w:lvlJc w:val="left"/>
      <w:pPr>
        <w:tabs>
          <w:tab w:pos="2520" w:val="num"/>
        </w:tabs>
        <w:ind w:hanging="360" w:left="2520"/>
      </w:pPr>
    </w:lvl>
    <w:lvl w:ilvl="6">
      <w:start w:val="1"/>
      <w:numFmt w:val="decimal"/>
      <w:lvlText w:val="%7."/>
      <w:lvlJc w:val="left"/>
      <w:pPr>
        <w:tabs>
          <w:tab w:pos="2880" w:val="num"/>
        </w:tabs>
        <w:ind w:hanging="360" w:left="2880"/>
      </w:pPr>
    </w:lvl>
    <w:lvl w:ilvl="7">
      <w:start w:val="1"/>
      <w:numFmt w:val="decimal"/>
      <w:lvlText w:val="%8."/>
      <w:lvlJc w:val="left"/>
      <w:pPr>
        <w:tabs>
          <w:tab w:pos="3240" w:val="num"/>
        </w:tabs>
        <w:ind w:hanging="360" w:left="3240"/>
      </w:pPr>
    </w:lvl>
    <w:lvl w:ilvl="8">
      <w:start w:val="1"/>
      <w:numFmt w:val="decimal"/>
      <w:lvlText w:val="%9."/>
      <w:lvlJc w:val="left"/>
      <w:pPr>
        <w:tabs>
          <w:tab w:pos="3600" w:val="num"/>
        </w:tabs>
        <w:ind w:hanging="360" w:left="3600"/>
      </w:pPr>
    </w:lvl>
  </w:abstractNum>
  <w:abstractNum w:abstractNumId="4">
    <w:lvl w:ilvl="0">
      <w:start w:val="1"/>
      <w:numFmt w:val="decimal"/>
      <w:lvlText w:val="%1)"/>
      <w:lvlJc w:val="left"/>
      <w:pPr>
        <w:tabs>
          <w:tab w:pos="814" w:val="num"/>
        </w:tabs>
        <w:ind w:hanging="360" w:left="814"/>
      </w:pPr>
    </w:lvl>
    <w:lvl w:ilvl="1">
      <w:start w:val="1"/>
      <w:numFmt w:val="decimal"/>
      <w:lvlText w:val="%2."/>
      <w:lvlJc w:val="left"/>
      <w:pPr>
        <w:tabs>
          <w:tab w:pos="1080" w:val="num"/>
        </w:tabs>
        <w:ind w:hanging="360" w:left="1080"/>
      </w:pPr>
    </w:lvl>
    <w:lvl w:ilvl="2">
      <w:start w:val="1"/>
      <w:numFmt w:val="decimal"/>
      <w:lvlText w:val="%3."/>
      <w:lvlJc w:val="left"/>
      <w:pPr>
        <w:tabs>
          <w:tab w:pos="1440" w:val="num"/>
        </w:tabs>
        <w:ind w:hanging="360" w:left="1440"/>
      </w:pPr>
    </w:lvl>
    <w:lvl w:ilvl="3">
      <w:start w:val="1"/>
      <w:numFmt w:val="decimal"/>
      <w:lvlText w:val="%4."/>
      <w:lvlJc w:val="left"/>
      <w:pPr>
        <w:tabs>
          <w:tab w:pos="1800" w:val="num"/>
        </w:tabs>
        <w:ind w:hanging="360" w:left="1800"/>
      </w:pPr>
    </w:lvl>
    <w:lvl w:ilvl="4">
      <w:start w:val="1"/>
      <w:numFmt w:val="decimal"/>
      <w:lvlText w:val="%5."/>
      <w:lvlJc w:val="left"/>
      <w:pPr>
        <w:tabs>
          <w:tab w:pos="2160" w:val="num"/>
        </w:tabs>
        <w:ind w:hanging="360" w:left="2160"/>
      </w:pPr>
    </w:lvl>
    <w:lvl w:ilvl="5">
      <w:start w:val="1"/>
      <w:numFmt w:val="decimal"/>
      <w:lvlText w:val="%6."/>
      <w:lvlJc w:val="left"/>
      <w:pPr>
        <w:tabs>
          <w:tab w:pos="2520" w:val="num"/>
        </w:tabs>
        <w:ind w:hanging="360" w:left="2520"/>
      </w:pPr>
    </w:lvl>
    <w:lvl w:ilvl="6">
      <w:start w:val="1"/>
      <w:numFmt w:val="decimal"/>
      <w:lvlText w:val="%7."/>
      <w:lvlJc w:val="left"/>
      <w:pPr>
        <w:tabs>
          <w:tab w:pos="2880" w:val="num"/>
        </w:tabs>
        <w:ind w:hanging="360" w:left="2880"/>
      </w:pPr>
    </w:lvl>
    <w:lvl w:ilvl="7">
      <w:start w:val="1"/>
      <w:numFmt w:val="decimal"/>
      <w:lvlText w:val="%8."/>
      <w:lvlJc w:val="left"/>
      <w:pPr>
        <w:tabs>
          <w:tab w:pos="3240" w:val="num"/>
        </w:tabs>
        <w:ind w:hanging="360" w:left="3240"/>
      </w:pPr>
    </w:lvl>
    <w:lvl w:ilvl="8">
      <w:start w:val="1"/>
      <w:numFmt w:val="decimal"/>
      <w:lvlText w:val="%9."/>
      <w:lvlJc w:val="left"/>
      <w:pPr>
        <w:tabs>
          <w:tab w:pos="3600" w:val="num"/>
        </w:tabs>
        <w:ind w:hanging="360" w:left="3600"/>
      </w:pPr>
    </w:lvl>
  </w:abstractNum>
  <w:abstractNum w:abstractNumId="5">
    <w:lvl w:ilvl="0">
      <w:start w:val="1"/>
      <w:numFmt w:val="decimal"/>
      <w:lvlText w:val="%1)"/>
      <w:lvlJc w:val="left"/>
      <w:pPr>
        <w:tabs>
          <w:tab w:pos="814" w:val="num"/>
        </w:tabs>
        <w:ind w:hanging="360" w:left="814"/>
      </w:pPr>
    </w:lvl>
    <w:lvl w:ilvl="1">
      <w:start w:val="1"/>
      <w:numFmt w:val="decimal"/>
      <w:lvlText w:val="%2."/>
      <w:lvlJc w:val="left"/>
      <w:pPr>
        <w:tabs>
          <w:tab w:pos="1080" w:val="num"/>
        </w:tabs>
        <w:ind w:hanging="360" w:left="1080"/>
      </w:pPr>
    </w:lvl>
    <w:lvl w:ilvl="2">
      <w:start w:val="1"/>
      <w:numFmt w:val="decimal"/>
      <w:lvlText w:val="%3."/>
      <w:lvlJc w:val="left"/>
      <w:pPr>
        <w:tabs>
          <w:tab w:pos="1440" w:val="num"/>
        </w:tabs>
        <w:ind w:hanging="360" w:left="1440"/>
      </w:pPr>
    </w:lvl>
    <w:lvl w:ilvl="3">
      <w:start w:val="1"/>
      <w:numFmt w:val="decimal"/>
      <w:lvlText w:val="%4."/>
      <w:lvlJc w:val="left"/>
      <w:pPr>
        <w:tabs>
          <w:tab w:pos="1800" w:val="num"/>
        </w:tabs>
        <w:ind w:hanging="360" w:left="1800"/>
      </w:pPr>
    </w:lvl>
    <w:lvl w:ilvl="4">
      <w:start w:val="1"/>
      <w:numFmt w:val="decimal"/>
      <w:lvlText w:val="%5."/>
      <w:lvlJc w:val="left"/>
      <w:pPr>
        <w:tabs>
          <w:tab w:pos="2160" w:val="num"/>
        </w:tabs>
        <w:ind w:hanging="360" w:left="2160"/>
      </w:pPr>
    </w:lvl>
    <w:lvl w:ilvl="5">
      <w:start w:val="1"/>
      <w:numFmt w:val="decimal"/>
      <w:lvlText w:val="%6."/>
      <w:lvlJc w:val="left"/>
      <w:pPr>
        <w:tabs>
          <w:tab w:pos="2520" w:val="num"/>
        </w:tabs>
        <w:ind w:hanging="360" w:left="2520"/>
      </w:pPr>
    </w:lvl>
    <w:lvl w:ilvl="6">
      <w:start w:val="1"/>
      <w:numFmt w:val="decimal"/>
      <w:lvlText w:val="%7."/>
      <w:lvlJc w:val="left"/>
      <w:pPr>
        <w:tabs>
          <w:tab w:pos="2880" w:val="num"/>
        </w:tabs>
        <w:ind w:hanging="360" w:left="2880"/>
      </w:pPr>
    </w:lvl>
    <w:lvl w:ilvl="7">
      <w:start w:val="1"/>
      <w:numFmt w:val="decimal"/>
      <w:lvlText w:val="%8."/>
      <w:lvlJc w:val="left"/>
      <w:pPr>
        <w:tabs>
          <w:tab w:pos="3240" w:val="num"/>
        </w:tabs>
        <w:ind w:hanging="360" w:left="3240"/>
      </w:pPr>
    </w:lvl>
    <w:lvl w:ilvl="8">
      <w:start w:val="1"/>
      <w:numFmt w:val="decimal"/>
      <w:lvlText w:val="%9."/>
      <w:lvlJc w:val="left"/>
      <w:pPr>
        <w:tabs>
          <w:tab w:pos="3600" w:val="num"/>
        </w:tabs>
        <w:ind w:hanging="360" w:left="3600"/>
      </w:pPr>
    </w:lvl>
  </w:abstractNum>
  <w:abstractNum w:abstractNumId="6">
    <w:lvl w:ilvl="0">
      <w:start w:val="1"/>
      <w:numFmt w:val="decimal"/>
      <w:lvlText w:val="%1)"/>
      <w:lvlJc w:val="left"/>
      <w:pPr>
        <w:tabs>
          <w:tab w:pos="283" w:val="num"/>
        </w:tabs>
        <w:ind w:hanging="283" w:left="283"/>
      </w:pPr>
    </w:lvl>
    <w:lvl w:ilvl="1">
      <w:start w:val="1"/>
      <w:numFmt w:val="decimal"/>
      <w:lvlText w:val="%2."/>
      <w:lvlJc w:val="left"/>
      <w:pPr>
        <w:tabs>
          <w:tab w:pos="567" w:val="num"/>
        </w:tabs>
        <w:ind w:hanging="283" w:left="567"/>
      </w:pPr>
    </w:lvl>
    <w:lvl w:ilvl="2">
      <w:start w:val="1"/>
      <w:numFmt w:val="decimal"/>
      <w:lvlText w:val="%3."/>
      <w:lvlJc w:val="left"/>
      <w:pPr>
        <w:tabs>
          <w:tab w:pos="850" w:val="num"/>
        </w:tabs>
        <w:ind w:hanging="283" w:left="850"/>
      </w:pPr>
    </w:lvl>
    <w:lvl w:ilvl="3">
      <w:start w:val="1"/>
      <w:numFmt w:val="decimal"/>
      <w:lvlText w:val="%4."/>
      <w:lvlJc w:val="left"/>
      <w:pPr>
        <w:tabs>
          <w:tab w:pos="1134" w:val="num"/>
        </w:tabs>
        <w:ind w:hanging="283" w:left="1134"/>
      </w:pPr>
    </w:lvl>
    <w:lvl w:ilvl="4">
      <w:start w:val="1"/>
      <w:numFmt w:val="decimal"/>
      <w:lvlText w:val="%5."/>
      <w:lvlJc w:val="left"/>
      <w:pPr>
        <w:tabs>
          <w:tab w:pos="1417" w:val="num"/>
        </w:tabs>
        <w:ind w:hanging="283" w:left="1417"/>
      </w:pPr>
    </w:lvl>
    <w:lvl w:ilvl="5">
      <w:start w:val="1"/>
      <w:numFmt w:val="decimal"/>
      <w:lvlText w:val="%6."/>
      <w:lvlJc w:val="left"/>
      <w:pPr>
        <w:tabs>
          <w:tab w:pos="1701" w:val="num"/>
        </w:tabs>
        <w:ind w:hanging="283" w:left="1701"/>
      </w:pPr>
    </w:lvl>
    <w:lvl w:ilvl="6">
      <w:start w:val="1"/>
      <w:numFmt w:val="decimal"/>
      <w:lvlText w:val="%7."/>
      <w:lvlJc w:val="left"/>
      <w:pPr>
        <w:tabs>
          <w:tab w:pos="1984" w:val="num"/>
        </w:tabs>
        <w:ind w:hanging="283" w:left="1984"/>
      </w:pPr>
    </w:lvl>
    <w:lvl w:ilvl="7">
      <w:start w:val="1"/>
      <w:numFmt w:val="decimal"/>
      <w:lvlText w:val="%8."/>
      <w:lvlJc w:val="left"/>
      <w:pPr>
        <w:tabs>
          <w:tab w:pos="2268" w:val="num"/>
        </w:tabs>
        <w:ind w:hanging="283" w:left="2268"/>
      </w:pPr>
    </w:lvl>
    <w:lvl w:ilvl="8">
      <w:start w:val="1"/>
      <w:numFmt w:val="decimal"/>
      <w:lvlText w:val="%9."/>
      <w:lvlJc w:val="left"/>
      <w:pPr>
        <w:tabs>
          <w:tab w:pos="2551" w:val="num"/>
        </w:tabs>
        <w:ind w:hanging="283" w:left="2551"/>
      </w:pPr>
    </w:lvl>
  </w:abstractNum>
  <w:abstractNum w:abstractNumId="7">
    <w:lvl w:ilvl="0">
      <w:start w:val="1"/>
      <w:numFmt w:val="bullet"/>
      <w:lvlText w:val="-"/>
      <w:lvlJc w:val="left"/>
      <w:pPr>
        <w:tabs>
          <w:tab w:pos="720" w:val="num"/>
        </w:tabs>
        <w:ind w:hanging="360" w:left="720"/>
      </w:pPr>
      <w:rPr>
        <w:rFonts w:ascii="StarSymbol" w:cs="StarSymbol" w:hAnsi="StarSymbol" w:hint="default"/>
      </w:rPr>
    </w:lvl>
    <w:lvl w:ilvl="1">
      <w:start w:val="1"/>
      <w:numFmt w:val="decimal"/>
      <w:lvlText w:val="%2."/>
      <w:lvlJc w:val="left"/>
      <w:pPr>
        <w:tabs>
          <w:tab w:pos="1080" w:val="num"/>
        </w:tabs>
        <w:ind w:hanging="360" w:left="1080"/>
      </w:pPr>
    </w:lvl>
    <w:lvl w:ilvl="2">
      <w:start w:val="1"/>
      <w:numFmt w:val="decimal"/>
      <w:lvlText w:val="%3."/>
      <w:lvlJc w:val="left"/>
      <w:pPr>
        <w:tabs>
          <w:tab w:pos="1440" w:val="num"/>
        </w:tabs>
        <w:ind w:hanging="360" w:left="1440"/>
      </w:pPr>
    </w:lvl>
    <w:lvl w:ilvl="3">
      <w:start w:val="1"/>
      <w:numFmt w:val="decimal"/>
      <w:lvlText w:val="%4."/>
      <w:lvlJc w:val="left"/>
      <w:pPr>
        <w:tabs>
          <w:tab w:pos="1800" w:val="num"/>
        </w:tabs>
        <w:ind w:hanging="360" w:left="1800"/>
      </w:pPr>
    </w:lvl>
    <w:lvl w:ilvl="4">
      <w:start w:val="1"/>
      <w:numFmt w:val="decimal"/>
      <w:lvlText w:val="%5."/>
      <w:lvlJc w:val="left"/>
      <w:pPr>
        <w:tabs>
          <w:tab w:pos="2160" w:val="num"/>
        </w:tabs>
        <w:ind w:hanging="360" w:left="2160"/>
      </w:pPr>
    </w:lvl>
    <w:lvl w:ilvl="5">
      <w:start w:val="1"/>
      <w:numFmt w:val="decimal"/>
      <w:lvlText w:val="%6."/>
      <w:lvlJc w:val="left"/>
      <w:pPr>
        <w:tabs>
          <w:tab w:pos="2520" w:val="num"/>
        </w:tabs>
        <w:ind w:hanging="360" w:left="2520"/>
      </w:pPr>
    </w:lvl>
    <w:lvl w:ilvl="6">
      <w:start w:val="1"/>
      <w:numFmt w:val="decimal"/>
      <w:lvlText w:val="%7."/>
      <w:lvlJc w:val="left"/>
      <w:pPr>
        <w:tabs>
          <w:tab w:pos="2880" w:val="num"/>
        </w:tabs>
        <w:ind w:hanging="360" w:left="2880"/>
      </w:pPr>
    </w:lvl>
    <w:lvl w:ilvl="7">
      <w:start w:val="1"/>
      <w:numFmt w:val="decimal"/>
      <w:lvlText w:val="%8."/>
      <w:lvlJc w:val="left"/>
      <w:pPr>
        <w:tabs>
          <w:tab w:pos="3240" w:val="num"/>
        </w:tabs>
        <w:ind w:hanging="360" w:left="3240"/>
      </w:pPr>
    </w:lvl>
    <w:lvl w:ilvl="8">
      <w:start w:val="1"/>
      <w:numFmt w:val="decimal"/>
      <w:lvlText w:val="%9."/>
      <w:lvlJc w:val="left"/>
      <w:pPr>
        <w:tabs>
          <w:tab w:pos="3600" w:val="num"/>
        </w:tabs>
        <w:ind w:hanging="360" w:left="3600"/>
      </w:pPr>
    </w:lvl>
  </w:abstractNum>
  <w:abstractNum w:abstractNumId="8">
    <w:lvl w:ilvl="0">
      <w:start w:val="6"/>
      <w:numFmt w:val="decimal"/>
      <w:lvlText w:val="%1)"/>
      <w:lvlJc w:val="left"/>
      <w:pPr>
        <w:tabs>
          <w:tab w:pos="283" w:val="num"/>
        </w:tabs>
        <w:ind w:hanging="283" w:left="283"/>
      </w:pPr>
      <w:rPr>
        <w:b w:val="false"/>
      </w:rPr>
    </w:lvl>
    <w:lvl w:ilvl="1">
      <w:start w:val="1"/>
      <w:numFmt w:val="decimal"/>
      <w:lvlText w:val="%2."/>
      <w:lvlJc w:val="left"/>
      <w:pPr>
        <w:tabs>
          <w:tab w:pos="567" w:val="num"/>
        </w:tabs>
        <w:ind w:hanging="283" w:left="567"/>
      </w:pPr>
    </w:lvl>
    <w:lvl w:ilvl="2">
      <w:start w:val="1"/>
      <w:numFmt w:val="decimal"/>
      <w:lvlText w:val="%3."/>
      <w:lvlJc w:val="left"/>
      <w:pPr>
        <w:tabs>
          <w:tab w:pos="850" w:val="num"/>
        </w:tabs>
        <w:ind w:hanging="283" w:left="850"/>
      </w:pPr>
    </w:lvl>
    <w:lvl w:ilvl="3">
      <w:start w:val="1"/>
      <w:numFmt w:val="decimal"/>
      <w:lvlText w:val="%4."/>
      <w:lvlJc w:val="left"/>
      <w:pPr>
        <w:tabs>
          <w:tab w:pos="1134" w:val="num"/>
        </w:tabs>
        <w:ind w:hanging="283" w:left="1134"/>
      </w:pPr>
    </w:lvl>
    <w:lvl w:ilvl="4">
      <w:start w:val="1"/>
      <w:numFmt w:val="decimal"/>
      <w:lvlText w:val="%5."/>
      <w:lvlJc w:val="left"/>
      <w:pPr>
        <w:tabs>
          <w:tab w:pos="1417" w:val="num"/>
        </w:tabs>
        <w:ind w:hanging="283" w:left="1417"/>
      </w:pPr>
    </w:lvl>
    <w:lvl w:ilvl="5">
      <w:start w:val="1"/>
      <w:numFmt w:val="decimal"/>
      <w:lvlText w:val="%6."/>
      <w:lvlJc w:val="left"/>
      <w:pPr>
        <w:tabs>
          <w:tab w:pos="1701" w:val="num"/>
        </w:tabs>
        <w:ind w:hanging="283" w:left="1701"/>
      </w:pPr>
    </w:lvl>
    <w:lvl w:ilvl="6">
      <w:start w:val="1"/>
      <w:numFmt w:val="decimal"/>
      <w:lvlText w:val="%7."/>
      <w:lvlJc w:val="left"/>
      <w:pPr>
        <w:tabs>
          <w:tab w:pos="1984" w:val="num"/>
        </w:tabs>
        <w:ind w:hanging="283" w:left="1984"/>
      </w:pPr>
    </w:lvl>
    <w:lvl w:ilvl="7">
      <w:start w:val="1"/>
      <w:numFmt w:val="decimal"/>
      <w:lvlText w:val="%8."/>
      <w:lvlJc w:val="left"/>
      <w:pPr>
        <w:tabs>
          <w:tab w:pos="2268" w:val="num"/>
        </w:tabs>
        <w:ind w:hanging="283" w:left="2268"/>
      </w:pPr>
    </w:lvl>
    <w:lvl w:ilvl="8">
      <w:start w:val="1"/>
      <w:numFmt w:val="decimal"/>
      <w:lvlText w:val="%9."/>
      <w:lvlJc w:val="left"/>
      <w:pPr>
        <w:tabs>
          <w:tab w:pos="2551" w:val="num"/>
        </w:tabs>
        <w:ind w:hanging="283" w:left="2551"/>
      </w:pPr>
    </w:lvl>
  </w:abstractNum>
  <w:abstractNum w:abstractNumId="9">
    <w:lvl w:ilvl="0">
      <w:start w:val="2"/>
      <w:numFmt w:val="decimal"/>
      <w:lvlText w:val="%1."/>
      <w:lvlJc w:val="left"/>
      <w:pPr>
        <w:tabs>
          <w:tab w:pos="720" w:val="num"/>
        </w:tabs>
        <w:ind w:hanging="360" w:left="720"/>
      </w:pPr>
      <w:rPr>
        <w:b w:val="false"/>
        <w:bCs w:val="false"/>
      </w:rPr>
    </w:lvl>
    <w:lvl w:ilvl="1">
      <w:start w:val="1"/>
      <w:numFmt w:val="decimal"/>
      <w:lvlText w:val="%2."/>
      <w:lvlJc w:val="left"/>
      <w:pPr>
        <w:tabs>
          <w:tab w:pos="1080" w:val="num"/>
        </w:tabs>
        <w:ind w:hanging="360" w:left="1080"/>
      </w:pPr>
    </w:lvl>
    <w:lvl w:ilvl="2">
      <w:start w:val="1"/>
      <w:numFmt w:val="decimal"/>
      <w:lvlText w:val="%3."/>
      <w:lvlJc w:val="left"/>
      <w:pPr>
        <w:tabs>
          <w:tab w:pos="1440" w:val="num"/>
        </w:tabs>
        <w:ind w:hanging="360" w:left="1440"/>
      </w:pPr>
    </w:lvl>
    <w:lvl w:ilvl="3">
      <w:start w:val="1"/>
      <w:numFmt w:val="decimal"/>
      <w:lvlText w:val="%4."/>
      <w:lvlJc w:val="left"/>
      <w:pPr>
        <w:tabs>
          <w:tab w:pos="1800" w:val="num"/>
        </w:tabs>
        <w:ind w:hanging="360" w:left="1800"/>
      </w:pPr>
    </w:lvl>
    <w:lvl w:ilvl="4">
      <w:start w:val="1"/>
      <w:numFmt w:val="decimal"/>
      <w:lvlText w:val="%5."/>
      <w:lvlJc w:val="left"/>
      <w:pPr>
        <w:tabs>
          <w:tab w:pos="2160" w:val="num"/>
        </w:tabs>
        <w:ind w:hanging="360" w:left="2160"/>
      </w:pPr>
    </w:lvl>
    <w:lvl w:ilvl="5">
      <w:start w:val="1"/>
      <w:numFmt w:val="decimal"/>
      <w:lvlText w:val="%6."/>
      <w:lvlJc w:val="left"/>
      <w:pPr>
        <w:tabs>
          <w:tab w:pos="2520" w:val="num"/>
        </w:tabs>
        <w:ind w:hanging="360" w:left="2520"/>
      </w:pPr>
    </w:lvl>
    <w:lvl w:ilvl="6">
      <w:start w:val="1"/>
      <w:numFmt w:val="decimal"/>
      <w:lvlText w:val="%7."/>
      <w:lvlJc w:val="left"/>
      <w:pPr>
        <w:tabs>
          <w:tab w:pos="2880" w:val="num"/>
        </w:tabs>
        <w:ind w:hanging="360" w:left="2880"/>
      </w:pPr>
    </w:lvl>
    <w:lvl w:ilvl="7">
      <w:start w:val="1"/>
      <w:numFmt w:val="decimal"/>
      <w:lvlText w:val="%8."/>
      <w:lvlJc w:val="left"/>
      <w:pPr>
        <w:tabs>
          <w:tab w:pos="3240" w:val="num"/>
        </w:tabs>
        <w:ind w:hanging="360" w:left="3240"/>
      </w:pPr>
    </w:lvl>
    <w:lvl w:ilvl="8">
      <w:start w:val="1"/>
      <w:numFmt w:val="decimal"/>
      <w:lvlText w:val="%9."/>
      <w:lvlJc w:val="left"/>
      <w:pPr>
        <w:tabs>
          <w:tab w:pos="3600" w:val="num"/>
        </w:tabs>
        <w:ind w:hanging="360" w:left="3600"/>
      </w:pPr>
    </w:lvl>
  </w:abstractNum>
  <w:abstractNum w:abstractNumId="10">
    <w:lvl w:ilvl="0">
      <w:start w:val="1"/>
      <w:numFmt w:val="lowerLetter"/>
      <w:lvlText w:val="%1)"/>
      <w:lvlJc w:val="left"/>
      <w:pPr>
        <w:ind w:hanging="360" w:left="2535"/>
      </w:pPr>
    </w:lvl>
    <w:lvl w:ilvl="1">
      <w:start w:val="1"/>
      <w:numFmt w:val="decimal"/>
      <w:lvlText w:val="%2."/>
      <w:lvlJc w:val="left"/>
      <w:pPr>
        <w:tabs>
          <w:tab w:pos="1080" w:val="num"/>
        </w:tabs>
        <w:ind w:hanging="360" w:left="1080"/>
      </w:pPr>
    </w:lvl>
    <w:lvl w:ilvl="2">
      <w:start w:val="1"/>
      <w:numFmt w:val="decimal"/>
      <w:lvlText w:val="%3."/>
      <w:lvlJc w:val="left"/>
      <w:pPr>
        <w:tabs>
          <w:tab w:pos="1440" w:val="num"/>
        </w:tabs>
        <w:ind w:hanging="360" w:left="1440"/>
      </w:pPr>
    </w:lvl>
    <w:lvl w:ilvl="3">
      <w:start w:val="1"/>
      <w:numFmt w:val="decimal"/>
      <w:lvlText w:val="%4."/>
      <w:lvlJc w:val="left"/>
      <w:pPr>
        <w:tabs>
          <w:tab w:pos="1800" w:val="num"/>
        </w:tabs>
        <w:ind w:hanging="360" w:left="1800"/>
      </w:pPr>
    </w:lvl>
    <w:lvl w:ilvl="4">
      <w:start w:val="1"/>
      <w:numFmt w:val="decimal"/>
      <w:lvlText w:val="%5."/>
      <w:lvlJc w:val="left"/>
      <w:pPr>
        <w:tabs>
          <w:tab w:pos="2160" w:val="num"/>
        </w:tabs>
        <w:ind w:hanging="360" w:left="2160"/>
      </w:pPr>
    </w:lvl>
    <w:lvl w:ilvl="5">
      <w:start w:val="1"/>
      <w:numFmt w:val="decimal"/>
      <w:lvlText w:val="%6."/>
      <w:lvlJc w:val="left"/>
      <w:pPr>
        <w:tabs>
          <w:tab w:pos="2520" w:val="num"/>
        </w:tabs>
        <w:ind w:hanging="360" w:left="2520"/>
      </w:pPr>
    </w:lvl>
    <w:lvl w:ilvl="6">
      <w:start w:val="1"/>
      <w:numFmt w:val="decimal"/>
      <w:lvlText w:val="%7."/>
      <w:lvlJc w:val="left"/>
      <w:pPr>
        <w:tabs>
          <w:tab w:pos="2880" w:val="num"/>
        </w:tabs>
        <w:ind w:hanging="360" w:left="2880"/>
      </w:pPr>
    </w:lvl>
    <w:lvl w:ilvl="7">
      <w:start w:val="1"/>
      <w:numFmt w:val="decimal"/>
      <w:lvlText w:val="%8."/>
      <w:lvlJc w:val="left"/>
      <w:pPr>
        <w:tabs>
          <w:tab w:pos="3240" w:val="num"/>
        </w:tabs>
        <w:ind w:hanging="360" w:left="3240"/>
      </w:pPr>
    </w:lvl>
    <w:lvl w:ilvl="8">
      <w:start w:val="1"/>
      <w:numFmt w:val="decimal"/>
      <w:lvlText w:val="%9."/>
      <w:lvlJc w:val="left"/>
      <w:pPr>
        <w:tabs>
          <w:tab w:pos="3600" w:val="num"/>
        </w:tabs>
        <w:ind w:hanging="360" w:left="3600"/>
      </w:pPr>
    </w:lvl>
  </w:abstractNum>
  <w:abstractNum w:abstractNumId="11">
    <w:lvl w:ilvl="0">
      <w:start w:val="2"/>
      <w:numFmt w:val="decimal"/>
      <w:lvlText w:val="%1)"/>
      <w:lvlJc w:val="left"/>
      <w:pPr>
        <w:ind w:hanging="360" w:left="720"/>
      </w:pPr>
      <w:rPr>
        <w:smallCaps w:val="false"/>
        <w:caps w:val="false"/>
        <w:color w:val="000000"/>
        <w:dstrike w:val="false"/>
        <w:strike w:val="false"/>
        <w:sz w:val="24"/>
        <w:spacing w:val="0"/>
        <w:i w:val="false"/>
        <w:u w:val="none"/>
        <w:b w:val="false"/>
        <w:szCs w:val="24"/>
        <w:iCs w:val="false"/>
        <w:bCs w:val="false"/>
        <w:w w:val="100"/>
      </w:rPr>
    </w:lvl>
    <w:lvl w:ilvl="1">
      <w:start w:val="1"/>
      <w:numFmt w:val="decimal"/>
      <w:lvlText w:val="%2"/>
      <w:lvlJc w:val="left"/>
      <w:pPr>
        <w:ind w:hanging="360" w:left="1080"/>
      </w:pPr>
    </w:lvl>
    <w:lvl w:ilvl="2">
      <w:start w:val="1"/>
      <w:numFmt w:val="decimal"/>
      <w:lvlText w:val="%3"/>
      <w:lvlJc w:val="left"/>
      <w:pPr>
        <w:ind w:hanging="360" w:left="1440"/>
      </w:pPr>
    </w:lvl>
    <w:lvl w:ilvl="3">
      <w:start w:val="1"/>
      <w:numFmt w:val="decimal"/>
      <w:lvlText w:val="%4"/>
      <w:lvlJc w:val="left"/>
      <w:pPr>
        <w:ind w:hanging="360" w:left="1800"/>
      </w:pPr>
    </w:lvl>
    <w:lvl w:ilvl="4">
      <w:start w:val="1"/>
      <w:numFmt w:val="decimal"/>
      <w:lvlText w:val="%5"/>
      <w:lvlJc w:val="left"/>
      <w:pPr>
        <w:ind w:hanging="360" w:left="2160"/>
      </w:pPr>
    </w:lvl>
    <w:lvl w:ilvl="5">
      <w:start w:val="1"/>
      <w:numFmt w:val="decimal"/>
      <w:lvlText w:val="%6"/>
      <w:lvlJc w:val="left"/>
      <w:pPr>
        <w:ind w:hanging="360" w:left="2520"/>
      </w:pPr>
    </w:lvl>
    <w:lvl w:ilvl="6">
      <w:start w:val="1"/>
      <w:numFmt w:val="decimal"/>
      <w:lvlText w:val="%7"/>
      <w:lvlJc w:val="left"/>
      <w:pPr>
        <w:ind w:hanging="360" w:left="2880"/>
      </w:pPr>
    </w:lvl>
    <w:lvl w:ilvl="7">
      <w:start w:val="1"/>
      <w:numFmt w:val="decimal"/>
      <w:lvlText w:val="%8"/>
      <w:lvlJc w:val="left"/>
      <w:pPr>
        <w:ind w:hanging="360" w:left="3240"/>
      </w:pPr>
    </w:lvl>
    <w:lvl w:ilvl="8">
      <w:start w:val="1"/>
      <w:numFmt w:val="decimal"/>
      <w:lvlText w:val="%9"/>
      <w:lvlJc w:val="left"/>
      <w:pPr>
        <w:ind w:hanging="360" w:left="3600"/>
      </w:pPr>
    </w:lvl>
  </w:abstractNum>
  <w:abstractNum w:abstractNumId="12">
    <w:lvl w:ilvl="0">
      <w:start w:val="1"/>
      <w:numFmt w:val="lowerLetter"/>
      <w:lvlText w:val="%1)"/>
      <w:lvlJc w:val="left"/>
      <w:pPr>
        <w:ind w:hanging="360" w:left="720"/>
      </w:pPr>
      <w:rPr>
        <w:smallCaps w:val="false"/>
        <w:caps w:val="false"/>
        <w:color w:val="000000"/>
        <w:dstrike w:val="false"/>
        <w:strike w:val="false"/>
        <w:sz w:val="24"/>
        <w:spacing w:val="0"/>
        <w:i w:val="false"/>
        <w:u w:val="none"/>
        <w:b w:val="false"/>
        <w:szCs w:val="24"/>
        <w:iCs w:val="false"/>
        <w:bCs w:val="false"/>
        <w:w w:val="100"/>
      </w:rPr>
    </w:lvl>
    <w:lvl w:ilvl="1">
      <w:start w:val="1"/>
      <w:numFmt w:val="decimal"/>
      <w:lvlText w:val="%2"/>
      <w:lvlJc w:val="left"/>
      <w:pPr>
        <w:ind w:hanging="360" w:left="1080"/>
      </w:pPr>
    </w:lvl>
    <w:lvl w:ilvl="2">
      <w:start w:val="1"/>
      <w:numFmt w:val="decimal"/>
      <w:lvlText w:val="%3"/>
      <w:lvlJc w:val="left"/>
      <w:pPr>
        <w:ind w:hanging="360" w:left="1440"/>
      </w:pPr>
    </w:lvl>
    <w:lvl w:ilvl="3">
      <w:start w:val="1"/>
      <w:numFmt w:val="decimal"/>
      <w:lvlText w:val="%4"/>
      <w:lvlJc w:val="left"/>
      <w:pPr>
        <w:ind w:hanging="360" w:left="1800"/>
      </w:pPr>
    </w:lvl>
    <w:lvl w:ilvl="4">
      <w:start w:val="1"/>
      <w:numFmt w:val="decimal"/>
      <w:lvlText w:val="%5"/>
      <w:lvlJc w:val="left"/>
      <w:pPr>
        <w:ind w:hanging="360" w:left="2160"/>
      </w:pPr>
    </w:lvl>
    <w:lvl w:ilvl="5">
      <w:start w:val="1"/>
      <w:numFmt w:val="decimal"/>
      <w:lvlText w:val="%6"/>
      <w:lvlJc w:val="left"/>
      <w:pPr>
        <w:ind w:hanging="360" w:left="2520"/>
      </w:pPr>
    </w:lvl>
    <w:lvl w:ilvl="6">
      <w:start w:val="1"/>
      <w:numFmt w:val="decimal"/>
      <w:lvlText w:val="%7"/>
      <w:lvlJc w:val="left"/>
      <w:pPr>
        <w:ind w:hanging="360" w:left="2880"/>
      </w:pPr>
    </w:lvl>
    <w:lvl w:ilvl="7">
      <w:start w:val="1"/>
      <w:numFmt w:val="decimal"/>
      <w:lvlText w:val="%8"/>
      <w:lvlJc w:val="left"/>
      <w:pPr>
        <w:ind w:hanging="360" w:left="3240"/>
      </w:pPr>
    </w:lvl>
    <w:lvl w:ilvl="8">
      <w:start w:val="1"/>
      <w:numFmt w:val="decimal"/>
      <w:lvlText w:val="%9"/>
      <w:lvlJc w:val="left"/>
      <w:pPr>
        <w:ind w:hanging="360" w:left="3600"/>
      </w:pPr>
    </w:lvl>
  </w:abstractNum>
  <w:abstractNum w:abstractNumId="13">
    <w:lvl w:ilvl="0">
      <w:start w:val="1"/>
      <w:numFmt w:val="none"/>
      <w:suff w:val="nothing"/>
      <w:lvlText w:val=""/>
      <w:lvlJc w:val="left"/>
      <w:pPr>
        <w:tabs>
          <w:tab w:pos="432" w:val="num"/>
        </w:tabs>
        <w:ind w:hanging="432" w:left="432"/>
      </w:pPr>
    </w:lvl>
    <w:lvl w:ilvl="1">
      <w:start w:val="1"/>
      <w:numFmt w:val="none"/>
      <w:suff w:val="nothing"/>
      <w:lvlText w:val=""/>
      <w:lvlJc w:val="left"/>
      <w:pPr>
        <w:tabs>
          <w:tab w:pos="576" w:val="num"/>
        </w:tabs>
        <w:ind w:hanging="576" w:left="576"/>
      </w:pPr>
    </w:lvl>
    <w:lvl w:ilvl="2">
      <w:start w:val="1"/>
      <w:numFmt w:val="none"/>
      <w:suff w:val="nothing"/>
      <w:lvlText w:val=""/>
      <w:lvlJc w:val="left"/>
      <w:pPr>
        <w:tabs>
          <w:tab w:pos="720" w:val="num"/>
        </w:tabs>
        <w:ind w:hanging="720" w:left="720"/>
      </w:pPr>
    </w:lvl>
    <w:lvl w:ilvl="3">
      <w:start w:val="1"/>
      <w:numFmt w:val="none"/>
      <w:suff w:val="nothing"/>
      <w:lvlText w:val=""/>
      <w:lvlJc w:val="left"/>
      <w:pPr>
        <w:tabs>
          <w:tab w:pos="864" w:val="num"/>
        </w:tabs>
        <w:ind w:hanging="864" w:left="864"/>
      </w:pPr>
    </w:lvl>
    <w:lvl w:ilvl="4">
      <w:start w:val="1"/>
      <w:numFmt w:val="none"/>
      <w:suff w:val="nothing"/>
      <w:lvlText w:val=""/>
      <w:lvlJc w:val="left"/>
      <w:pPr>
        <w:tabs>
          <w:tab w:pos="1008" w:val="num"/>
        </w:tabs>
        <w:ind w:hanging="1008" w:left="1008"/>
      </w:pPr>
    </w:lvl>
    <w:lvl w:ilvl="5">
      <w:start w:val="1"/>
      <w:numFmt w:val="none"/>
      <w:suff w:val="nothing"/>
      <w:lvlText w:val=""/>
      <w:lvlJc w:val="left"/>
      <w:pPr>
        <w:tabs>
          <w:tab w:pos="1152" w:val="num"/>
        </w:tabs>
        <w:ind w:hanging="1152" w:left="1152"/>
      </w:pPr>
    </w:lvl>
    <w:lvl w:ilvl="6">
      <w:start w:val="1"/>
      <w:numFmt w:val="none"/>
      <w:suff w:val="nothing"/>
      <w:lvlText w:val=""/>
      <w:lvlJc w:val="left"/>
      <w:pPr>
        <w:tabs>
          <w:tab w:pos="1296" w:val="num"/>
        </w:tabs>
        <w:ind w:hanging="1296" w:left="1296"/>
      </w:pPr>
    </w:lvl>
    <w:lvl w:ilvl="7">
      <w:start w:val="1"/>
      <w:numFmt w:val="none"/>
      <w:suff w:val="nothing"/>
      <w:lvlText w:val=""/>
      <w:lvlJc w:val="left"/>
      <w:pPr>
        <w:tabs>
          <w:tab w:pos="1440" w:val="num"/>
        </w:tabs>
        <w:ind w:hanging="1440" w:left="1440"/>
      </w:pPr>
    </w:lvl>
    <w:lvl w:ilvl="8">
      <w:start w:val="1"/>
      <w:numFmt w:val="none"/>
      <w:suff w:val="nothing"/>
      <w:lvlText w:val=""/>
      <w:lvlJc w:val="left"/>
      <w:pPr>
        <w:tabs>
          <w:tab w:pos="1584" w:val="num"/>
        </w:tabs>
        <w:ind w:hanging="1584" w:left="1584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w="http://schemas.openxmlformats.org/wordprocessingml/2006/main">
  <w:zoom w:percent="100"/>
  <w:defaultTabStop w:val="709"/>
</w:settings>
</file>

<file path=word/styles.xml><?xml version="1.0" encoding="utf-8"?>
<w:styles xmlns:w="http://schemas.openxmlformats.org/wordprocessingml/2006/main">
  <w:style w:styleId="style0" w:type="paragraph">
    <w:name w:val="Domyślnie"/>
    <w:next w:val="style0"/>
    <w:pPr>
      <w:widowControl/>
      <w:suppressAutoHyphens w:val="true"/>
      <w:kinsoku w:val="true"/>
      <w:overflowPunct w:val="true"/>
      <w:autoSpaceDE w:val="true"/>
      <w:spacing w:after="0" w:before="0" w:line="100" w:lineRule="atLeast"/>
      <w:contextualSpacing w:val="false"/>
    </w:pPr>
    <w:rPr>
      <w:rFonts w:ascii="Times New Roman" w:cs="Times New Roman" w:eastAsia="Times New Roman" w:hAnsi="Times New Roman"/>
      <w:color w:val="auto"/>
      <w:sz w:val="24"/>
      <w:szCs w:val="20"/>
      <w:lang w:bidi="hi-IN" w:eastAsia="zh-CN" w:val="pl-PL"/>
    </w:rPr>
  </w:style>
  <w:style w:styleId="style15" w:type="character">
    <w:name w:val="Default Paragraph Font"/>
    <w:next w:val="style15"/>
    <w:rPr/>
  </w:style>
  <w:style w:styleId="style16" w:type="character">
    <w:name w:val="tabulatory"/>
    <w:next w:val="style16"/>
    <w:rPr/>
  </w:style>
  <w:style w:styleId="style17" w:type="character">
    <w:name w:val="apple-converted-space"/>
    <w:next w:val="style17"/>
    <w:rPr/>
  </w:style>
  <w:style w:styleId="style18" w:type="character">
    <w:name w:val="Łącze internetowe"/>
    <w:next w:val="style18"/>
    <w:rPr>
      <w:color w:val="000080"/>
      <w:u w:val="single"/>
      <w:lang w:bidi="zxx-" w:eastAsia="zxx-" w:val="zxx-"/>
    </w:rPr>
  </w:style>
  <w:style w:styleId="style19" w:type="character">
    <w:name w:val="Stopka Znak"/>
    <w:basedOn w:val="style15"/>
    <w:next w:val="style19"/>
    <w:rPr>
      <w:rFonts w:ascii="Times New Roman" w:cs="Times New Roman" w:eastAsia="Arial Unicode MS" w:hAnsi="Times New Roman"/>
      <w:sz w:val="24"/>
      <w:szCs w:val="24"/>
    </w:rPr>
  </w:style>
  <w:style w:styleId="style20" w:type="character">
    <w:name w:val="Tekst treści (2)_"/>
    <w:next w:val="style20"/>
    <w:rPr>
      <w:shd w:fill="FFFFFF" w:val="clear"/>
    </w:rPr>
  </w:style>
  <w:style w:styleId="style21" w:type="character">
    <w:name w:val="Tekst dymka Znak"/>
    <w:basedOn w:val="style15"/>
    <w:next w:val="style21"/>
    <w:rPr>
      <w:rFonts w:ascii="Segoe UI" w:cs="Segoe UI" w:eastAsia="Arial Unicode MS" w:hAnsi="Segoe UI"/>
      <w:sz w:val="18"/>
      <w:szCs w:val="18"/>
    </w:rPr>
  </w:style>
  <w:style w:styleId="style22" w:type="character">
    <w:name w:val="ListLabel 1"/>
    <w:next w:val="style22"/>
    <w:rPr>
      <w:b w:val="false"/>
    </w:rPr>
  </w:style>
  <w:style w:styleId="style23" w:type="character">
    <w:name w:val="ListLabel 2"/>
    <w:next w:val="style23"/>
    <w:rPr>
      <w:rFonts w:cs="StarSymbol"/>
    </w:rPr>
  </w:style>
  <w:style w:styleId="style24" w:type="character">
    <w:name w:val="ListLabel 3"/>
    <w:next w:val="style24"/>
    <w:rPr>
      <w:b w:val="false"/>
      <w:bCs w:val="false"/>
    </w:rPr>
  </w:style>
  <w:style w:styleId="style25" w:type="character">
    <w:name w:val="ListLabel 4"/>
    <w:next w:val="style25"/>
    <w:rPr>
      <w:rFonts w:cs="Times New Roman"/>
      <w:sz w:val="24"/>
    </w:rPr>
  </w:style>
  <w:style w:styleId="style26" w:type="character">
    <w:name w:val="ListLabel 5"/>
    <w:next w:val="style26"/>
    <w:rPr>
      <w:rFonts w:cs="Courier New"/>
    </w:rPr>
  </w:style>
  <w:style w:styleId="style27" w:type="character">
    <w:name w:val="ListLabel 6"/>
    <w:next w:val="style27"/>
    <w:rPr>
      <w:rFonts w:cs="Wingdings"/>
      <w:sz w:val="24"/>
    </w:rPr>
  </w:style>
  <w:style w:styleId="style28" w:type="character">
    <w:name w:val="ListLabel 7"/>
    <w:next w:val="style28"/>
    <w:rPr>
      <w:rFonts w:cs="Symbol"/>
      <w:sz w:val="24"/>
    </w:rPr>
  </w:style>
  <w:style w:styleId="style29" w:type="character">
    <w:name w:val="ListLabel 8"/>
    <w:next w:val="style29"/>
    <w:rPr>
      <w:rFonts w:cs="Times New Roman" w:eastAsia="Times New Roman"/>
      <w:b w:val="false"/>
      <w:bCs w:val="false"/>
      <w:i w:val="false"/>
      <w:iCs w:val="false"/>
      <w:caps w:val="false"/>
      <w:smallCaps w:val="false"/>
      <w:strike w:val="false"/>
      <w:dstrike w:val="false"/>
      <w:color w:val="000000"/>
      <w:spacing w:val="0"/>
      <w:w w:val="100"/>
      <w:sz w:val="24"/>
      <w:szCs w:val="24"/>
      <w:u w:val="none"/>
      <w:lang w:bidi="pl-PL" w:eastAsia="pl-PL" w:val="pl-PL"/>
    </w:rPr>
  </w:style>
  <w:style w:styleId="style30" w:type="character">
    <w:name w:val="Tekst treści (4) Exact"/>
    <w:next w:val="style30"/>
    <w:rPr>
      <w:rFonts w:ascii="Arial Narrow" w:cs="Arial Narrow" w:eastAsia="Arial Narrow" w:hAnsi="Arial Narrow"/>
      <w:b/>
      <w:bCs/>
      <w:sz w:val="14"/>
      <w:szCs w:val="14"/>
      <w:shd w:fill="FFFFFF" w:val="clear"/>
    </w:rPr>
  </w:style>
  <w:style w:styleId="style31" w:type="character">
    <w:name w:val="Wyróżnienie"/>
    <w:next w:val="style31"/>
    <w:rPr>
      <w:i/>
      <w:iCs/>
    </w:rPr>
  </w:style>
  <w:style w:styleId="style32" w:type="character">
    <w:name w:val="ListLabel 251"/>
    <w:next w:val="style32"/>
    <w:rPr>
      <w:b w:val="false"/>
      <w:bCs/>
      <w:i w:val="false"/>
      <w:iCs w:val="false"/>
      <w:caps w:val="false"/>
      <w:smallCaps w:val="false"/>
      <w:strike w:val="false"/>
      <w:dstrike w:val="false"/>
      <w:color w:val="000000"/>
      <w:spacing w:val="0"/>
      <w:w w:val="100"/>
      <w:sz w:val="24"/>
      <w:szCs w:val="20"/>
      <w:u w:val="none"/>
    </w:rPr>
  </w:style>
  <w:style w:styleId="style33" w:type="character">
    <w:name w:val="ListLabel 241"/>
    <w:next w:val="style33"/>
    <w:rPr>
      <w:b/>
      <w:bCs w:val="false"/>
      <w:i w:val="false"/>
      <w:iCs w:val="false"/>
      <w:caps w:val="false"/>
      <w:smallCaps w:val="false"/>
      <w:strike w:val="false"/>
      <w:dstrike w:val="false"/>
      <w:color w:val="000000"/>
      <w:spacing w:val="0"/>
      <w:w w:val="100"/>
      <w:sz w:val="24"/>
      <w:szCs w:val="20"/>
      <w:u w:val="none"/>
    </w:rPr>
  </w:style>
  <w:style w:styleId="style34" w:type="character">
    <w:name w:val="ListLabel 240"/>
    <w:next w:val="style34"/>
    <w:rPr>
      <w:rFonts w:cs="Arial"/>
      <w:b/>
      <w:bCs w:val="false"/>
      <w:i w:val="false"/>
      <w:iCs w:val="false"/>
      <w:caps w:val="false"/>
      <w:smallCaps w:val="false"/>
      <w:strike w:val="false"/>
      <w:dstrike w:val="false"/>
      <w:color w:val="000000"/>
      <w:spacing w:val="0"/>
      <w:w w:val="100"/>
      <w:sz w:val="24"/>
      <w:szCs w:val="20"/>
      <w:u w:val="none"/>
    </w:rPr>
  </w:style>
  <w:style w:styleId="style35" w:type="character">
    <w:name w:val="ListLabel 245"/>
    <w:next w:val="style35"/>
    <w:rPr>
      <w:sz w:val="24"/>
    </w:rPr>
  </w:style>
  <w:style w:styleId="style36" w:type="character">
    <w:name w:val="ListLabel 247"/>
    <w:next w:val="style36"/>
    <w:rPr>
      <w:rFonts w:cs="Symbol"/>
      <w:sz w:val="24"/>
    </w:rPr>
  </w:style>
  <w:style w:styleId="style37" w:type="character">
    <w:name w:val="ListLabel 246"/>
    <w:next w:val="style37"/>
    <w:rPr>
      <w:rFonts w:cs="Wingdings"/>
      <w:sz w:val="24"/>
    </w:rPr>
  </w:style>
  <w:style w:styleId="style38" w:type="character">
    <w:name w:val="ListLabel 254"/>
    <w:next w:val="style38"/>
    <w:rPr>
      <w:rFonts w:cs="Courier New"/>
    </w:rPr>
  </w:style>
  <w:style w:styleId="style39" w:type="character">
    <w:name w:val="ListLabel 252"/>
    <w:next w:val="style39"/>
    <w:rPr>
      <w:rFonts w:cs="Times New Roman"/>
      <w:sz w:val="24"/>
    </w:rPr>
  </w:style>
  <w:style w:styleId="style40" w:type="character">
    <w:name w:val="Symbole wypunktowania"/>
    <w:next w:val="style40"/>
    <w:rPr>
      <w:rFonts w:ascii="OpenSymbol;Arial Unicode MS" w:cs="OpenSymbol;Arial Unicode MS" w:eastAsia="OpenSymbol;Arial Unicode MS" w:hAnsi="OpenSymbol;Arial Unicode MS"/>
    </w:rPr>
  </w:style>
  <w:style w:styleId="style41" w:type="character">
    <w:name w:val="Znaki numeracji"/>
    <w:next w:val="style41"/>
    <w:rPr>
      <w:b w:val="false"/>
      <w:bCs w:val="false"/>
    </w:rPr>
  </w:style>
  <w:style w:styleId="style42" w:type="character">
    <w:name w:val="WW8Num11z0"/>
    <w:next w:val="style42"/>
    <w:rPr>
      <w:rFonts w:ascii="StarSymbol;Arial Unicode MS" w:cs="StarSymbol;Arial Unicode MS" w:hAnsi="StarSymbol;Arial Unicode MS"/>
    </w:rPr>
  </w:style>
  <w:style w:styleId="style43" w:type="character">
    <w:name w:val="Absatz-Standardschriftart"/>
    <w:next w:val="style43"/>
    <w:rPr/>
  </w:style>
  <w:style w:styleId="style44" w:type="character">
    <w:name w:val="WW8Num18z2"/>
    <w:next w:val="style44"/>
    <w:rPr>
      <w:b w:val="false"/>
      <w:bCs/>
      <w:i w:val="false"/>
      <w:iCs w:val="false"/>
      <w:caps w:val="false"/>
      <w:smallCaps w:val="false"/>
      <w:strike w:val="false"/>
      <w:dstrike w:val="false"/>
      <w:color w:val="000000"/>
      <w:spacing w:val="0"/>
      <w:w w:val="100"/>
      <w:sz w:val="24"/>
      <w:szCs w:val="20"/>
      <w:u w:val="none"/>
    </w:rPr>
  </w:style>
  <w:style w:styleId="style45" w:type="character">
    <w:name w:val="WW8Num18z1"/>
    <w:next w:val="style45"/>
    <w:rPr>
      <w:b/>
      <w:bCs w:val="false"/>
      <w:i w:val="false"/>
      <w:iCs w:val="false"/>
      <w:caps w:val="false"/>
      <w:smallCaps w:val="false"/>
      <w:strike w:val="false"/>
      <w:dstrike w:val="false"/>
      <w:color w:val="000000"/>
      <w:spacing w:val="0"/>
      <w:w w:val="100"/>
      <w:sz w:val="24"/>
      <w:szCs w:val="20"/>
      <w:u w:val="none"/>
    </w:rPr>
  </w:style>
  <w:style w:styleId="style46" w:type="character">
    <w:name w:val="WW8Num17z3"/>
    <w:next w:val="style46"/>
    <w:rPr>
      <w:rFonts w:ascii="Symbol" w:cs="Symbol" w:hAnsi="Symbol"/>
      <w:sz w:val="24"/>
    </w:rPr>
  </w:style>
  <w:style w:styleId="style47" w:type="character">
    <w:name w:val="WW8Num17z2"/>
    <w:next w:val="style47"/>
    <w:rPr>
      <w:rFonts w:ascii="Wingdings" w:cs="Wingdings" w:hAnsi="Wingdings"/>
      <w:sz w:val="24"/>
    </w:rPr>
  </w:style>
  <w:style w:styleId="style48" w:type="character">
    <w:name w:val="WW8Num17z1"/>
    <w:next w:val="style48"/>
    <w:rPr>
      <w:sz w:val="24"/>
    </w:rPr>
  </w:style>
  <w:style w:styleId="style49" w:type="character">
    <w:name w:val="WW8Num15z1"/>
    <w:next w:val="style49"/>
    <w:rPr>
      <w:rFonts w:ascii="Times New Roman" w:cs="Times New Roman" w:hAnsi="Times New Roman"/>
      <w:sz w:val="24"/>
    </w:rPr>
  </w:style>
  <w:style w:styleId="style50" w:type="character">
    <w:name w:val="Domyślna czcionka akapitu"/>
    <w:next w:val="style50"/>
    <w:rPr/>
  </w:style>
  <w:style w:styleId="style51" w:type="character">
    <w:name w:val="WW8Num19z0"/>
    <w:next w:val="style51"/>
    <w:rPr>
      <w:rFonts w:ascii="Times New Roman" w:cs="Times New Roman" w:eastAsia="Times New Roman" w:hAnsi="Times New Roman"/>
      <w:b w:val="false"/>
      <w:bCs w:val="false"/>
      <w:i w:val="false"/>
      <w:iCs w:val="false"/>
      <w:caps w:val="false"/>
      <w:smallCaps w:val="false"/>
      <w:strike w:val="false"/>
      <w:dstrike w:val="false"/>
      <w:color w:val="000000"/>
      <w:spacing w:val="0"/>
      <w:w w:val="100"/>
      <w:position w:val="0"/>
      <w:sz w:val="24"/>
      <w:sz w:val="24"/>
      <w:szCs w:val="24"/>
      <w:u w:val="none"/>
      <w:vertAlign w:val="baseline"/>
      <w:lang w:bidi="pl-PL" w:val="pl-PL"/>
    </w:rPr>
  </w:style>
  <w:style w:styleId="style52" w:type="character">
    <w:name w:val="WW8Num18z0"/>
    <w:next w:val="style52"/>
    <w:rPr>
      <w:rFonts w:ascii="Arial" w:cs="Arial" w:hAnsi="Arial"/>
      <w:b/>
      <w:bCs w:val="false"/>
      <w:i w:val="false"/>
      <w:iCs w:val="false"/>
      <w:caps w:val="false"/>
      <w:smallCaps w:val="false"/>
      <w:strike w:val="false"/>
      <w:dstrike w:val="false"/>
      <w:color w:val="000000"/>
      <w:spacing w:val="0"/>
      <w:w w:val="100"/>
      <w:sz w:val="24"/>
      <w:szCs w:val="20"/>
      <w:u w:val="none"/>
    </w:rPr>
  </w:style>
  <w:style w:styleId="style53" w:type="character">
    <w:name w:val="WW8Num16z3"/>
    <w:next w:val="style53"/>
    <w:rPr>
      <w:rFonts w:ascii="Symbol" w:cs="Symbol" w:hAnsi="Symbol"/>
      <w:sz w:val="24"/>
    </w:rPr>
  </w:style>
  <w:style w:styleId="style54" w:type="character">
    <w:name w:val="WW8Num16z2"/>
    <w:next w:val="style54"/>
    <w:rPr>
      <w:rFonts w:ascii="Wingdings" w:cs="Wingdings" w:hAnsi="Wingdings"/>
      <w:sz w:val="24"/>
    </w:rPr>
  </w:style>
  <w:style w:styleId="style55" w:type="character">
    <w:name w:val="WW8Num16z1"/>
    <w:next w:val="style55"/>
    <w:rPr>
      <w:rFonts w:ascii="Courier New" w:cs="Courier New" w:hAnsi="Courier New"/>
    </w:rPr>
  </w:style>
  <w:style w:styleId="style56" w:type="character">
    <w:name w:val="WW8Num16z0"/>
    <w:next w:val="style56"/>
    <w:rPr>
      <w:b w:val="false"/>
      <w:bCs w:val="false"/>
    </w:rPr>
  </w:style>
  <w:style w:styleId="style57" w:type="character">
    <w:name w:val="WW8Num13z0"/>
    <w:next w:val="style57"/>
    <w:rPr>
      <w:b w:val="false"/>
      <w:bCs w:val="false"/>
    </w:rPr>
  </w:style>
  <w:style w:styleId="style58" w:type="character">
    <w:name w:val="WW8Num15z0"/>
    <w:next w:val="style58"/>
    <w:rPr>
      <w:b w:val="false"/>
      <w:bCs w:val="false"/>
    </w:rPr>
  </w:style>
  <w:style w:styleId="style59" w:type="character">
    <w:name w:val="WW8Num14z0"/>
    <w:next w:val="style59"/>
    <w:rPr>
      <w:b w:val="false"/>
      <w:bCs w:val="false"/>
    </w:rPr>
  </w:style>
  <w:style w:styleId="style60" w:type="character">
    <w:name w:val="WW8Num12z0"/>
    <w:next w:val="style60"/>
    <w:rPr>
      <w:b w:val="false"/>
      <w:bCs w:val="false"/>
    </w:rPr>
  </w:style>
  <w:style w:styleId="style61" w:type="character">
    <w:name w:val="WW8Num10z0"/>
    <w:next w:val="style61"/>
    <w:rPr>
      <w:rFonts w:ascii="StarSymbol;Arial Unicode MS" w:cs="StarSymbol;Arial Unicode MS" w:hAnsi="StarSymbol;Arial Unicode MS"/>
    </w:rPr>
  </w:style>
  <w:style w:styleId="style62" w:type="character">
    <w:name w:val="WW8Num3z0"/>
    <w:next w:val="style62"/>
    <w:rPr>
      <w:rFonts w:ascii="StarSymbol;Arial Unicode MS" w:cs="StarSymbol;Arial Unicode MS" w:hAnsi="StarSymbol;Arial Unicode MS"/>
    </w:rPr>
  </w:style>
  <w:style w:styleId="style63" w:type="paragraph">
    <w:name w:val="Nagłówek"/>
    <w:basedOn w:val="style0"/>
    <w:next w:val="style64"/>
    <w:pPr>
      <w:keepNext/>
      <w:spacing w:after="120" w:before="240"/>
      <w:contextualSpacing w:val="false"/>
    </w:pPr>
    <w:rPr>
      <w:rFonts w:ascii="Arial" w:cs="Mangal" w:eastAsia="Arial Unicode MS" w:hAnsi="Arial"/>
      <w:sz w:val="28"/>
      <w:szCs w:val="28"/>
    </w:rPr>
  </w:style>
  <w:style w:styleId="style64" w:type="paragraph">
    <w:name w:val="Tekst"/>
    <w:basedOn w:val="style0"/>
    <w:next w:val="style64"/>
    <w:pPr>
      <w:spacing w:after="120" w:before="0"/>
      <w:contextualSpacing w:val="false"/>
    </w:pPr>
    <w:rPr/>
  </w:style>
  <w:style w:styleId="style65" w:type="paragraph">
    <w:name w:val="Lista"/>
    <w:basedOn w:val="style64"/>
    <w:next w:val="style65"/>
    <w:pPr/>
    <w:rPr>
      <w:rFonts w:cs="Mangal"/>
    </w:rPr>
  </w:style>
  <w:style w:styleId="style66" w:type="paragraph">
    <w:name w:val="Podpis"/>
    <w:basedOn w:val="style0"/>
    <w:next w:val="style66"/>
    <w:pPr>
      <w:suppressLineNumbers/>
      <w:spacing w:after="120" w:before="120"/>
      <w:contextualSpacing w:val="false"/>
    </w:pPr>
    <w:rPr>
      <w:rFonts w:cs="Mangal"/>
      <w:i/>
      <w:iCs/>
      <w:sz w:val="24"/>
      <w:szCs w:val="24"/>
    </w:rPr>
  </w:style>
  <w:style w:styleId="style67" w:type="paragraph">
    <w:name w:val="Indeks"/>
    <w:basedOn w:val="style0"/>
    <w:next w:val="style67"/>
    <w:pPr>
      <w:suppressLineNumbers/>
    </w:pPr>
    <w:rPr>
      <w:rFonts w:cs="Mangal"/>
    </w:rPr>
  </w:style>
  <w:style w:styleId="style68" w:type="paragraph">
    <w:name w:val="Normalny1"/>
    <w:next w:val="style68"/>
    <w:pPr>
      <w:widowControl/>
      <w:suppressAutoHyphens w:val="true"/>
      <w:kinsoku w:val="true"/>
      <w:overflowPunct w:val="true"/>
      <w:autoSpaceDE w:val="true"/>
      <w:spacing w:after="0" w:before="0" w:line="100" w:lineRule="atLeast"/>
      <w:contextualSpacing w:val="false"/>
    </w:pPr>
    <w:rPr>
      <w:rFonts w:ascii="Times New Roman" w:cs="Times New Roman" w:eastAsia="Times New Roman" w:hAnsi="Times New Roman"/>
      <w:color w:val="auto"/>
      <w:sz w:val="24"/>
      <w:szCs w:val="20"/>
      <w:lang w:bidi="hi-IN" w:eastAsia="zh-CN" w:val="pl-PL"/>
    </w:rPr>
  </w:style>
  <w:style w:styleId="style69" w:type="paragraph">
    <w:name w:val="Stopka"/>
    <w:basedOn w:val="style0"/>
    <w:next w:val="style69"/>
    <w:pPr>
      <w:suppressLineNumbers/>
      <w:tabs>
        <w:tab w:leader="none" w:pos="4819" w:val="center"/>
        <w:tab w:leader="none" w:pos="9638" w:val="right"/>
      </w:tabs>
    </w:pPr>
    <w:rPr/>
  </w:style>
  <w:style w:styleId="style70" w:type="paragraph">
    <w:name w:val="Tekst podstawowy 22"/>
    <w:basedOn w:val="style0"/>
    <w:next w:val="style70"/>
    <w:pPr>
      <w:jc w:val="center"/>
    </w:pPr>
    <w:rPr>
      <w:b/>
      <w:lang w:eastAsia="zh-CN"/>
    </w:rPr>
  </w:style>
  <w:style w:styleId="style71" w:type="paragraph">
    <w:name w:val="Normalny2"/>
    <w:next w:val="style71"/>
    <w:pPr>
      <w:widowControl/>
      <w:suppressAutoHyphens w:val="true"/>
      <w:kinsoku w:val="true"/>
      <w:overflowPunct w:val="true"/>
      <w:autoSpaceDE w:val="true"/>
      <w:spacing w:after="0" w:before="0" w:line="100" w:lineRule="atLeast"/>
      <w:contextualSpacing w:val="false"/>
    </w:pPr>
    <w:rPr>
      <w:rFonts w:ascii="Times New Roman" w:cs="Times New Roman" w:eastAsia="Times New Roman" w:hAnsi="Times New Roman"/>
      <w:color w:val="auto"/>
      <w:sz w:val="24"/>
      <w:szCs w:val="20"/>
      <w:lang w:bidi="hi-IN" w:eastAsia="pl-PL" w:val="en-US"/>
    </w:rPr>
  </w:style>
  <w:style w:styleId="style72" w:type="paragraph">
    <w:name w:val="List Paragraph"/>
    <w:basedOn w:val="style0"/>
    <w:next w:val="style72"/>
    <w:pPr>
      <w:spacing w:after="0" w:before="0"/>
      <w:ind w:hanging="0" w:left="720" w:right="0"/>
      <w:contextualSpacing/>
    </w:pPr>
    <w:rPr/>
  </w:style>
  <w:style w:styleId="style73" w:type="paragraph">
    <w:name w:val="Tekst treści (2)"/>
    <w:basedOn w:val="style0"/>
    <w:next w:val="style73"/>
    <w:pPr>
      <w:shd w:fill="FFFFFF" w:val="clear"/>
      <w:suppressAutoHyphens w:val="false"/>
      <w:spacing w:line="413" w:lineRule="exact"/>
      <w:ind w:hanging="340" w:left="0" w:right="0"/>
      <w:jc w:val="both"/>
    </w:pPr>
    <w:rPr>
      <w:rFonts w:ascii="Calibri" w:cs="Calibri" w:hAnsi="Calibri"/>
      <w:sz w:val="22"/>
      <w:szCs w:val="22"/>
    </w:rPr>
  </w:style>
  <w:style w:styleId="style74" w:type="paragraph">
    <w:name w:val="Balloon Text"/>
    <w:basedOn w:val="style0"/>
    <w:next w:val="style74"/>
    <w:pPr/>
    <w:rPr>
      <w:rFonts w:ascii="Segoe UI" w:cs="Segoe UI" w:hAnsi="Segoe UI"/>
      <w:sz w:val="18"/>
      <w:szCs w:val="18"/>
    </w:rPr>
  </w:style>
  <w:style w:styleId="style75" w:type="paragraph">
    <w:name w:val="Tekst dymka"/>
    <w:basedOn w:val="style0"/>
    <w:next w:val="style75"/>
    <w:pPr/>
    <w:rPr>
      <w:rFonts w:ascii="Segoe UI" w:cs="Segoe UI" w:hAnsi="Segoe UI"/>
      <w:sz w:val="18"/>
      <w:szCs w:val="18"/>
    </w:rPr>
  </w:style>
  <w:style w:styleId="style76" w:type="paragraph">
    <w:name w:val="Tekst treści (4)"/>
    <w:basedOn w:val="style0"/>
    <w:next w:val="style76"/>
    <w:pPr>
      <w:shd w:fill="FFFFFF" w:val="clear"/>
      <w:suppressAutoHyphens w:val="false"/>
      <w:spacing w:lineRule="auto"/>
    </w:pPr>
    <w:rPr>
      <w:rFonts w:ascii="Arial Narrow" w:cs="Arial Narrow" w:eastAsia="Arial Narrow" w:hAnsi="Arial Narrow"/>
      <w:b/>
      <w:bCs/>
      <w:sz w:val="14"/>
      <w:szCs w:val="14"/>
    </w:rPr>
  </w:style>
  <w:style w:styleId="style77" w:type="paragraph">
    <w:name w:val="WW-Normal1"/>
    <w:next w:val="style77"/>
    <w:pPr>
      <w:widowControl/>
      <w:suppressAutoHyphens w:val="true"/>
      <w:kinsoku w:val="true"/>
      <w:overflowPunct w:val="true"/>
      <w:autoSpaceDE w:val="true"/>
      <w:spacing w:after="160" w:before="0" w:line="256" w:lineRule="auto"/>
      <w:contextualSpacing w:val="false"/>
    </w:pPr>
    <w:rPr>
      <w:rFonts w:ascii="Times New Roman" w:cs="Times New Roman" w:eastAsia="Times New Roman" w:hAnsi="Times New Roman"/>
      <w:color w:val="auto"/>
      <w:sz w:val="24"/>
      <w:szCs w:val="20"/>
      <w:lang w:bidi="ar-SA" w:eastAsia="zh-CN" w:val="zxx-"/>
    </w:rPr>
  </w:style>
  <w:style w:styleId="style78" w:type="paragraph">
    <w:name w:val="Tekst podstawowy wcięty 21"/>
    <w:basedOn w:val="style0"/>
    <w:next w:val="style78"/>
    <w:pPr>
      <w:ind w:hanging="284" w:left="284" w:right="0"/>
    </w:pPr>
    <w:rPr/>
  </w:style>
  <w:style w:styleId="style79" w:type="paragraph">
    <w:name w:val="Tabela"/>
    <w:basedOn w:val="style82"/>
    <w:next w:val="style79"/>
    <w:pPr/>
    <w:rPr/>
  </w:style>
  <w:style w:styleId="style80" w:type="paragraph">
    <w:name w:val="Normal"/>
    <w:next w:val="style80"/>
    <w:pPr>
      <w:widowControl/>
      <w:suppressAutoHyphens w:val="true"/>
      <w:kinsoku w:val="true"/>
      <w:overflowPunct w:val="true"/>
      <w:autoSpaceDE w:val="true"/>
      <w:spacing w:after="160" w:before="0" w:line="256" w:lineRule="auto"/>
      <w:contextualSpacing w:val="false"/>
    </w:pPr>
    <w:rPr>
      <w:rFonts w:ascii="Times New Roman" w:cs="Times New Roman" w:eastAsia="Times New Roman" w:hAnsi="Times New Roman"/>
      <w:color w:val="auto"/>
      <w:sz w:val="24"/>
      <w:szCs w:val="20"/>
      <w:lang w:bidi="ar-SA" w:eastAsia="zh-CN" w:val="zxx-"/>
    </w:rPr>
  </w:style>
  <w:style w:styleId="style81" w:type="paragraph">
    <w:name w:val="Główka"/>
    <w:basedOn w:val="style0"/>
    <w:next w:val="style64"/>
    <w:pPr>
      <w:keepNext/>
      <w:spacing w:after="120" w:before="240"/>
      <w:contextualSpacing w:val="false"/>
    </w:pPr>
    <w:rPr>
      <w:rFonts w:ascii="Arial" w:cs="Tahoma" w:eastAsia="MS Mincho;MS Gothic" w:hAnsi="Arial"/>
      <w:sz w:val="28"/>
      <w:szCs w:val="28"/>
    </w:rPr>
  </w:style>
  <w:style w:styleId="style82" w:type="paragraph">
    <w:name w:val="Legenda"/>
    <w:basedOn w:val="style0"/>
    <w:next w:val="style82"/>
    <w:pPr>
      <w:suppressLineNumbers/>
      <w:spacing w:after="120" w:before="120"/>
      <w:contextualSpacing w:val="false"/>
    </w:pPr>
    <w:rPr>
      <w:rFonts w:cs="Tahoma"/>
      <w:i/>
      <w:iCs/>
      <w:sz w:val="24"/>
      <w:szCs w:val="24"/>
    </w:rPr>
  </w:style>
  <w:style w:styleId="style83" w:type="paragraph">
    <w:name w:val="Nagłówek1"/>
    <w:basedOn w:val="style0"/>
    <w:next w:val="style64"/>
    <w:pPr>
      <w:keepNext/>
      <w:spacing w:after="120" w:before="240"/>
      <w:contextualSpacing w:val="false"/>
    </w:pPr>
    <w:rPr>
      <w:rFonts w:ascii="Arial" w:cs="Mangal" w:eastAsia="Arial Unicode MS" w:hAnsi="Arial"/>
      <w:sz w:val="28"/>
      <w:szCs w:val="2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ug-szumowo.pbip.pl/" TargetMode="Externa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336</TotalTime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terms:created xsi:type="dcterms:W3CDTF">2016-03-30T08:44:00.00Z</dcterms:created>
  <dc:creator>admin</dc:creator>
  <cp:lastModifiedBy>admin</cp:lastModifiedBy>
  <cp:lastPrinted>2016-04-01T11:32:00.00Z</cp:lastPrinted>
  <dcterms:modified xsi:type="dcterms:W3CDTF">2016-04-01T11:32:00.00Z</dcterms:modified>
  <cp:revision>13</cp:revision>
</cp:coreProperties>
</file>