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0F5B34">
      <w:pPr>
        <w:jc w:val="both"/>
        <w:rPr>
          <w:rFonts w:hint="default" w:ascii="宋体" w:hAnsi="宋体" w:eastAsia="宋体" w:cs="宋体"/>
          <w:b/>
          <w:bCs/>
          <w:color w:val="auto"/>
          <w:sz w:val="36"/>
          <w:szCs w:val="36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36"/>
          <w:szCs w:val="36"/>
          <w:lang w:val="en-US" w:eastAsia="zh-CN"/>
        </w:rPr>
        <w:t>附件1：</w:t>
      </w:r>
    </w:p>
    <w:p w14:paraId="15B6A55F">
      <w:pPr>
        <w:pStyle w:val="9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宋体" w:hAnsi="宋体" w:eastAsia="宋体" w:cs="宋体"/>
          <w:b/>
          <w:bCs/>
          <w:sz w:val="30"/>
          <w:szCs w:val="30"/>
          <w:u w:val="singl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0"/>
          <w:szCs w:val="30"/>
        </w:rPr>
        <w:t>项目</w:t>
      </w:r>
      <w:r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  <w:t>名称</w:t>
      </w:r>
      <w:r>
        <w:rPr>
          <w:rFonts w:hint="eastAsia" w:ascii="宋体" w:hAnsi="宋体" w:eastAsia="宋体" w:cs="宋体"/>
          <w:b/>
          <w:bCs/>
          <w:sz w:val="30"/>
          <w:szCs w:val="30"/>
        </w:rPr>
        <w:t>：</w:t>
      </w:r>
      <w:r>
        <w:rPr>
          <w:rFonts w:hint="eastAsia" w:ascii="宋体" w:hAnsi="宋体" w:eastAsia="宋体" w:cs="宋体"/>
          <w:b/>
          <w:bCs/>
          <w:sz w:val="30"/>
          <w:szCs w:val="30"/>
          <w:u w:val="single"/>
          <w:lang w:val="en-US" w:eastAsia="zh-CN"/>
        </w:rPr>
        <w:t>服装设计与工艺专业国家资源库《服装面料二次再造设计》课程建设</w:t>
      </w:r>
    </w:p>
    <w:tbl>
      <w:tblPr>
        <w:tblStyle w:val="6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2"/>
        <w:gridCol w:w="1323"/>
        <w:gridCol w:w="6066"/>
        <w:gridCol w:w="1209"/>
        <w:gridCol w:w="1210"/>
      </w:tblGrid>
      <w:tr w14:paraId="3CA2B4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4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FBA5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6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A945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Style w:val="13"/>
                <w:lang w:val="en-US" w:eastAsia="zh-CN" w:bidi="ar"/>
              </w:rPr>
              <w:t xml:space="preserve">项 </w:t>
            </w:r>
            <w:r>
              <w:rPr>
                <w:rStyle w:val="14"/>
                <w:rFonts w:eastAsia="宋体"/>
                <w:lang w:val="en-US" w:eastAsia="zh-CN" w:bidi="ar"/>
              </w:rPr>
              <w:t xml:space="preserve"> </w:t>
            </w:r>
            <w:r>
              <w:rPr>
                <w:rStyle w:val="13"/>
                <w:lang w:val="en-US" w:eastAsia="zh-CN" w:bidi="ar"/>
              </w:rPr>
              <w:t>目</w:t>
            </w:r>
          </w:p>
        </w:tc>
        <w:tc>
          <w:tcPr>
            <w:tcW w:w="28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FFF2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技术要求</w:t>
            </w:r>
          </w:p>
        </w:tc>
        <w:tc>
          <w:tcPr>
            <w:tcW w:w="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2EB8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单位</w:t>
            </w:r>
          </w:p>
        </w:tc>
        <w:tc>
          <w:tcPr>
            <w:tcW w:w="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F169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数量</w:t>
            </w:r>
          </w:p>
        </w:tc>
      </w:tr>
      <w:tr w14:paraId="4011F2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2" w:hRule="atLeast"/>
        </w:trPr>
        <w:tc>
          <w:tcPr>
            <w:tcW w:w="4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DD30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6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1007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课程概述</w:t>
            </w:r>
          </w:p>
        </w:tc>
        <w:tc>
          <w:tcPr>
            <w:tcW w:w="28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B3E2C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5-10分钟，含基本信息、课程设计、课程建设、课程实施、教学环境、教学效果和 特色创新之处等。视频中标注出镜人姓名、单位，课程负责人出镜时间不得少于 3分钟。采用MP4封装，视频帧率为25帧/秒，音频压缩采用AAC(MPEG4 Part3)格式， 采样率48KHz，音频码流率128Kbps 以上。</w:t>
            </w:r>
          </w:p>
        </w:tc>
        <w:tc>
          <w:tcPr>
            <w:tcW w:w="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DC20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个</w:t>
            </w:r>
          </w:p>
        </w:tc>
        <w:tc>
          <w:tcPr>
            <w:tcW w:w="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160C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</w:tr>
      <w:tr w14:paraId="63C228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2" w:hRule="atLeast"/>
        </w:trPr>
        <w:tc>
          <w:tcPr>
            <w:tcW w:w="4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E88F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</w:t>
            </w:r>
          </w:p>
        </w:tc>
        <w:tc>
          <w:tcPr>
            <w:tcW w:w="6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B784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课程标准</w:t>
            </w:r>
          </w:p>
        </w:tc>
        <w:tc>
          <w:tcPr>
            <w:tcW w:w="28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3E28D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指导课程建设及教学实施的规范性文件， 一般包括课程概述（性质、定位、设计思 路等） 、课程特点、教学目标、教学内容 与学时分配、模块教学设计、考核标准与 方式、教材与资源的选用、师资要求、教 学环境要求等内容。采用常见存储格式，如TXT、DOC、DOCX、PDF、RTF、HTM、HTML、XML等格式。</w:t>
            </w:r>
          </w:p>
        </w:tc>
        <w:tc>
          <w:tcPr>
            <w:tcW w:w="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82B5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份</w:t>
            </w:r>
          </w:p>
        </w:tc>
        <w:tc>
          <w:tcPr>
            <w:tcW w:w="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0A65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</w:tr>
      <w:tr w14:paraId="3E97C5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1" w:hRule="atLeast"/>
        </w:trPr>
        <w:tc>
          <w:tcPr>
            <w:tcW w:w="4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EEB1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</w:t>
            </w:r>
          </w:p>
        </w:tc>
        <w:tc>
          <w:tcPr>
            <w:tcW w:w="6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756B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课程介绍</w:t>
            </w:r>
          </w:p>
        </w:tc>
        <w:tc>
          <w:tcPr>
            <w:tcW w:w="28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FF48E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体现课程特色的介绍文档。 采用常见存储格式，如TXT、DOC、DOCX、PDF、RTF、HTM、HTML、XML等格式。</w:t>
            </w:r>
          </w:p>
        </w:tc>
        <w:tc>
          <w:tcPr>
            <w:tcW w:w="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EC11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份</w:t>
            </w:r>
          </w:p>
        </w:tc>
        <w:tc>
          <w:tcPr>
            <w:tcW w:w="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6CB8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</w:tr>
      <w:tr w14:paraId="400B4B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2" w:hRule="atLeast"/>
        </w:trPr>
        <w:tc>
          <w:tcPr>
            <w:tcW w:w="4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FB87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</w:t>
            </w:r>
          </w:p>
        </w:tc>
        <w:tc>
          <w:tcPr>
            <w:tcW w:w="6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0458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教学设计</w:t>
            </w:r>
          </w:p>
        </w:tc>
        <w:tc>
          <w:tcPr>
            <w:tcW w:w="28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F8B945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一般包括教学目标、 内容、方法、手段、 资源使用、评价考核等方面的内容。教学 设 计 的 颗 粒 度 可 以 是 模 块 ( 情境/项 目 等）、单元（任务等）、知识点/技能点。采用常见存储格式，如TXT、DOC、DOCX、PDF、RTF、HTM、HTML、XML等格式。</w:t>
            </w:r>
          </w:p>
        </w:tc>
        <w:tc>
          <w:tcPr>
            <w:tcW w:w="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E421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套</w:t>
            </w:r>
          </w:p>
        </w:tc>
        <w:tc>
          <w:tcPr>
            <w:tcW w:w="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E3EC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</w:tr>
      <w:tr w14:paraId="3FABE9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1" w:hRule="atLeast"/>
        </w:trPr>
        <w:tc>
          <w:tcPr>
            <w:tcW w:w="4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3EEE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</w:t>
            </w:r>
          </w:p>
        </w:tc>
        <w:tc>
          <w:tcPr>
            <w:tcW w:w="6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4BA3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PPT课件</w:t>
            </w:r>
          </w:p>
        </w:tc>
        <w:tc>
          <w:tcPr>
            <w:tcW w:w="28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150C28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演示文稿（PPT）要求集文字、图形、图像、声音以及视频等多种媒体元素于一体，一般不使用纯文字的演示文稿（PPT）。</w:t>
            </w:r>
          </w:p>
          <w:p w14:paraId="58BF9545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页面设置要求符合高清格式比例，幻灯片大小为“全屏显示16：9”。</w:t>
            </w:r>
          </w:p>
          <w:p w14:paraId="5C4777E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（3）整体效果应风格统一、色彩协调、美观大方。</w:t>
            </w:r>
          </w:p>
        </w:tc>
        <w:tc>
          <w:tcPr>
            <w:tcW w:w="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9B78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套</w:t>
            </w:r>
          </w:p>
        </w:tc>
        <w:tc>
          <w:tcPr>
            <w:tcW w:w="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FF29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</w:tr>
      <w:tr w14:paraId="1C65D3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4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7568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</w:t>
            </w:r>
          </w:p>
        </w:tc>
        <w:tc>
          <w:tcPr>
            <w:tcW w:w="6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9A99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二维动画</w:t>
            </w:r>
          </w:p>
        </w:tc>
        <w:tc>
          <w:tcPr>
            <w:tcW w:w="28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D9FA98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二维动画教学资源。以人物对话的形式，展现一个案例、事例、故事等,也可以是对知识的讲解进行展开，以MP4格式存储（时长不超过3分钟）讲解型的动画，或者以图文形式展现一个概念原理、发展流程、推演变化、组织结构、分类特征等抽象的知识具 象化；以MP4格式或SWF格式存储（时长不超过15秒）的原理型动画。可根据老师需求，进行合理的时长兑换与调整。</w:t>
            </w:r>
          </w:p>
        </w:tc>
        <w:tc>
          <w:tcPr>
            <w:tcW w:w="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3247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个</w:t>
            </w:r>
          </w:p>
        </w:tc>
        <w:tc>
          <w:tcPr>
            <w:tcW w:w="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7498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</w:t>
            </w:r>
          </w:p>
        </w:tc>
      </w:tr>
      <w:tr w14:paraId="0BE5F0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1" w:hRule="atLeast"/>
        </w:trPr>
        <w:tc>
          <w:tcPr>
            <w:tcW w:w="4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A510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</w:t>
            </w:r>
          </w:p>
        </w:tc>
        <w:tc>
          <w:tcPr>
            <w:tcW w:w="6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5717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题库</w:t>
            </w:r>
          </w:p>
        </w:tc>
        <w:tc>
          <w:tcPr>
            <w:tcW w:w="28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EE483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用于课内练习的习题或课后布置给学生完 成的作业；为评价考核学生的学习成果而 编制的试题，主要包含选择、判断、填空等形式，同时提供参考答案。采用常见存储格式，如TXT、DOC、DOCX、PDF、XSL、XSLX等格式。</w:t>
            </w:r>
          </w:p>
        </w:tc>
        <w:tc>
          <w:tcPr>
            <w:tcW w:w="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489A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道</w:t>
            </w:r>
          </w:p>
        </w:tc>
        <w:tc>
          <w:tcPr>
            <w:tcW w:w="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9456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300</w:t>
            </w:r>
          </w:p>
        </w:tc>
      </w:tr>
      <w:tr w14:paraId="5BC986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4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C10B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</w:t>
            </w:r>
          </w:p>
        </w:tc>
        <w:tc>
          <w:tcPr>
            <w:tcW w:w="6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B813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企业案例</w:t>
            </w:r>
          </w:p>
        </w:tc>
        <w:tc>
          <w:tcPr>
            <w:tcW w:w="28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3F5D3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可以用多种形式呈现。文本采用常见存储格式，如TXT、DOC、DOCX、PDF、RTF、HTM、HTML、XML等格式。视频采用MP4封装，视频帧率为25帧/秒，音频压缩采用AAC(MPEG4 Part3)格式， 采样率48KHz，音频码流率128Kbps以上。</w:t>
            </w:r>
          </w:p>
        </w:tc>
        <w:tc>
          <w:tcPr>
            <w:tcW w:w="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8E22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个</w:t>
            </w:r>
          </w:p>
        </w:tc>
        <w:tc>
          <w:tcPr>
            <w:tcW w:w="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3D22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</w:t>
            </w:r>
          </w:p>
        </w:tc>
      </w:tr>
      <w:tr w14:paraId="0505FC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1" w:hRule="atLeast"/>
        </w:trPr>
        <w:tc>
          <w:tcPr>
            <w:tcW w:w="4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9C80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</w:t>
            </w:r>
          </w:p>
        </w:tc>
        <w:tc>
          <w:tcPr>
            <w:tcW w:w="6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E137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教学视频</w:t>
            </w:r>
          </w:p>
        </w:tc>
        <w:tc>
          <w:tcPr>
            <w:tcW w:w="28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115BE9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根据知识点位单位进行拍摄或制作,每 个微课关联一个知识点，且该知识点没有 下属的子知识点。</w:t>
            </w:r>
          </w:p>
          <w:p w14:paraId="51973291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视频包含片头片尾，MP4格式5-15分钟 /个为宜； 可根据知识点或技能点调整时长。</w:t>
            </w:r>
          </w:p>
          <w:p w14:paraId="2F614EE5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资源类型选择多样化，视频、PPT、图片 集等均可构成一个微课的主体资源。</w:t>
            </w:r>
          </w:p>
          <w:p w14:paraId="1C5FBD68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采用MP4封装，视频帧率为25帧/秒，音频压缩采用AAC(MPEG4 Part3)格式， 采样率48KHz，音频码流率128Kbps 以上。</w:t>
            </w:r>
          </w:p>
        </w:tc>
        <w:tc>
          <w:tcPr>
            <w:tcW w:w="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60C6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个</w:t>
            </w:r>
          </w:p>
        </w:tc>
        <w:tc>
          <w:tcPr>
            <w:tcW w:w="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5A54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40</w:t>
            </w:r>
          </w:p>
        </w:tc>
      </w:tr>
      <w:tr w14:paraId="071C01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1" w:hRule="atLeast"/>
        </w:trPr>
        <w:tc>
          <w:tcPr>
            <w:tcW w:w="4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75A3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6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49B934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课程海报</w:t>
            </w:r>
          </w:p>
        </w:tc>
        <w:tc>
          <w:tcPr>
            <w:tcW w:w="28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3C109B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根据课程内容设计符合课程风格的封面； 应用于课程平台封面展示。采用常见存储格式，如GIF、PNG、JPG等。</w:t>
            </w:r>
          </w:p>
        </w:tc>
        <w:tc>
          <w:tcPr>
            <w:tcW w:w="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3757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张</w:t>
            </w:r>
          </w:p>
        </w:tc>
        <w:tc>
          <w:tcPr>
            <w:tcW w:w="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A257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</w:tr>
      <w:tr w14:paraId="0295D9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1" w:hRule="atLeast"/>
        </w:trPr>
        <w:tc>
          <w:tcPr>
            <w:tcW w:w="4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1E8D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6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4F15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服装设计智能文案制作学练系统使用服务使用服务</w:t>
            </w:r>
          </w:p>
        </w:tc>
        <w:tc>
          <w:tcPr>
            <w:tcW w:w="28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E1655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服装设计智能文案制作学练系统使用服务使用服务</w:t>
            </w:r>
          </w:p>
          <w:p w14:paraId="5840A409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智服装设计智能文案制作学练系统一年使用期服务，满足一个机房使用。</w:t>
            </w:r>
          </w:p>
          <w:p w14:paraId="676F034E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系统包含教师端服务、教师端讲课、学生端三个模块。</w:t>
            </w:r>
          </w:p>
          <w:p w14:paraId="3FD9562E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、智服装设计智能文案制作学练系统包含专题训练、综合试卷、随机试卷等功能。专题训练中实操题具有手把手教、视频教学及答案提示功能。其中专题训练中要求具有：单项选择题、Windows7基础操作、WPS2019文字应用、WPS2019表格应用、WPS 2019演示应用、程序设计（Python）、浏览器操作（IE）、邮件题、打字题等题型。选择题不少于400道，专题训练各题型的操作题不少于20道。能自动评分，且各模块操作题能分步骤得分（实操题目需要现场演示如何操作答题，视频无效）</w:t>
            </w:r>
          </w:p>
          <w:p w14:paraId="2A11AAC1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要求资源涵盖单项选择题、Windows7基础操作、WPS2019文字应用、WPS2019表格应用、WPS 2019演示应用、程序设计（Python）、浏览器操作（IE）、邮件题、打字题、程序设计（VB）、IP设置、IIS设置等题型，可以自由取消或勾选上述全部或部分题型，使学生只显示勾选上的题型进行练习，且能对各题型做题结果进行能自动评分，全部做对显示绿色、部分作答显示橙色，未作答显示灰色。（实操题目需要现场演示如何操作答题，视频无效）</w:t>
            </w:r>
          </w:p>
          <w:p w14:paraId="3CFE96EB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教师端服务中有正式考试和停止考试功能，教师自由安排考试。</w:t>
            </w:r>
          </w:p>
          <w:p w14:paraId="1D0CF98A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教师端服务包含专题训练监控、综合随机试卷监控，正式考试、查看成绩、备份还原等功能。专题训练监控能显示考生号、学籍号、IP地址、状态、最后连接时间、本次总分、查询学生机信息。</w:t>
            </w:r>
          </w:p>
          <w:p w14:paraId="44265E1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、教师端服务中综合随机试卷监控能显示学校信息（考试总人数、每场持续时间、已登录人数、未登录人数、已交卷人数）、考生信息（姓名、考试状态、试卷编号）、能显示每位考生的考生号、学籍号、班级、状态、登录时间、交卷时间、试卷编号、成绩；</w:t>
            </w:r>
          </w:p>
          <w:p w14:paraId="255E1EA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8、教师端服务中在考试过程中网络中断或机器蓝屏等意外故障时，通过双击右键可实现控制某个考生重考本次考试。（本功能需求现场演示，视频无效）</w:t>
            </w:r>
          </w:p>
          <w:p w14:paraId="4F99AD1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、AI创作技能与运营实战平台，包含文章扩写、文章创作与改写、写作文、写论文大纲、读书笔记、教育专家、英语口语大师、海报内容文案、志愿者填报模拟、中英互译、学生评语、数学解题助手、文言文大师、物理小帮手、学生学习助手、成语大师、巧记百词、书单整理推荐、学习计划制定、个性化教学、教学计划生成模块功能，包含开始创作关键词输入，字数分为500字以内、500-1000字、1000字以上三个档次，能在AI生成区自动写出关键相关的创作文案。</w:t>
            </w:r>
          </w:p>
        </w:tc>
        <w:tc>
          <w:tcPr>
            <w:tcW w:w="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D726B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项</w:t>
            </w:r>
          </w:p>
        </w:tc>
        <w:tc>
          <w:tcPr>
            <w:tcW w:w="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1D55A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1</w:t>
            </w:r>
          </w:p>
        </w:tc>
      </w:tr>
    </w:tbl>
    <w:p w14:paraId="7EEA7F9D">
      <w:pPr>
        <w:rPr>
          <w:rFonts w:hint="default" w:ascii="宋体" w:hAnsi="宋体" w:eastAsia="宋体" w:cs="宋体"/>
          <w:b/>
          <w:sz w:val="28"/>
          <w:szCs w:val="28"/>
          <w:lang w:val="en-US" w:eastAsia="zh-CN"/>
        </w:rPr>
      </w:pPr>
    </w:p>
    <w:sectPr>
      <w:footerReference r:id="rId3" w:type="default"/>
      <w:pgSz w:w="11906" w:h="16838"/>
      <w:pgMar w:top="720" w:right="720" w:bottom="720" w:left="72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swiss"/>
    <w:pitch w:val="default"/>
    <w:sig w:usb0="E0002AFF" w:usb1="C0007841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416C62">
    <w:pPr>
      <w:pStyle w:val="2"/>
      <w:tabs>
        <w:tab w:val="left" w:pos="4788"/>
        <w:tab w:val="clear" w:pos="4153"/>
      </w:tabs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CBF0C67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wiRJe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CBF0C67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lang w:eastAsia="zh-CN"/>
      </w:rPr>
      <w:tab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0ECBA9"/>
    <w:multiLevelType w:val="singleLevel"/>
    <w:tmpl w:val="850ECBA9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93BD48EB"/>
    <w:multiLevelType w:val="singleLevel"/>
    <w:tmpl w:val="93BD48E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A32E1FB4"/>
    <w:multiLevelType w:val="singleLevel"/>
    <w:tmpl w:val="A32E1FB4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VkNTVkZGYwYTVmOGJlNjQwMmUyNWZlNGY5MTYwNTQifQ=="/>
  </w:docVars>
  <w:rsids>
    <w:rsidRoot w:val="00000000"/>
    <w:rsid w:val="1CF55F48"/>
    <w:rsid w:val="34E1307F"/>
    <w:rsid w:val="491738A9"/>
    <w:rsid w:val="5B575128"/>
    <w:rsid w:val="62455728"/>
    <w:rsid w:val="63BE551E"/>
    <w:rsid w:val="64442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toc 1"/>
    <w:basedOn w:val="1"/>
    <w:next w:val="1"/>
    <w:qFormat/>
    <w:uiPriority w:val="0"/>
  </w:style>
  <w:style w:type="paragraph" w:styleId="5">
    <w:name w:val="toc 2"/>
    <w:basedOn w:val="1"/>
    <w:next w:val="1"/>
    <w:qFormat/>
    <w:uiPriority w:val="0"/>
    <w:pPr>
      <w:ind w:left="420" w:leftChars="200"/>
    </w:p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null3"/>
    <w:hidden/>
    <w:qFormat/>
    <w:uiPriority w:val="0"/>
    <w:rPr>
      <w:rFonts w:hint="eastAsia" w:asciiTheme="minorHAnsi" w:hAnsiTheme="minorHAnsi" w:eastAsiaTheme="minorEastAsia" w:cstheme="minorBidi"/>
      <w:lang w:val="en-US" w:eastAsia="zh-Hans"/>
    </w:rPr>
  </w:style>
  <w:style w:type="paragraph" w:customStyle="1" w:styleId="10">
    <w:name w:val="目录 52"/>
    <w:next w:val="1"/>
    <w:qFormat/>
    <w:uiPriority w:val="0"/>
    <w:pPr>
      <w:wordWrap w:val="0"/>
      <w:ind w:left="1275"/>
      <w:jc w:val="both"/>
    </w:pPr>
    <w:rPr>
      <w:rFonts w:ascii="Calibri" w:hAnsi="Calibri" w:eastAsia="宋体" w:cs="Times New Roman"/>
      <w:sz w:val="21"/>
      <w:lang w:val="en-US" w:eastAsia="zh-CN" w:bidi="ar-SA"/>
    </w:rPr>
  </w:style>
  <w:style w:type="paragraph" w:customStyle="1" w:styleId="11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12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character" w:customStyle="1" w:styleId="13">
    <w:name w:val="font21"/>
    <w:basedOn w:val="8"/>
    <w:qFormat/>
    <w:uiPriority w:val="0"/>
    <w:rPr>
      <w:rFonts w:hint="eastAsia" w:ascii="宋体" w:hAnsi="宋体" w:eastAsia="宋体" w:cs="宋体"/>
      <w:b/>
      <w:bCs/>
      <w:color w:val="000000"/>
      <w:sz w:val="24"/>
      <w:szCs w:val="24"/>
      <w:u w:val="none"/>
    </w:rPr>
  </w:style>
  <w:style w:type="character" w:customStyle="1" w:styleId="14">
    <w:name w:val="font51"/>
    <w:basedOn w:val="8"/>
    <w:qFormat/>
    <w:uiPriority w:val="0"/>
    <w:rPr>
      <w:rFonts w:ascii="Calibri" w:hAnsi="Calibri" w:cs="Calibri"/>
      <w:b/>
      <w:bCs/>
      <w:color w:val="000000"/>
      <w:sz w:val="24"/>
      <w:szCs w:val="24"/>
      <w:u w:val="non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2135</Words>
  <Characters>2416</Characters>
  <Lines>0</Lines>
  <Paragraphs>0</Paragraphs>
  <TotalTime>121</TotalTime>
  <ScaleCrop>false</ScaleCrop>
  <LinksUpToDate>false</LinksUpToDate>
  <CharactersWithSpaces>2463</CharactersWithSpaces>
  <Application>WPS Office_12.1.0.17133_F1E327BC-269C-435d-A152-05C5408002CA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2024-07-11T14:02:00Z</dcterms:created>
  <dc:creator>Administrator.DESKTOP-0H0NMGG</dc:creator>
  <cp:lastModifiedBy>飄泓</cp:lastModifiedBy>
  <dcterms:modified xsi:type="dcterms:W3CDTF">2024-07-16T02:34:48Z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2052-12.1.0.17133</vt:lpwstr>
  </property>
  <property fmtid="{D5CDD505-2E9C-101B-9397-08002B2CF9AE}" pid="3" name="ICV">
    <vt:lpwstr>2E59C3C3021545EB910DF07B9F010EF4_13</vt:lpwstr>
  </property>
</Properties>
</file>