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i w:val="0"/>
          <w:color w:val="2E74B5"/>
          <w:sz w:val="22"/>
        </w:rPr>
        <w:t>GUÍA DE REFERENCIA</w:t>
      </w:r>
    </w:p>
    <w:p>
      <w:pPr>
        <w:pStyle w:val="Title"/>
        <w:jc w:val="center"/>
      </w:pPr>
      <w:r>
        <w:t>Matriz de acceso para roles combinados</w:t>
      </w:r>
    </w:p>
    <w:p>
      <w:pPr>
        <w:pStyle w:val="Subtitle"/>
        <w:jc w:val="center"/>
      </w:pPr>
      <w:r>
        <w:t>Regiones, secciones, destacamentos y miembros</w:t>
        <w:br/>
        <w:t>Combinaciones con cargos de destacamento</w:t>
      </w:r>
    </w:p>
    <w:p>
      <w:pPr>
        <w:spacing w:before="440" w:after="0"/>
        <w:jc w:val="center"/>
      </w:pPr>
      <w:r>
        <w:rPr>
          <w:rFonts w:ascii="Calibri" w:hAnsi="Calibri"/>
          <w:b w:val="0"/>
          <w:i/>
          <w:color w:val="5B6573"/>
          <w:sz w:val="21"/>
        </w:rPr>
        <w:t>Estado del sistema revisado el 29 de agosto de 2026</w:t>
      </w:r>
    </w:p>
    <w:p>
      <w:r>
        <w:br w:type="page"/>
      </w:r>
    </w:p>
    <w:p>
      <w:pPr>
        <w:pStyle w:val="Heading1"/>
      </w:pPr>
      <w:r>
        <w:t>Cómo leer este documento</w:t>
      </w:r>
    </w:p>
    <w:p>
      <w:r>
        <w:t>La palabra “ver” se refiere a aparecer en la lista y poder consultar el nivel indicado. En Regiones existe una distinción: los cargos inferiores ven todas las regiones listadas, pero solamente pueden abrir la propia; por eso no se considera acceso nacional completo.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60"/>
            </w:pPr>
            <w:r>
              <w:rPr>
                <w:rFonts w:ascii="Calibri" w:hAnsi="Calibri"/>
                <w:b/>
                <w:i w:val="0"/>
                <w:color w:val="17365D"/>
                <w:sz w:val="22"/>
              </w:rPr>
              <w:t>Supuesto organizativo</w:t>
            </w:r>
          </w:p>
          <w:p>
            <w:pPr>
              <w:spacing w:after="0"/>
            </w:pPr>
            <w:r>
              <w:rPr>
                <w:rFonts w:ascii="Calibri" w:hAnsi="Calibri"/>
                <w:b w:val="0"/>
                <w:i w:val="0"/>
                <w:color w:val="243447"/>
                <w:sz w:val="21"/>
              </w:rPr>
              <w:t>Las combinaciones se evalúan dentro de la misma cadena organizativa: el cargo de destacamento pertenece a la sección y región del cargo superior. Si se asignan cargos en regiones distintas, el alcance debe revisarse como unión de asignaciones y no como una sola cadena.</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2F4F7"/>
          </w:tcPr>
          <w:p>
            <w:pPr>
              <w:spacing w:after="60"/>
            </w:pPr>
            <w:r>
              <w:rPr>
                <w:rFonts w:ascii="Calibri" w:hAnsi="Calibri"/>
                <w:b/>
                <w:i w:val="0"/>
                <w:color w:val="17365D"/>
                <w:sz w:val="22"/>
              </w:rPr>
              <w:t>Qué no cubre la matriz</w:t>
            </w:r>
          </w:p>
          <w:p>
            <w:pPr>
              <w:spacing w:after="0"/>
            </w:pPr>
            <w:r>
              <w:rPr>
                <w:rFonts w:ascii="Calibri" w:hAnsi="Calibri"/>
                <w:b w:val="0"/>
                <w:i w:val="0"/>
                <w:color w:val="243447"/>
                <w:sz w:val="21"/>
              </w:rPr>
              <w:t>La matriz describe visibilidad de listas. No concede edición, eliminación, acceso a datos sensibles ni aprobación. Esas capacidades se determinan por permisos adicionales y por la entidad propia de cada cargo.</w:t>
            </w:r>
          </w:p>
        </w:tc>
      </w:tr>
    </w:tbl>
    <w:p>
      <w:pPr>
        <w:spacing w:after="0"/>
      </w:pPr>
    </w:p>
    <w:p>
      <w:pPr>
        <w:pStyle w:val="Heading1"/>
      </w:pPr>
      <w:r>
        <w:t>Cargos de destacamento incluidos</w:t>
      </w:r>
    </w:p>
    <w:p>
      <w:pPr>
        <w:keepNext/>
      </w:pPr>
      <w:r>
        <w:t>Estos siete cargos son la base de todas las combinaciones del anexo. El cargo local conserva sus facultades dentro de su destacamento; el cargo superior amplía la visibilidad según su nivel.</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17365D"/>
            <w:tcMar>
              <w:top w:w="80" w:type="dxa"/>
              <w:start w:w="120" w:type="dxa"/>
              <w:bottom w:w="80" w:type="dxa"/>
              <w:end w:w="120" w:type="dxa"/>
            </w:tcMar>
          </w:tcPr>
          <w:p>
            <w:pPr>
              <w:spacing w:after="0"/>
            </w:pPr>
            <w:r>
              <w:rPr>
                <w:rFonts w:ascii="Calibri" w:hAnsi="Calibri"/>
                <w:b/>
                <w:i w:val="0"/>
                <w:color w:val="FFFFFF"/>
                <w:sz w:val="18"/>
              </w:rPr>
              <w:t>Código</w:t>
            </w:r>
          </w:p>
        </w:tc>
        <w:tc>
          <w:tcPr>
            <w:tcW w:type="dxa" w:w="8160"/>
            <w:shd w:fill="17365D"/>
            <w:tcMar>
              <w:top w:w="80" w:type="dxa"/>
              <w:start w:w="120" w:type="dxa"/>
              <w:bottom w:w="80" w:type="dxa"/>
              <w:end w:w="120" w:type="dxa"/>
            </w:tcMar>
          </w:tcPr>
          <w:p>
            <w:pPr>
              <w:spacing w:after="0"/>
            </w:pPr>
            <w:r>
              <w:rPr>
                <w:rFonts w:ascii="Calibri" w:hAnsi="Calibri"/>
                <w:b/>
                <w:i w:val="0"/>
                <w:color w:val="FFFFFF"/>
                <w:sz w:val="18"/>
              </w:rPr>
              <w:t>Cargo de destacamento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D1</w:t>
            </w:r>
          </w:p>
        </w:tc>
        <w:tc>
          <w:tcPr>
            <w:tcW w:type="dxa" w:w="8160"/>
            <w:tcMar>
              <w:top w:w="80" w:type="dxa"/>
              <w:start w:w="120" w:type="dxa"/>
              <w:bottom w:w="80" w:type="dxa"/>
              <w:end w:w="120" w:type="dxa"/>
            </w:tcMar>
          </w:tcPr>
          <w:p>
            <w:pPr>
              <w:spacing w:after="0"/>
            </w:pPr>
            <w:r>
              <w:rPr>
                <w:rFonts w:ascii="Calibri" w:hAnsi="Calibri"/>
                <w:b w:val="0"/>
                <w:i w:val="0"/>
                <w:color w:val="1F2937"/>
                <w:sz w:val="19"/>
              </w:rPr>
              <w:t>Coordinador de Destacamento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D2</w:t>
            </w:r>
          </w:p>
        </w:tc>
        <w:tc>
          <w:tcPr>
            <w:tcW w:type="dxa" w:w="8160"/>
            <w:tcMar>
              <w:top w:w="80" w:type="dxa"/>
              <w:start w:w="120" w:type="dxa"/>
              <w:bottom w:w="80" w:type="dxa"/>
              <w:end w:w="120" w:type="dxa"/>
            </w:tcMar>
          </w:tcPr>
          <w:p>
            <w:pPr>
              <w:spacing w:after="0"/>
            </w:pPr>
            <w:r>
              <w:rPr>
                <w:rFonts w:ascii="Calibri" w:hAnsi="Calibri"/>
                <w:b w:val="0"/>
                <w:i w:val="0"/>
                <w:color w:val="1F2937"/>
                <w:sz w:val="19"/>
              </w:rPr>
              <w:t>Coordinador Asistente de Destacamento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D3</w:t>
            </w:r>
          </w:p>
        </w:tc>
        <w:tc>
          <w:tcPr>
            <w:tcW w:type="dxa" w:w="8160"/>
            <w:tcMar>
              <w:top w:w="80" w:type="dxa"/>
              <w:start w:w="120" w:type="dxa"/>
              <w:bottom w:w="80" w:type="dxa"/>
              <w:end w:w="120" w:type="dxa"/>
            </w:tcMar>
          </w:tcPr>
          <w:p>
            <w:pPr>
              <w:spacing w:after="0"/>
            </w:pPr>
            <w:r>
              <w:rPr>
                <w:rFonts w:ascii="Calibri" w:hAnsi="Calibri"/>
                <w:b w:val="0"/>
                <w:i w:val="0"/>
                <w:color w:val="1F2937"/>
                <w:sz w:val="19"/>
              </w:rPr>
              <w:t>Pastor de Destacamento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D4</w:t>
            </w:r>
          </w:p>
        </w:tc>
        <w:tc>
          <w:tcPr>
            <w:tcW w:type="dxa" w:w="8160"/>
            <w:tcMar>
              <w:top w:w="80" w:type="dxa"/>
              <w:start w:w="120" w:type="dxa"/>
              <w:bottom w:w="80" w:type="dxa"/>
              <w:end w:w="120" w:type="dxa"/>
            </w:tcMar>
          </w:tcPr>
          <w:p>
            <w:pPr>
              <w:spacing w:after="0"/>
            </w:pPr>
            <w:r>
              <w:rPr>
                <w:rFonts w:ascii="Calibri" w:hAnsi="Calibri"/>
                <w:b w:val="0"/>
                <w:i w:val="0"/>
                <w:color w:val="1F2937"/>
                <w:sz w:val="19"/>
              </w:rPr>
              <w:t>Consejo de Destacamento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D5</w:t>
            </w:r>
          </w:p>
        </w:tc>
        <w:tc>
          <w:tcPr>
            <w:tcW w:type="dxa" w:w="8160"/>
            <w:tcMar>
              <w:top w:w="80" w:type="dxa"/>
              <w:start w:w="120" w:type="dxa"/>
              <w:bottom w:w="80" w:type="dxa"/>
              <w:end w:w="120" w:type="dxa"/>
            </w:tcMar>
          </w:tcPr>
          <w:p>
            <w:pPr>
              <w:spacing w:after="0"/>
            </w:pPr>
            <w:r>
              <w:rPr>
                <w:rFonts w:ascii="Calibri" w:hAnsi="Calibri"/>
                <w:b w:val="0"/>
                <w:i w:val="0"/>
                <w:color w:val="1F2937"/>
                <w:sz w:val="19"/>
              </w:rPr>
              <w:t>Capellán de Destacamento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D6</w:t>
            </w:r>
          </w:p>
        </w:tc>
        <w:tc>
          <w:tcPr>
            <w:tcW w:type="dxa" w:w="8160"/>
            <w:tcMar>
              <w:top w:w="80" w:type="dxa"/>
              <w:start w:w="120" w:type="dxa"/>
              <w:bottom w:w="80" w:type="dxa"/>
              <w:end w:w="120" w:type="dxa"/>
            </w:tcMar>
          </w:tcPr>
          <w:p>
            <w:pPr>
              <w:spacing w:after="0"/>
            </w:pPr>
            <w:r>
              <w:rPr>
                <w:rFonts w:ascii="Calibri" w:hAnsi="Calibri"/>
                <w:b w:val="0"/>
                <w:i w:val="0"/>
                <w:color w:val="1F2937"/>
                <w:sz w:val="19"/>
              </w:rPr>
              <w:t>Líder de Grupo</w:t>
            </w:r>
          </w:p>
        </w:tc>
      </w:tr>
      <w:tr>
        <w:trPr>
          <w:cantSplit/>
        </w:trPr>
        <w:tc>
          <w:tcPr>
            <w:tcW w:type="dxa" w:w="1200"/>
            <w:tcMar>
              <w:top w:w="80" w:type="dxa"/>
              <w:start w:w="120" w:type="dxa"/>
              <w:bottom w:w="80" w:type="dxa"/>
              <w:end w:w="120" w:type="dxa"/>
            </w:tcMar>
          </w:tcPr>
          <w:p>
            <w:pPr>
              <w:spacing w:after="0"/>
            </w:pPr>
            <w:r>
              <w:rPr>
                <w:rFonts w:ascii="Calibri" w:hAnsi="Calibri"/>
                <w:b/>
                <w:i w:val="0"/>
                <w:color w:val="1F2937"/>
                <w:sz w:val="19"/>
              </w:rPr>
              <w:t>D7</w:t>
            </w:r>
          </w:p>
        </w:tc>
        <w:tc>
          <w:tcPr>
            <w:tcW w:type="dxa" w:w="8160"/>
            <w:tcMar>
              <w:top w:w="80" w:type="dxa"/>
              <w:start w:w="120" w:type="dxa"/>
              <w:bottom w:w="80" w:type="dxa"/>
              <w:end w:w="120" w:type="dxa"/>
            </w:tcMar>
          </w:tcPr>
          <w:p>
            <w:pPr>
              <w:spacing w:after="0"/>
            </w:pPr>
            <w:r>
              <w:rPr>
                <w:rFonts w:ascii="Calibri" w:hAnsi="Calibri"/>
                <w:b w:val="0"/>
                <w:i w:val="0"/>
                <w:color w:val="1F2937"/>
                <w:sz w:val="19"/>
              </w:rPr>
              <w:t>Líder Asistente de Grupo</w:t>
            </w:r>
          </w:p>
        </w:tc>
      </w:tr>
    </w:tbl>
    <w:p>
      <w:pPr>
        <w:pStyle w:val="Heading1"/>
      </w:pPr>
      <w:r>
        <w:t>Resumen de alcance sin combinación superior</w:t>
      </w:r>
    </w:p>
    <w:tbl>
      <w:tblPr>
        <w:tblStyle w:val="TableGrid"/>
        <w:tblW w:type="dxa" w:w="9360"/>
        <w:jc w:val="left"/>
        <w:tblLayout w:type="fixed"/>
        <w:tblLook w:firstColumn="1" w:firstRow="1" w:lastColumn="0" w:lastRow="0" w:noHBand="0" w:noVBand="1" w:val="04A0"/>
        <w:tblInd w:w="120" w:type="dxa"/>
      </w:tblPr>
      <w:tblGrid>
        <w:gridCol w:w="2160"/>
        <w:gridCol w:w="1800"/>
        <w:gridCol w:w="1800"/>
        <w:gridCol w:w="1800"/>
        <w:gridCol w:w="1800"/>
      </w:tblGrid>
      <w:tr>
        <w:trPr>
          <w:tblHeader w:val="true"/>
        </w:trPr>
        <w:tc>
          <w:tcPr>
            <w:tcW w:type="dxa" w:w="2160"/>
            <w:shd w:fill="17365D"/>
            <w:tcMar>
              <w:top w:w="80" w:type="dxa"/>
              <w:start w:w="120" w:type="dxa"/>
              <w:bottom w:w="80" w:type="dxa"/>
              <w:end w:w="120" w:type="dxa"/>
            </w:tcMar>
          </w:tcPr>
          <w:p>
            <w:pPr>
              <w:spacing w:after="0"/>
              <w:jc w:val="center"/>
            </w:pPr>
            <w:r>
              <w:rPr>
                <w:rFonts w:ascii="Calibri" w:hAnsi="Calibri"/>
                <w:b/>
                <w:i w:val="0"/>
                <w:color w:val="FFFFFF"/>
                <w:sz w:val="17"/>
              </w:rPr>
              <w:t>Perfil</w:t>
            </w:r>
          </w:p>
        </w:tc>
        <w:tc>
          <w:tcPr>
            <w:tcW w:type="dxa" w:w="1800"/>
            <w:shd w:fill="17365D"/>
            <w:tcMar>
              <w:top w:w="80" w:type="dxa"/>
              <w:start w:w="120" w:type="dxa"/>
              <w:bottom w:w="80" w:type="dxa"/>
              <w:end w:w="120" w:type="dxa"/>
            </w:tcMar>
          </w:tcPr>
          <w:p>
            <w:pPr>
              <w:spacing w:after="0"/>
              <w:jc w:val="center"/>
            </w:pPr>
            <w:r>
              <w:rPr>
                <w:rFonts w:ascii="Calibri" w:hAnsi="Calibri"/>
                <w:b/>
                <w:i w:val="0"/>
                <w:color w:val="FFFFFF"/>
                <w:sz w:val="17"/>
              </w:rPr>
              <w:t>Regiones</w:t>
            </w:r>
          </w:p>
        </w:tc>
        <w:tc>
          <w:tcPr>
            <w:tcW w:type="dxa" w:w="1800"/>
            <w:shd w:fill="17365D"/>
            <w:tcMar>
              <w:top w:w="80" w:type="dxa"/>
              <w:start w:w="120" w:type="dxa"/>
              <w:bottom w:w="80" w:type="dxa"/>
              <w:end w:w="120" w:type="dxa"/>
            </w:tcMar>
          </w:tcPr>
          <w:p>
            <w:pPr>
              <w:spacing w:after="0"/>
              <w:jc w:val="center"/>
            </w:pPr>
            <w:r>
              <w:rPr>
                <w:rFonts w:ascii="Calibri" w:hAnsi="Calibri"/>
                <w:b/>
                <w:i w:val="0"/>
                <w:color w:val="FFFFFF"/>
                <w:sz w:val="17"/>
              </w:rPr>
              <w:t>Secciones</w:t>
            </w:r>
          </w:p>
        </w:tc>
        <w:tc>
          <w:tcPr>
            <w:tcW w:type="dxa" w:w="1800"/>
            <w:shd w:fill="17365D"/>
            <w:tcMar>
              <w:top w:w="80" w:type="dxa"/>
              <w:start w:w="120" w:type="dxa"/>
              <w:bottom w:w="80" w:type="dxa"/>
              <w:end w:w="120" w:type="dxa"/>
            </w:tcMar>
          </w:tcPr>
          <w:p>
            <w:pPr>
              <w:spacing w:after="0"/>
              <w:jc w:val="center"/>
            </w:pPr>
            <w:r>
              <w:rPr>
                <w:rFonts w:ascii="Calibri" w:hAnsi="Calibri"/>
                <w:b/>
                <w:i w:val="0"/>
                <w:color w:val="FFFFFF"/>
                <w:sz w:val="17"/>
              </w:rPr>
              <w:t>Destacamentos</w:t>
            </w:r>
          </w:p>
        </w:tc>
        <w:tc>
          <w:tcPr>
            <w:tcW w:type="dxa" w:w="1800"/>
            <w:shd w:fill="17365D"/>
            <w:tcMar>
              <w:top w:w="80" w:type="dxa"/>
              <w:start w:w="120" w:type="dxa"/>
              <w:bottom w:w="80" w:type="dxa"/>
              <w:end w:w="120" w:type="dxa"/>
            </w:tcMar>
          </w:tcPr>
          <w:p>
            <w:pPr>
              <w:spacing w:after="0"/>
              <w:jc w:val="center"/>
            </w:pPr>
            <w:r>
              <w:rPr>
                <w:rFonts w:ascii="Calibri" w:hAnsi="Calibri"/>
                <w:b/>
                <w:i w:val="0"/>
                <w:color w:val="FFFFFF"/>
                <w:sz w:val="17"/>
              </w:rPr>
              <w:t>Miembros</w:t>
            </w:r>
          </w:p>
        </w:tc>
      </w:tr>
      <w:tr>
        <w:trPr>
          <w:cantSplit/>
        </w:trPr>
        <w:tc>
          <w:tcPr>
            <w:tcW w:type="dxa" w:w="2160"/>
            <w:tcMar>
              <w:top w:w="80" w:type="dxa"/>
              <w:start w:w="120" w:type="dxa"/>
              <w:bottom w:w="80" w:type="dxa"/>
              <w:end w:w="120" w:type="dxa"/>
            </w:tcMar>
          </w:tcPr>
          <w:p>
            <w:pPr>
              <w:spacing w:after="0"/>
              <w:jc w:val="left"/>
            </w:pPr>
            <w:r>
              <w:rPr>
                <w:rFonts w:ascii="Calibri" w:hAnsi="Calibri"/>
                <w:b/>
                <w:i w:val="0"/>
                <w:color w:val="1F2937"/>
                <w:sz w:val="17"/>
              </w:rPr>
              <w:t>Usuario común</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Todas listadas; abre la propia</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Su región</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Su sección</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Su destacamento</w:t>
            </w:r>
          </w:p>
        </w:tc>
      </w:tr>
      <w:tr>
        <w:trPr>
          <w:cantSplit/>
        </w:trPr>
        <w:tc>
          <w:tcPr>
            <w:tcW w:type="dxa" w:w="2160"/>
            <w:tcMar>
              <w:top w:w="80" w:type="dxa"/>
              <w:start w:w="120" w:type="dxa"/>
              <w:bottom w:w="80" w:type="dxa"/>
              <w:end w:w="120" w:type="dxa"/>
            </w:tcMar>
          </w:tcPr>
          <w:p>
            <w:pPr>
              <w:spacing w:after="0"/>
              <w:jc w:val="left"/>
            </w:pPr>
            <w:r>
              <w:rPr>
                <w:rFonts w:ascii="Calibri" w:hAnsi="Calibri"/>
                <w:b/>
                <w:i w:val="0"/>
                <w:color w:val="1F2937"/>
                <w:sz w:val="17"/>
              </w:rPr>
              <w:t>Cualquier cargo D1–D7</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Todas listadas; abre la propia</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Su región</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Su región</w:t>
            </w:r>
          </w:p>
        </w:tc>
        <w:tc>
          <w:tcPr>
            <w:tcW w:type="dxa" w:w="1800"/>
            <w:tcMar>
              <w:top w:w="80" w:type="dxa"/>
              <w:start w:w="120" w:type="dxa"/>
              <w:bottom w:w="80" w:type="dxa"/>
              <w:end w:w="120" w:type="dxa"/>
            </w:tcMar>
          </w:tcPr>
          <w:p>
            <w:pPr>
              <w:spacing w:after="0"/>
              <w:jc w:val="center"/>
            </w:pPr>
            <w:r>
              <w:rPr>
                <w:rFonts w:ascii="Calibri" w:hAnsi="Calibri"/>
                <w:b w:val="0"/>
                <w:i w:val="0"/>
                <w:color w:val="1F2937"/>
                <w:sz w:val="17"/>
              </w:rPr>
              <w:t>Su destacamento</w:t>
            </w:r>
          </w:p>
        </w:tc>
      </w:tr>
    </w:tbl>
    <w:p>
      <w:r>
        <w:br w:type="page"/>
      </w:r>
    </w:p>
    <w:p>
      <w:pPr>
        <w:pStyle w:val="Heading1"/>
      </w:pPr>
      <w:r>
        <w:t>Combinaciones exhaustivas por nivel</w:t>
      </w:r>
    </w:p>
    <w:p>
      <w:r>
        <w:t>En total se documentan 210 combinaciones: 30 roles superiores multiplicados por siete cargos de destacamento. Como los siete cargos locales producen la misma visibilidad cuando se combinan con un mismo nivel superior, cada fila agrupa esas siete combinaciones sin perder cobertura.</w:t>
      </w:r>
    </w:p>
    <w:p>
      <w:pPr>
        <w:pStyle w:val="Heading2"/>
      </w:pPr>
      <w:r>
        <w:t>Nivel seccional × cargos de destacamento</w:t>
      </w:r>
    </w:p>
    <w:p>
      <w:pPr>
        <w:keepNext/>
      </w:pPr>
      <w:r>
        <w:t>Cada fila representa siete combinaciones: el rol superior indicado combinado con cada uno de los siete cargos de destacamento definidos en la sección anterior.</w:t>
      </w:r>
    </w:p>
    <w:tbl>
      <w:tblPr>
        <w:tblStyle w:val="TableGrid"/>
        <w:tblW w:type="dxa" w:w="9360"/>
        <w:jc w:val="left"/>
        <w:tblLayout w:type="fixed"/>
        <w:tblLook w:firstColumn="1" w:firstRow="1" w:lastColumn="0" w:lastRow="0" w:noHBand="0" w:noVBand="1" w:val="04A0"/>
        <w:tblInd w:w="120" w:type="dxa"/>
      </w:tblPr>
      <w:tblGrid>
        <w:gridCol w:w="1800"/>
        <w:gridCol w:w="1800"/>
        <w:gridCol w:w="1440"/>
        <w:gridCol w:w="1440"/>
        <w:gridCol w:w="1440"/>
        <w:gridCol w:w="1440"/>
      </w:tblGrid>
      <w:tr>
        <w:trPr>
          <w:tblHeader w:val="true"/>
        </w:trPr>
        <w:tc>
          <w:tcPr>
            <w:tcW w:type="dxa" w:w="1800"/>
            <w:shd w:fill="17365D"/>
            <w:vAlign w:val="center"/>
            <w:tcMar>
              <w:top w:w="80" w:type="dxa"/>
              <w:start w:w="120" w:type="dxa"/>
              <w:bottom w:w="80" w:type="dxa"/>
              <w:end w:w="120" w:type="dxa"/>
            </w:tcMar>
          </w:tcPr>
          <w:p>
            <w:pPr>
              <w:spacing w:after="0"/>
              <w:jc w:val="center"/>
            </w:pPr>
            <w:r>
              <w:rPr>
                <w:rFonts w:ascii="Calibri" w:hAnsi="Calibri"/>
                <w:b/>
                <w:i w:val="0"/>
                <w:color w:val="FFFFFF"/>
                <w:sz w:val="17"/>
              </w:rPr>
              <w:t>Rol superior</w:t>
            </w:r>
          </w:p>
        </w:tc>
        <w:tc>
          <w:tcPr>
            <w:tcW w:type="dxa" w:w="1800"/>
            <w:shd w:fill="17365D"/>
            <w:vAlign w:val="center"/>
            <w:tcMar>
              <w:top w:w="80" w:type="dxa"/>
              <w:start w:w="120" w:type="dxa"/>
              <w:bottom w:w="80" w:type="dxa"/>
              <w:end w:w="120" w:type="dxa"/>
            </w:tcMar>
          </w:tcPr>
          <w:p>
            <w:pPr>
              <w:spacing w:after="0"/>
              <w:jc w:val="center"/>
            </w:pPr>
            <w:r>
              <w:rPr>
                <w:rFonts w:ascii="Calibri" w:hAnsi="Calibri"/>
                <w:b/>
                <w:i w:val="0"/>
                <w:color w:val="FFFFFF"/>
                <w:sz w:val="17"/>
              </w:rPr>
              <w:t>Combinado con</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Regiones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Secciones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Destacamentos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Miembros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Seccional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Subcoordinador Seccional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Seccional de Adiestramiento</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Seccional de Promoción</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Seccional de Producción</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Seccional de Programa</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Capellán Seccional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Zonas</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Grupos Locales</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listadas; abre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sección</w:t>
            </w:r>
          </w:p>
        </w:tc>
      </w:tr>
    </w:tbl>
    <w:p>
      <w:pPr>
        <w:pStyle w:val="Heading2"/>
      </w:pPr>
      <w:r>
        <w:t>Nivel regional × cargos de destacamento</w:t>
      </w:r>
    </w:p>
    <w:p>
      <w:pPr>
        <w:keepNext/>
      </w:pPr>
      <w:r>
        <w:t>Cada fila representa siete combinaciones: el rol superior indicado combinado con cada uno de los siete cargos de destacamento definidos en la sección anterior.</w:t>
      </w:r>
    </w:p>
    <w:tbl>
      <w:tblPr>
        <w:tblStyle w:val="TableGrid"/>
        <w:tblW w:type="dxa" w:w="9360"/>
        <w:jc w:val="left"/>
        <w:tblLayout w:type="fixed"/>
        <w:tblLook w:firstColumn="1" w:firstRow="1" w:lastColumn="0" w:lastRow="0" w:noHBand="0" w:noVBand="1" w:val="04A0"/>
        <w:tblInd w:w="120" w:type="dxa"/>
      </w:tblPr>
      <w:tblGrid>
        <w:gridCol w:w="1800"/>
        <w:gridCol w:w="1800"/>
        <w:gridCol w:w="1440"/>
        <w:gridCol w:w="1440"/>
        <w:gridCol w:w="1440"/>
        <w:gridCol w:w="1440"/>
      </w:tblGrid>
      <w:tr>
        <w:trPr>
          <w:tblHeader w:val="true"/>
        </w:trPr>
        <w:tc>
          <w:tcPr>
            <w:tcW w:type="dxa" w:w="1800"/>
            <w:shd w:fill="17365D"/>
            <w:vAlign w:val="center"/>
            <w:tcMar>
              <w:top w:w="80" w:type="dxa"/>
              <w:start w:w="120" w:type="dxa"/>
              <w:bottom w:w="80" w:type="dxa"/>
              <w:end w:w="120" w:type="dxa"/>
            </w:tcMar>
          </w:tcPr>
          <w:p>
            <w:pPr>
              <w:spacing w:after="0"/>
              <w:jc w:val="center"/>
            </w:pPr>
            <w:r>
              <w:rPr>
                <w:rFonts w:ascii="Calibri" w:hAnsi="Calibri"/>
                <w:b/>
                <w:i w:val="0"/>
                <w:color w:val="FFFFFF"/>
                <w:sz w:val="17"/>
              </w:rPr>
              <w:t>Rol superior</w:t>
            </w:r>
          </w:p>
        </w:tc>
        <w:tc>
          <w:tcPr>
            <w:tcW w:type="dxa" w:w="1800"/>
            <w:shd w:fill="17365D"/>
            <w:vAlign w:val="center"/>
            <w:tcMar>
              <w:top w:w="80" w:type="dxa"/>
              <w:start w:w="120" w:type="dxa"/>
              <w:bottom w:w="80" w:type="dxa"/>
              <w:end w:w="120" w:type="dxa"/>
            </w:tcMar>
          </w:tcPr>
          <w:p>
            <w:pPr>
              <w:spacing w:after="0"/>
              <w:jc w:val="center"/>
            </w:pPr>
            <w:r>
              <w:rPr>
                <w:rFonts w:ascii="Calibri" w:hAnsi="Calibri"/>
                <w:b/>
                <w:i w:val="0"/>
                <w:color w:val="FFFFFF"/>
                <w:sz w:val="17"/>
              </w:rPr>
              <w:t>Combinado con</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Regiones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Secciones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Destacamentos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Miembros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Regional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Subdirector Regional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Regional de Adiestramiento</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Regional de Promoción</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Regional de Producción</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Regional de Programa</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Capellán Regional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Secretario Regional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9B1C1C"/>
                <w:sz w:val="16"/>
              </w:rPr>
              <w:t>NO — su región</w:t>
            </w:r>
          </w:p>
        </w:tc>
      </w:tr>
    </w:tbl>
    <w:p>
      <w:pPr>
        <w:pStyle w:val="Heading2"/>
      </w:pPr>
      <w:r>
        <w:t>Consejo Nacional/Ejecutivo × cargos de destacamento</w:t>
      </w:r>
    </w:p>
    <w:p>
      <w:pPr>
        <w:keepNext/>
      </w:pPr>
      <w:r>
        <w:t>Cada fila representa siete combinaciones: el rol superior indicado combinado con cada uno de los siete cargos de destacamento definidos en la sección anterior.</w:t>
      </w:r>
    </w:p>
    <w:tbl>
      <w:tblPr>
        <w:tblStyle w:val="TableGrid"/>
        <w:tblW w:type="dxa" w:w="9360"/>
        <w:jc w:val="left"/>
        <w:tblLayout w:type="fixed"/>
        <w:tblLook w:firstColumn="1" w:firstRow="1" w:lastColumn="0" w:lastRow="0" w:noHBand="0" w:noVBand="1" w:val="04A0"/>
        <w:tblInd w:w="120" w:type="dxa"/>
      </w:tblPr>
      <w:tblGrid>
        <w:gridCol w:w="1800"/>
        <w:gridCol w:w="1800"/>
        <w:gridCol w:w="1440"/>
        <w:gridCol w:w="1440"/>
        <w:gridCol w:w="1440"/>
        <w:gridCol w:w="1440"/>
      </w:tblGrid>
      <w:tr>
        <w:trPr>
          <w:tblHeader w:val="true"/>
        </w:trPr>
        <w:tc>
          <w:tcPr>
            <w:tcW w:type="dxa" w:w="1800"/>
            <w:shd w:fill="17365D"/>
            <w:vAlign w:val="center"/>
            <w:tcMar>
              <w:top w:w="80" w:type="dxa"/>
              <w:start w:w="120" w:type="dxa"/>
              <w:bottom w:w="80" w:type="dxa"/>
              <w:end w:w="120" w:type="dxa"/>
            </w:tcMar>
          </w:tcPr>
          <w:p>
            <w:pPr>
              <w:spacing w:after="0"/>
              <w:jc w:val="center"/>
            </w:pPr>
            <w:r>
              <w:rPr>
                <w:rFonts w:ascii="Calibri" w:hAnsi="Calibri"/>
                <w:b/>
                <w:i w:val="0"/>
                <w:color w:val="FFFFFF"/>
                <w:sz w:val="17"/>
              </w:rPr>
              <w:t>Rol superior</w:t>
            </w:r>
          </w:p>
        </w:tc>
        <w:tc>
          <w:tcPr>
            <w:tcW w:type="dxa" w:w="1800"/>
            <w:shd w:fill="17365D"/>
            <w:vAlign w:val="center"/>
            <w:tcMar>
              <w:top w:w="80" w:type="dxa"/>
              <w:start w:w="120" w:type="dxa"/>
              <w:bottom w:w="80" w:type="dxa"/>
              <w:end w:w="120" w:type="dxa"/>
            </w:tcMar>
          </w:tcPr>
          <w:p>
            <w:pPr>
              <w:spacing w:after="0"/>
              <w:jc w:val="center"/>
            </w:pPr>
            <w:r>
              <w:rPr>
                <w:rFonts w:ascii="Calibri" w:hAnsi="Calibri"/>
                <w:b/>
                <w:i w:val="0"/>
                <w:color w:val="FFFFFF"/>
                <w:sz w:val="17"/>
              </w:rPr>
              <w:t>Combinado con</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Regiones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Secciones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Destacamentos</w:t>
            </w:r>
          </w:p>
        </w:tc>
        <w:tc>
          <w:tcPr>
            <w:tcW w:type="dxa" w:w="1440"/>
            <w:shd w:fill="17365D"/>
            <w:vAlign w:val="center"/>
            <w:tcMar>
              <w:top w:w="80" w:type="dxa"/>
              <w:start w:w="120" w:type="dxa"/>
              <w:bottom w:w="80" w:type="dxa"/>
              <w:end w:w="120" w:type="dxa"/>
            </w:tcMar>
          </w:tcPr>
          <w:p>
            <w:pPr>
              <w:spacing w:after="0"/>
              <w:jc w:val="center"/>
            </w:pPr>
            <w:r>
              <w:rPr>
                <w:rFonts w:ascii="Calibri" w:hAnsi="Calibri"/>
                <w:b/>
                <w:i w:val="0"/>
                <w:color w:val="FFFFFF"/>
                <w:sz w:val="17"/>
              </w:rPr>
              <w:t>Miembros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Consejo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Ministerios Infantiles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Director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Capellán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Nacional de Adiestramiento</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Subdirector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Nacional de Promoción</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Nacional de Producción</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Coordinador Nacional de Programa</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Comités Especiales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Oficiales de Adiestramientos Especiales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Consejo Ejecutivo</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r>
        <w:trPr>
          <w:cantSplit/>
        </w:trPr>
        <w:tc>
          <w:tcPr>
            <w:tcW w:type="dxa" w:w="1800"/>
            <w:vAlign w:val="center"/>
            <w:tcMar>
              <w:top w:w="80" w:type="dxa"/>
              <w:start w:w="120" w:type="dxa"/>
              <w:bottom w:w="80" w:type="dxa"/>
              <w:end w:w="120" w:type="dxa"/>
            </w:tcMar>
          </w:tcPr>
          <w:p>
            <w:pPr>
              <w:spacing w:after="0"/>
              <w:jc w:val="left"/>
            </w:pPr>
            <w:r>
              <w:rPr>
                <w:rFonts w:ascii="Calibri" w:hAnsi="Calibri"/>
                <w:b/>
                <w:i w:val="0"/>
                <w:color w:val="1F2937"/>
                <w:sz w:val="16"/>
              </w:rPr>
              <w:t>Oficina Nacional</w:t>
            </w:r>
          </w:p>
        </w:tc>
        <w:tc>
          <w:tcPr>
            <w:tcW w:type="dxa" w:w="1800"/>
            <w:vAlign w:val="center"/>
            <w:tcMar>
              <w:top w:w="80" w:type="dxa"/>
              <w:start w:w="120" w:type="dxa"/>
              <w:bottom w:w="80" w:type="dxa"/>
              <w:end w:w="120" w:type="dxa"/>
            </w:tcMar>
          </w:tcPr>
          <w:p>
            <w:pPr>
              <w:spacing w:after="0"/>
              <w:jc w:val="left"/>
            </w:pPr>
            <w:r>
              <w:rPr>
                <w:rFonts w:ascii="Calibri" w:hAnsi="Calibri"/>
                <w:b w:val="0"/>
                <w:i w:val="0"/>
                <w:color w:val="1F2937"/>
                <w:sz w:val="16"/>
              </w:rPr>
              <w:t>Cada cargo de destacamento</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todas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c>
          <w:tcPr>
            <w:tcW w:type="dxa" w:w="1440"/>
            <w:vAlign w:val="center"/>
            <w:tcMar>
              <w:top w:w="80" w:type="dxa"/>
              <w:start w:w="120" w:type="dxa"/>
              <w:bottom w:w="80" w:type="dxa"/>
              <w:end w:w="120" w:type="dxa"/>
            </w:tcMar>
          </w:tcPr>
          <w:p>
            <w:pPr>
              <w:spacing w:after="0"/>
              <w:jc w:val="center"/>
            </w:pPr>
            <w:r>
              <w:rPr>
                <w:rFonts w:ascii="Calibri" w:hAnsi="Calibri"/>
                <w:b w:val="0"/>
                <w:i w:val="0"/>
                <w:color w:val="1E6B43"/>
                <w:sz w:val="16"/>
              </w:rPr>
              <w:t>SÍ — todos</w:t>
            </w:r>
          </w:p>
        </w:tc>
      </w:tr>
    </w:tbl>
    <w:p>
      <w:pPr>
        <w:pStyle w:val="Heading1"/>
      </w:pPr>
      <w:r>
        <w:t>Conclusiones</w:t>
      </w:r>
    </w:p>
    <w:p>
      <w:r>
        <w:t>Una combinación seccional no obtiene visibilidad nacional: conserva las secciones y destacamentos de su región y los miembros de su sección. Una combinación regional ve todas las regiones y secciones, pero los destacamentos y miembros permanecen en su región. Una combinación nacional o ejecutiva ve todos los registros de los cuatro niveles.</w:t>
      </w:r>
    </w:p>
    <w:p>
      <w:r>
        <w:t>El cargo de destacamento nunca pierde su autoridad local por combinarse con un cargo superior; lo que cambia en esta matriz es la amplitud de consulta.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73"/>
        <w:sz w:val="18"/>
      </w:rPr>
      <w:t xml:space="preserve">Página </w:t>
    </w:r>
    <w:r>
      <w:rPr>
        <w:rFonts w:ascii="Calibri" w:hAnsi="Calibri"/>
        <w:b w:val="0"/>
        <w:i w:val="0"/>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B6573"/>
        <w:sz w:val="18"/>
      </w:rPr>
      <w:t>Matriz de acceso organizacional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acceso para roles combinados</dc:title>
  <dc:subject>Visibilidad de regiones, secciones, destacamentos y miembros</dc:subject>
  <dc:creator>Sistema de Exploradores</dc:creator>
  <cp:keywords>roles, permisos, alcance, regiones, secciones, destacamentos, miembros</cp:keywords>
  <dc:description>generated by python-docx</dc:description>
  <cp:lastModifiedBy/>
  <cp:revision>1</cp:revision>
  <dcterms:created xsi:type="dcterms:W3CDTF">2013-12-23T23:15:00Z</dcterms:created>
  <dcterms:modified xsi:type="dcterms:W3CDTF">2013-12-23T23:15:00Z</dcterms:modified>
  <cp:category/>
</cp:coreProperties>
</file>