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520"/>
      </w:pPr>
    </w:p>
    <w:p>
      <w:pPr>
        <w:spacing w:after="360"/>
        <w:jc w:val="center"/>
      </w:pPr>
      <w:r>
        <w:rPr>
          <w:rFonts w:ascii="Calibri" w:hAnsi="Calibri"/>
          <w:b/>
          <w:color w:val="AE7916"/>
          <w:sz w:val="20"/>
        </w:rPr>
        <w:t>CIERRE TÉCNICO · MÓDULO /CHAT</w:t>
      </w:r>
    </w:p>
    <w:p>
      <w:pPr>
        <w:spacing w:after="160"/>
        <w:jc w:val="center"/>
      </w:pPr>
      <w:r>
        <w:rPr>
          <w:rFonts w:ascii="Calibri" w:hAnsi="Calibri"/>
          <w:b/>
          <w:color w:val="203748"/>
          <w:sz w:val="60"/>
        </w:rPr>
        <w:t>Mensajería profesional</w:t>
      </w:r>
    </w:p>
    <w:p>
      <w:pPr>
        <w:spacing w:after="100"/>
        <w:jc w:val="center"/>
      </w:pPr>
      <w:r>
        <w:rPr>
          <w:rFonts w:ascii="Calibri" w:hAnsi="Calibri"/>
          <w:color w:val="1F4D78"/>
          <w:sz w:val="30"/>
        </w:rPr>
        <w:t>Rendimiento, presencia, experiencia tipo Teams y observabilidad</w:t>
      </w:r>
    </w:p>
    <w:p>
      <w:pPr>
        <w:spacing w:after="1280"/>
        <w:jc w:val="center"/>
      </w:pPr>
      <w:r>
        <w:rPr>
          <w:rFonts w:ascii="Calibri" w:hAnsi="Calibri"/>
          <w:b/>
          <w:color w:val="AE7916"/>
          <w:sz w:val="21"/>
        </w:rPr>
        <w:t>Informe de implementación, métricas y evidencia de QA</w:t>
      </w:r>
    </w:p>
    <w:p>
      <w:pPr>
        <w:spacing w:after="80"/>
        <w:jc w:val="center"/>
      </w:pPr>
      <w:r>
        <w:rPr>
          <w:rFonts w:ascii="Calibri" w:hAnsi="Calibri"/>
          <w:b/>
          <w:color w:val="203748"/>
          <w:sz w:val="24"/>
        </w:rPr>
        <w:t>Exploradores del Rey · EDR Dashboard 1.1</w:t>
      </w:r>
    </w:p>
    <w:p>
      <w:pPr>
        <w:jc w:val="center"/>
      </w:pPr>
      <w:r>
        <w:rPr>
          <w:rFonts w:ascii="Calibri" w:hAnsi="Calibri"/>
          <w:i/>
          <w:color w:val="5C6975"/>
          <w:sz w:val="19"/>
        </w:rPr>
        <w:t>Fecha de cierre: 6 de agosto de 2026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rPr>
          <w:rFonts w:ascii="Calibri" w:hAnsi="Calibri"/>
          <w:i w:val="0"/>
          <w:color w:val="19242D"/>
          <w:sz w:val="22"/>
        </w:rPr>
        <w:t>El módulo /chat fue reforzado en tres frentes coordinados: eficiencia operativa, experiencia de mensajería y control de fallos. La lista de conversaciones ahora se pagina con cursor estable; la presencia se observa por lotes y por sesiones de dispositivo; y la interfaz incorpora borradores, búsqueda, menciones, navegación de no leídos y atajos sin alterar el diseño visual existente.</w:t>
      </w:r>
    </w:p>
    <w:p>
      <w:r>
        <w:rPr>
          <w:rFonts w:ascii="Calibri" w:hAnsi="Calibri"/>
          <w:i w:val="0"/>
          <w:color w:val="19242D"/>
          <w:sz w:val="22"/>
        </w:rPr>
        <w:t>La comunicación en tiempo real también quedó endurecida: mensajes, reacciones, eliminaciones, recibos, escritura y resumen lateral comparten una ruta de sincronización inmediata. Los mensajes eliminados no conservan reacciones, y las reacciones iguales se agrupan por emoji con contador y detalle de participantes.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7F4E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203748"/>
                <w:sz w:val="21"/>
              </w:rPr>
              <w:t>Resultado de validación</w:t>
            </w:r>
          </w:p>
          <w:p>
            <w:pPr>
              <w:spacing w:after="0"/>
            </w:pPr>
            <w:r>
              <w:rPr>
                <w:rFonts w:ascii="Calibri" w:hAnsi="Calibri"/>
                <w:color w:val="19242D"/>
                <w:sz w:val="20"/>
              </w:rPr>
              <w:t>114 pruebas automatizadas aprobadas, compilación de producción completada, lint del alcance sin errores y cuatro escenarios de rendimiento medidos. La revisión del navegador confirmó ausencia de desbordamiento horizontal en 375, 768 y 1,440 píxeles; la sesión disponible no estaba autenticada, por lo que la validación visual interna del chat queda como prueba manual de liberación.</w:t>
            </w:r>
          </w:p>
        </w:tc>
      </w:tr>
    </w:tbl>
    <w:p>
      <w:pPr>
        <w:spacing w:after="0"/>
      </w:pPr>
    </w:p>
    <w:p>
      <w:pPr>
        <w:pStyle w:val="Heading1"/>
      </w:pPr>
      <w:r>
        <w:t>2. Alcance y arquitectura resultante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4050"/>
        <w:gridCol w:w="3510"/>
      </w:tblGrid>
      <w:tr>
        <w:trPr>
          <w:tblHeader w:val="true"/>
          <w:cantSplit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color w:val="203748"/>
                <w:sz w:val="18"/>
              </w:rPr>
              <w:t>Capa</w:t>
            </w:r>
          </w:p>
        </w:tc>
        <w:tc>
          <w:tcPr>
            <w:tcW w:type="dxa" w:w="40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color w:val="203748"/>
                <w:sz w:val="18"/>
              </w:rPr>
              <w:t>Cambio principal</w:t>
            </w:r>
          </w:p>
        </w:tc>
        <w:tc>
          <w:tcPr>
            <w:tcW w:type="dxa" w:w="35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color w:val="203748"/>
                <w:sz w:val="18"/>
              </w:rPr>
              <w:t>Efecto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API de chat</w:t>
            </w:r>
          </w:p>
        </w:tc>
        <w:tc>
          <w:tcPr>
            <w:tcW w:type="dxa" w:w="4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Paginación por cursor, respuestas uniformes y trazas por solicitud.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Menos lecturas, errores correlacionables y contrato predecible.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Firestore</w:t>
            </w:r>
          </w:p>
        </w:tc>
        <w:tc>
          <w:tcPr>
            <w:tcW w:type="dxa" w:w="4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Índice compuesto por participante, eliminado, fecha e identificador.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Orden estable y continuación sin saltos ni duplicados.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Tiempo real</w:t>
            </w:r>
          </w:p>
        </w:tc>
        <w:tc>
          <w:tcPr>
            <w:tcW w:type="dxa" w:w="4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Listeners acotados y mezcla incremental de mensajes.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Sincronización inmediata con memoria y costo controlados.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Presencia</w:t>
            </w:r>
          </w:p>
        </w:tc>
        <w:tc>
          <w:tcPr>
            <w:tcW w:type="dxa" w:w="4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Sesiones por dispositivo, consultas en lotes de hasta 30 y latido reducido.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Estado consistente entre pestañas y dispositivos.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Cliente</w:t>
            </w:r>
          </w:p>
        </w:tc>
        <w:tc>
          <w:tcPr>
            <w:tcW w:type="dxa" w:w="4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SWR infinito, borradores locales, búsqueda combinada y accesibilidad ARIA.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Navegación continua y recuperación de trabajo en progreso.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Seguridad</w:t>
            </w:r>
          </w:p>
        </w:tc>
        <w:tc>
          <w:tcPr>
            <w:tcW w:type="dxa" w:w="4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Identidad autenticada, proyección pública, validación de adjuntos y logs saneados.</w:t>
            </w:r>
          </w:p>
        </w:tc>
        <w:tc>
          <w:tcPr>
            <w:tcW w:type="dxa" w:w="3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Menor superficie de suplantación y fuga de datos.</w:t>
            </w:r>
          </w:p>
        </w:tc>
      </w:tr>
    </w:tbl>
    <w:p>
      <w:pPr>
        <w:spacing w:after="0"/>
      </w:pPr>
    </w:p>
    <w:p>
      <w:pPr>
        <w:pStyle w:val="Heading1"/>
      </w:pPr>
      <w:r>
        <w:t>3. Rendimiento y presencia</w:t>
      </w:r>
    </w:p>
    <w:p>
      <w:pPr>
        <w:pStyle w:val="Heading2"/>
      </w:pPr>
      <w:r>
        <w:t>3.1 Paginación e índices definitivos</w:t>
      </w:r>
    </w:p>
    <w:p>
      <w:pPr>
        <w:pStyle w:val="ListBullet"/>
      </w:pPr>
      <w:r>
        <w:rPr>
          <w:rFonts w:ascii="Calibri" w:hAnsi="Calibri"/>
          <w:color w:val="19242D"/>
          <w:sz w:val="22"/>
        </w:rPr>
        <w:t>La lista solicita 30 conversaciones y utiliza un registro centinela para determinar si existe una página siguiente.</w:t>
      </w:r>
    </w:p>
    <w:p>
      <w:pPr>
        <w:pStyle w:val="ListBullet"/>
      </w:pPr>
      <w:r>
        <w:rPr>
          <w:rFonts w:ascii="Calibri" w:hAnsi="Calibri"/>
          <w:color w:val="19242D"/>
          <w:sz w:val="22"/>
        </w:rPr>
        <w:t>El cursor codifica fecha de actualización e identificador; ambos campos forman el orden definitivo y evitan ambigüedad cuando varias conversaciones comparten fecha.</w:t>
      </w:r>
    </w:p>
    <w:p>
      <w:pPr>
        <w:pStyle w:val="ListBullet"/>
      </w:pPr>
      <w:r>
        <w:rPr>
          <w:rFonts w:ascii="Calibri" w:hAnsi="Calibri"/>
          <w:color w:val="19242D"/>
          <w:sz w:val="22"/>
        </w:rPr>
        <w:t>El resumen lateral utiliza últimoMensaje y omite la descarga de subcolecciones de mensajes y el enriquecimiento fotográfico por fila.</w:t>
      </w:r>
    </w:p>
    <w:p>
      <w:pPr>
        <w:pStyle w:val="ListBullet"/>
      </w:pPr>
      <w:r>
        <w:rPr>
          <w:rFonts w:ascii="Calibri" w:hAnsi="Calibri"/>
          <w:color w:val="19242D"/>
          <w:sz w:val="22"/>
        </w:rPr>
        <w:t>La interfaz deduplica páginas por identificador y ofrece carga progresiva de conversaciones anteriores.</w:t>
      </w:r>
    </w:p>
    <w:p>
      <w:pPr>
        <w:pStyle w:val="Heading2"/>
      </w:pPr>
      <w:r>
        <w:t>3.2 Reducción de lecturas y listeners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660"/>
        <w:gridCol w:w="1600"/>
        <w:gridCol w:w="1600"/>
        <w:gridCol w:w="2500"/>
      </w:tblGrid>
      <w:tr>
        <w:trPr>
          <w:tblHeader w:val="true"/>
          <w:cantSplit/>
        </w:trPr>
        <w:tc>
          <w:tcPr>
            <w:tcW w:type="dxa" w:w="36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color w:val="203748"/>
                <w:sz w:val="18"/>
              </w:rPr>
              <w:t>Indicador</w:t>
            </w:r>
          </w:p>
        </w:tc>
        <w:tc>
          <w:tcPr>
            <w:tcW w:type="dxa" w:w="1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color w:val="203748"/>
                <w:sz w:val="18"/>
              </w:rPr>
              <w:t>Antes</w:t>
            </w:r>
          </w:p>
        </w:tc>
        <w:tc>
          <w:tcPr>
            <w:tcW w:type="dxa" w:w="1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color w:val="203748"/>
                <w:sz w:val="18"/>
              </w:rPr>
              <w:t>Después</w:t>
            </w:r>
          </w:p>
        </w:tc>
        <w:tc>
          <w:tcPr>
            <w:tcW w:type="dxa" w:w="2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color w:val="203748"/>
                <w:sz w:val="18"/>
              </w:rPr>
              <w:t>Mejora</w:t>
            </w:r>
          </w:p>
        </w:tc>
      </w:tr>
      <w:tr>
        <w:trPr>
          <w:cantSplit/>
        </w:trPr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Lecturas modeladas del listado (30 × 30 mensajes)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901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31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−96.56 %</w:t>
            </w:r>
          </w:p>
        </w:tc>
      </w:tr>
      <w:tr>
        <w:trPr>
          <w:cantSplit/>
        </w:trPr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Listeners de presencia para 65 contactos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65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3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−95.38 %</w:t>
            </w:r>
          </w:p>
        </w:tc>
      </w:tr>
      <w:tr>
        <w:trPr>
          <w:cantSplit/>
        </w:trPr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Escrituras de latido por minuto y sesión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3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1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−66.67 %</w:t>
            </w:r>
          </w:p>
        </w:tc>
      </w:tr>
      <w:tr>
        <w:trPr>
          <w:cantSplit/>
        </w:trPr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Autenticaciones subyacentes en 1,000 solicitudes concurrentes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1,000 sin caché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1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Promesa en vuelo compartida</w:t>
            </w:r>
          </w:p>
        </w:tc>
      </w:tr>
    </w:tbl>
    <w:p>
      <w:pPr>
        <w:spacing w:after="0"/>
      </w:pPr>
    </w:p>
    <w:p>
      <w:pPr>
        <w:spacing w:before="80" w:after="80"/>
      </w:pPr>
      <w:r>
        <w:rPr>
          <w:rFonts w:ascii="Calibri" w:hAnsi="Calibri"/>
          <w:i/>
          <w:color w:val="5C6975"/>
          <w:sz w:val="17"/>
        </w:rPr>
        <w:t>Base: benchmark local de Node v26.5.1 y modelo explícito de lecturas. Los porcentajes de lecturas y listeners son reducciones estructurales, no facturación observada de Firebase.</w:t>
      </w:r>
    </w:p>
    <w:p>
      <w:pPr>
        <w:pStyle w:val="Heading2"/>
      </w:pPr>
      <w:r>
        <w:t>3.3 Presencia multidispositivo</w:t>
      </w:r>
    </w:p>
    <w:p>
      <w:r>
        <w:rPr>
          <w:rFonts w:ascii="Calibri" w:hAnsi="Calibri"/>
          <w:i w:val="0"/>
          <w:color w:val="19242D"/>
          <w:sz w:val="22"/>
        </w:rPr>
        <w:t>Cada dispositivo mantiene su propia sesión de presencia. Una sesión visible vigente conserva el estado en línea aunque otra pestaña esté oculta; ocupado prevalece como estado manual; y la ausencia solo aparece cuando todas las sesiones activas dejan de estar visibles. Las sesiones vencidas no pueden sobrescribir una sesión reciente.</w:t>
      </w:r>
    </w:p>
    <w:p>
      <w:r>
        <w:rPr>
          <w:rFonts w:ascii="Calibri" w:hAnsi="Calibri"/>
          <w:i w:val="0"/>
          <w:color w:val="19242D"/>
          <w:sz w:val="22"/>
        </w:rPr>
        <w:t>El latido se ejecuta cada 60 segundos y una sesión se considera vencida a los 150 segundos. Los listeners se liberan al desmontar el componente o cambiar el conjunto observado; el sidebar eleva una única suscripción por lote en lugar de crear una por contacto repetido.</w:t>
      </w:r>
    </w:p>
    <w:p>
      <w:pPr>
        <w:pStyle w:val="Heading1"/>
      </w:pPr>
      <w:r>
        <w:t>4. Experiencia comparable con Teams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50"/>
        <w:gridCol w:w="5210"/>
        <w:gridCol w:w="2600"/>
      </w:tblGrid>
      <w:tr>
        <w:trPr>
          <w:tblHeader w:val="true"/>
          <w:cantSplit/>
        </w:trPr>
        <w:tc>
          <w:tcPr>
            <w:tcW w:type="dxa" w:w="15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color w:val="203748"/>
                <w:sz w:val="18"/>
              </w:rPr>
              <w:t>Capacidad</w:t>
            </w:r>
          </w:p>
        </w:tc>
        <w:tc>
          <w:tcPr>
            <w:tcW w:type="dxa" w:w="52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color w:val="203748"/>
                <w:sz w:val="18"/>
              </w:rPr>
              <w:t>Implementación</w:t>
            </w:r>
          </w:p>
        </w:tc>
        <w:tc>
          <w:tcPr>
            <w:tcW w:type="dxa" w:w="2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color w:val="203748"/>
                <w:sz w:val="18"/>
              </w:rPr>
              <w:t>Validación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Borradores</w:t>
            </w:r>
          </w:p>
        </w:tc>
        <w:tc>
          <w:tcPr>
            <w:tcW w:type="dxa" w:w="5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Persistencia local por miembro y conversación/destinatarios; limpieza tras envío exitoso.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Prueba de aislamiento de claves.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Búsqueda</w:t>
            </w:r>
          </w:p>
        </w:tc>
        <w:tc>
          <w:tcPr>
            <w:tcW w:type="dxa" w:w="5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Contactos, conversaciones, grupos y último mensaje dentro del directorio cargado.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Coincidencia sin sensibilidad a mayúsculas ni acentos.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Atajos</w:t>
            </w:r>
          </w:p>
        </w:tc>
        <w:tc>
          <w:tcPr>
            <w:tcW w:type="dxa" w:w="5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Ctrl/Cmd+K enfoca búsqueda; Alt+Shift+N recorre no leídos; Escape limpia búsqueda; Enter envía y Shift+Enter crea línea.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Flujo de teclado y prueba de navegación circular.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Menciones</w:t>
            </w:r>
          </w:p>
        </w:tc>
        <w:tc>
          <w:tcPr>
            <w:tcW w:type="dxa" w:w="5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Resolución de @nombre a identificadores únicos y sugerencias con roles listbox/option.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Prueba con acentos y deduplicación.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Escritura</w:t>
            </w:r>
          </w:p>
        </w:tc>
        <w:tc>
          <w:tcPr>
            <w:tcW w:type="dxa" w:w="5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Estado temporal con vencimiento local; las notificaciones obsoletas se retiran sin esperar otro snapshot.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Prueba de expiración determinista.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Silencio</w:t>
            </w:r>
          </w:p>
        </w:tc>
        <w:tc>
          <w:tcPr>
            <w:tcW w:type="dxa" w:w="5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Acción de conversación conservada y autorizada por participante.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Contrato de acción en API.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No leídos</w:t>
            </w:r>
          </w:p>
        </w:tc>
        <w:tc>
          <w:tcPr>
            <w:tcW w:type="dxa" w:w="5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Resumen global, actualización inmediata del tab Chats y salto circular al siguiente pendiente.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Regresiones de resumen y entrega.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Responsive</w:t>
            </w:r>
          </w:p>
        </w:tc>
        <w:tc>
          <w:tcPr>
            <w:tcW w:type="dxa" w:w="5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Navegación adaptable, controles compactos y entrada multilínea sin cambio de diseño.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375/768/1,440 px sin scroll horizontal en shell disponible.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Accesibilidad</w:t>
            </w:r>
          </w:p>
        </w:tc>
        <w:tc>
          <w:tcPr>
            <w:tcW w:type="dxa" w:w="5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Regiones log/status/search, aria-live, etiquetas de botones, lista de sugerencias y navegación por teclado.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Lint del alcance y revisión DOM parcial.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FF4D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203748"/>
                <w:sz w:val="21"/>
              </w:rPr>
              <w:t>Alcance de búsqueda global</w:t>
            </w:r>
          </w:p>
          <w:p>
            <w:pPr>
              <w:spacing w:after="0"/>
            </w:pPr>
            <w:r>
              <w:rPr>
                <w:rFonts w:ascii="Calibri" w:hAnsi="Calibri"/>
                <w:color w:val="19242D"/>
                <w:sz w:val="20"/>
              </w:rPr>
              <w:t>La búsqueda combina todo el directorio de contactos con las páginas de conversaciones ya cargadas. Para búsqueda histórica de texto sobre todas las conversaciones será necesario un índice de búsqueda dedicado; no se amplió la lectura completa de Firestore para preservar las mejoras de rendimiento.</w:t>
            </w:r>
          </w:p>
        </w:tc>
      </w:tr>
    </w:tbl>
    <w:p>
      <w:pPr>
        <w:spacing w:after="0"/>
      </w:pPr>
    </w:p>
    <w:p>
      <w:pPr>
        <w:pStyle w:val="Heading1"/>
      </w:pPr>
      <w:r>
        <w:t>5. Mensajería, archivos y sincronización</w:t>
      </w:r>
    </w:p>
    <w:p>
      <w:pPr>
        <w:pStyle w:val="ListBullet"/>
      </w:pPr>
      <w:r>
        <w:rPr>
          <w:rFonts w:ascii="Calibri" w:hAnsi="Calibri"/>
          <w:color w:val="19242D"/>
          <w:sz w:val="22"/>
        </w:rPr>
        <w:t>Los mensajes llegan por listener de cambios y se mezclan por identificador, conservando recibos locales y evitando duplicados.</w:t>
      </w:r>
    </w:p>
    <w:p>
      <w:pPr>
        <w:pStyle w:val="ListBullet"/>
      </w:pPr>
      <w:r>
        <w:rPr>
          <w:rFonts w:ascii="Calibri" w:hAnsi="Calibri"/>
          <w:color w:val="19242D"/>
          <w:sz w:val="22"/>
        </w:rPr>
        <w:t xml:space="preserve">El indicador de escritura expira en el cliente y se limpia al enviar o abandonar, evitando el estado permanente «está escribiendo». </w:t>
      </w:r>
    </w:p>
    <w:p>
      <w:pPr>
        <w:pStyle w:val="ListBullet"/>
      </w:pPr>
      <w:r>
        <w:rPr>
          <w:rFonts w:ascii="Calibri" w:hAnsi="Calibri"/>
          <w:color w:val="19242D"/>
          <w:sz w:val="22"/>
        </w:rPr>
        <w:t>Reacciones, edición, eliminación y restauración actualizan el mensaje inmediatamente en ambos extremos.</w:t>
      </w:r>
    </w:p>
    <w:p>
      <w:pPr>
        <w:pStyle w:val="ListBullet"/>
      </w:pPr>
      <w:r>
        <w:rPr>
          <w:rFonts w:ascii="Calibri" w:hAnsi="Calibri"/>
          <w:color w:val="19242D"/>
          <w:sz w:val="22"/>
        </w:rPr>
        <w:t>Un mensaje eliminado fuerza reacciones={} tanto al persistir como al recibir documentos históricos.</w:t>
      </w:r>
    </w:p>
    <w:p>
      <w:pPr>
        <w:pStyle w:val="ListBullet"/>
      </w:pPr>
      <w:r>
        <w:rPr>
          <w:rFonts w:ascii="Calibri" w:hAnsi="Calibri"/>
          <w:color w:val="19242D"/>
          <w:sz w:val="22"/>
        </w:rPr>
        <w:t>Reacciones iguales aparecen una sola vez, muestran contador y exponen en una ventana los nombres de quienes reaccionaron.</w:t>
      </w:r>
    </w:p>
    <w:p>
      <w:pPr>
        <w:pStyle w:val="ListBullet"/>
      </w:pPr>
      <w:r>
        <w:rPr>
          <w:rFonts w:ascii="Calibri" w:hAnsi="Calibri"/>
          <w:color w:val="19242D"/>
          <w:sz w:val="22"/>
        </w:rPr>
        <w:t>Los adjuntos admiten progreso, cancelación, reintento y limpieza recuperable; se validan ruta de conversación, MIME, tamaño y URL segura.</w:t>
      </w:r>
    </w:p>
    <w:p>
      <w:pPr>
        <w:pStyle w:val="ListBullet"/>
      </w:pPr>
      <w:r>
        <w:rPr>
          <w:rFonts w:ascii="Calibri" w:hAnsi="Calibri"/>
          <w:color w:val="19242D"/>
          <w:sz w:val="22"/>
        </w:rPr>
        <w:t>Los recibos avanzan de enviado a entregado y visto de forma monótona entre pestañas y dispositivos.</w:t>
      </w:r>
    </w:p>
    <w:p>
      <w:pPr>
        <w:pStyle w:val="Heading1"/>
      </w:pPr>
      <w:r>
        <w:t>6. Errores, observabilidad y protección de datos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color w:val="203748"/>
                <w:sz w:val="18"/>
              </w:rPr>
              <w:t>Control</w:t>
            </w:r>
          </w:p>
        </w:tc>
        <w:tc>
          <w:tcPr>
            <w:tcW w:type="dxa" w:w="70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color w:val="203748"/>
                <w:sz w:val="18"/>
              </w:rPr>
              <w:t>Comportamiento aplicado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Errores uniformes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401 sesión, 403 autorización, errores de dominio y 500 genérico con código CHAT_INTERNAL_ERROR.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Cuota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Mensaje único: «La fogata está encendiéndose. En unos minutos podrás continuar la conversación.» y Retry-After=60.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Correlación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Cada solicitud registra requestId, método, endpoint, resultado y duración; el error devuelve X-Chat-Request-ID.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Logs saneados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Solo código, estado, categoría, etapa y requestId. No se escriben cuerpos, correos, tokens ni mensajes internos.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Identidad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El servidor deriva idMiembros del Bearer verificado y reemplaza cualquier remitente aportado por el cliente.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Datos públicos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Contactos y participantes usan una proyección que excluye campos sensibles.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Adjuntos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Storage limita operaciones a participantes y valida pertenencia de cada ruta a la conversación activa.</w:t>
            </w:r>
          </w:p>
        </w:tc>
      </w:tr>
    </w:tbl>
    <w:p>
      <w:pPr>
        <w:spacing w:after="0"/>
      </w:pPr>
    </w:p>
    <w:p>
      <w:pPr>
        <w:pStyle w:val="Heading1"/>
      </w:pPr>
      <w:r>
        <w:t>7. Métricas medidas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000"/>
        <w:gridCol w:w="2450"/>
        <w:gridCol w:w="2600"/>
        <w:gridCol w:w="1310"/>
      </w:tblGrid>
      <w:tr>
        <w:trPr>
          <w:tblHeader w:val="true"/>
          <w:cantSplit/>
        </w:trPr>
        <w:tc>
          <w:tcPr>
            <w:tcW w:type="dxa" w:w="3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color w:val="203748"/>
                <w:sz w:val="18"/>
              </w:rPr>
              <w:t>Escenario</w:t>
            </w:r>
          </w:p>
        </w:tc>
        <w:tc>
          <w:tcPr>
            <w:tcW w:type="dxa" w:w="24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color w:val="203748"/>
                <w:sz w:val="18"/>
              </w:rPr>
              <w:t>Volumen</w:t>
            </w:r>
          </w:p>
        </w:tc>
        <w:tc>
          <w:tcPr>
            <w:tcW w:type="dxa" w:w="2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color w:val="203748"/>
                <w:sz w:val="18"/>
              </w:rPr>
              <w:t>Resultado</w:t>
            </w:r>
          </w:p>
        </w:tc>
        <w:tc>
          <w:tcPr>
            <w:tcW w:type="dxa" w:w="13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color w:val="203748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Mezcla de cambios en tiempo real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10,000 mensajes + 1,000 cambios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10,000 mensajes, sin duplicados</w:t>
            </w:r>
          </w:p>
        </w:tc>
        <w:tc>
          <w:tcPr>
            <w:tcW w:type="dxa" w:w="1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20.36 ms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Construcción de página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10,000 conversaciones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30 elementos + cursor</w:t>
            </w:r>
          </w:p>
        </w:tc>
        <w:tc>
          <w:tcPr>
            <w:tcW w:type="dxa" w:w="1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0.24 ms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Presencia multidispositivo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500 sesiones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Estado online correcto</w:t>
            </w:r>
          </w:p>
        </w:tc>
        <w:tc>
          <w:tcPr>
            <w:tcW w:type="dxa" w:w="1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0.94 ms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Autenticación concurrente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1,000 solicitudes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1 lectura subyacente</w:t>
            </w:r>
          </w:p>
        </w:tc>
        <w:tc>
          <w:tcPr>
            <w:tcW w:type="dxa" w:w="1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17.53 ms</w:t>
            </w:r>
          </w:p>
        </w:tc>
      </w:tr>
    </w:tbl>
    <w:p>
      <w:pPr>
        <w:spacing w:after="0"/>
      </w:pPr>
    </w:p>
    <w:p>
      <w:r>
        <w:rPr>
          <w:rFonts w:ascii="Calibri" w:hAnsi="Calibri"/>
          <w:i w:val="0"/>
          <w:color w:val="19242D"/>
          <w:sz w:val="22"/>
        </w:rPr>
        <w:t>Estas mediciones son microbenchmarks ejecutados en el equipo de desarrollo el 6 de agosto de 2026. Sirven para comparar complejidad y detectar regresiones; no sustituyen una prueba end-to-end contra la latencia y cuota reales de Firebase en producción.</w:t>
      </w:r>
    </w:p>
    <w:p>
      <w:pPr>
        <w:pStyle w:val="Heading1"/>
      </w:pPr>
      <w:r>
        <w:t>8. Matriz de QA final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5310"/>
        <w:gridCol w:w="1850"/>
      </w:tblGrid>
      <w:tr>
        <w:trPr>
          <w:tblHeader w:val="true"/>
          <w:cantSplit/>
        </w:trPr>
        <w:tc>
          <w:tcPr>
            <w:tcW w:type="dxa" w:w="2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color w:val="203748"/>
                <w:sz w:val="18"/>
              </w:rPr>
              <w:t>Área</w:t>
            </w:r>
          </w:p>
        </w:tc>
        <w:tc>
          <w:tcPr>
            <w:tcW w:type="dxa" w:w="53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color w:val="203748"/>
                <w:sz w:val="18"/>
              </w:rPr>
              <w:t>Evidencia</w:t>
            </w:r>
          </w:p>
        </w:tc>
        <w:tc>
          <w:tcPr>
            <w:tcW w:type="dxa" w:w="18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color w:val="203748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Automatización</w:t>
            </w:r>
          </w:p>
        </w:tc>
        <w:tc>
          <w:tcPr>
            <w:tcW w:type="dxa" w:w="5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114/114 pruebas Node aprobadas en 0.96 s.</w:t>
            </w:r>
          </w:p>
        </w:tc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Carga</w:t>
            </w:r>
          </w:p>
        </w:tc>
        <w:tc>
          <w:tcPr>
            <w:tcW w:type="dxa" w:w="5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10k mensajes, 10k conversaciones, 500 sesiones y 1k solicitudes concurrentes.</w:t>
            </w:r>
          </w:p>
        </w:tc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Seguridad</w:t>
            </w:r>
          </w:p>
        </w:tc>
        <w:tc>
          <w:tcPr>
            <w:tcW w:type="dxa" w:w="5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Bearer, identidad, permisos, proyección pública, adjuntos y redacción de logs.</w:t>
            </w:r>
          </w:p>
        </w:tc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Producción</w:t>
            </w:r>
          </w:p>
        </w:tc>
        <w:tc>
          <w:tcPr>
            <w:tcW w:type="dxa" w:w="5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Next.js 16.0.10 compiló 258 páginas y rutas sin error.</w:t>
            </w:r>
          </w:p>
        </w:tc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Lint del alcance</w:t>
            </w:r>
          </w:p>
        </w:tc>
        <w:tc>
          <w:tcPr>
            <w:tcW w:type="dxa" w:w="5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Archivos de chat, servidor y utilidades sin errores ni advertencias.</w:t>
            </w:r>
          </w:p>
        </w:tc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Responsive público</w:t>
            </w:r>
          </w:p>
        </w:tc>
        <w:tc>
          <w:tcPr>
            <w:tcW w:type="dxa" w:w="5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375/768/1,440 px sin desbordamiento horizontal.</w:t>
            </w:r>
          </w:p>
        </w:tc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UI autenticada</w:t>
            </w:r>
          </w:p>
        </w:tc>
        <w:tc>
          <w:tcPr>
            <w:tcW w:type="dxa" w:w="5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El navegador de QA fue redirigido al inicio de sesión; no se usaron credenciales.</w:t>
            </w:r>
          </w:p>
        </w:tc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MANUAL REQUERIDO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Navegadores/dispositivos reales</w:t>
            </w:r>
          </w:p>
        </w:tc>
        <w:tc>
          <w:tcPr>
            <w:tcW w:type="dxa" w:w="5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Validar Chrome, Edge/Safari y Android/iOS con dos cuentas y dos dispositivos.</w:t>
            </w:r>
          </w:p>
        </w:tc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MANUAL REQUERIDO</w:t>
            </w:r>
          </w:p>
        </w:tc>
      </w:tr>
    </w:tbl>
    <w:p>
      <w:pPr>
        <w:spacing w:after="0"/>
      </w:pPr>
    </w:p>
    <w:p>
      <w:pPr>
        <w:pStyle w:val="Heading1"/>
      </w:pPr>
      <w:r>
        <w:t>9. Prueba manual rápida de liberación</w:t>
      </w:r>
    </w:p>
    <w:p>
      <w:pPr>
        <w:pStyle w:val="ListNumber"/>
      </w:pPr>
      <w:r>
        <w:rPr>
          <w:rFonts w:ascii="Calibri" w:hAnsi="Calibri"/>
          <w:color w:val="19242D"/>
          <w:sz w:val="22"/>
        </w:rPr>
        <w:t>Abrir dos cuentas en navegadores o dispositivos distintos y confirmar que el estado en línea, ocupado y ausente se replica sin parpadeo.</w:t>
      </w:r>
    </w:p>
    <w:p>
      <w:pPr>
        <w:pStyle w:val="ListNumber"/>
      </w:pPr>
      <w:r>
        <w:rPr>
          <w:rFonts w:ascii="Calibri" w:hAnsi="Calibri"/>
          <w:color w:val="19242D"/>
          <w:sz w:val="22"/>
        </w:rPr>
        <w:t>Enviar texto, mención, emoji y archivo; confirmar actualización inmediata del mensaje, tab Chats, contador de no leídos y recibos.</w:t>
      </w:r>
    </w:p>
    <w:p>
      <w:pPr>
        <w:pStyle w:val="ListNumber"/>
      </w:pPr>
      <w:r>
        <w:rPr>
          <w:rFonts w:ascii="Calibri" w:hAnsi="Calibri"/>
          <w:color w:val="19242D"/>
          <w:sz w:val="22"/>
        </w:rPr>
        <w:t>Reaccionar con el mismo emoji desde dos usuarios; verificar un solo chip, contador 2 y detalle de participantes.</w:t>
      </w:r>
    </w:p>
    <w:p>
      <w:pPr>
        <w:pStyle w:val="ListNumber"/>
      </w:pPr>
      <w:r>
        <w:rPr>
          <w:rFonts w:ascii="Calibri" w:hAnsi="Calibri"/>
          <w:color w:val="19242D"/>
          <w:sz w:val="22"/>
        </w:rPr>
        <w:t>Eliminar el mensaje reaccionado; verificar en ambos clientes que desaparecen cuerpo y reacciones en el mismo ciclo de listener.</w:t>
      </w:r>
    </w:p>
    <w:p>
      <w:pPr>
        <w:pStyle w:val="ListNumber"/>
      </w:pPr>
      <w:r>
        <w:rPr>
          <w:rFonts w:ascii="Calibri" w:hAnsi="Calibri"/>
          <w:color w:val="19242D"/>
          <w:sz w:val="22"/>
        </w:rPr>
        <w:t>Escribir y detenerse sin enviar; confirmar que el indicador desaparece. Después redactar, recargar y verificar recuperación del borrador.</w:t>
      </w:r>
    </w:p>
    <w:p>
      <w:pPr>
        <w:pStyle w:val="ListNumber"/>
      </w:pPr>
      <w:r>
        <w:rPr>
          <w:rFonts w:ascii="Calibri" w:hAnsi="Calibri"/>
          <w:color w:val="19242D"/>
          <w:sz w:val="22"/>
        </w:rPr>
        <w:t>Probar Ctrl/Cmd+K, Alt+Shift+N, Escape, Enter y Shift+Enter únicamente con teclado.</w:t>
      </w:r>
    </w:p>
    <w:p>
      <w:pPr>
        <w:pStyle w:val="ListNumber"/>
      </w:pPr>
      <w:r>
        <w:rPr>
          <w:rFonts w:ascii="Calibri" w:hAnsi="Calibri"/>
          <w:color w:val="19242D"/>
          <w:sz w:val="22"/>
        </w:rPr>
        <w:t>Repetir en ancho móvil y escritorio, con zoom 200 %, lector de pantalla y foco visible.</w:t>
      </w:r>
    </w:p>
    <w:p>
      <w:pPr>
        <w:pStyle w:val="Heading1"/>
      </w:pPr>
      <w:r>
        <w:t>10. Despliegue y operación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FF4D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203748"/>
                <w:sz w:val="21"/>
              </w:rPr>
              <w:t>Acción obligatoria antes de producción</w:t>
            </w:r>
          </w:p>
          <w:p>
            <w:pPr>
              <w:spacing w:after="0"/>
            </w:pPr>
            <w:r>
              <w:rPr>
                <w:rFonts w:ascii="Calibri" w:hAnsi="Calibri"/>
                <w:color w:val="19242D"/>
                <w:sz w:val="20"/>
              </w:rPr>
              <w:t>Desplegar firestore.indexes.json en el proyecto correcto. La consulta paginada depende del índice compuesto; si el índice aún está construyéndose, Firestore devolverá un error controlado con requestId.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Calibri" w:hAnsi="Calibri"/>
          <w:color w:val="19242D"/>
          <w:sz w:val="22"/>
        </w:rPr>
        <w:t>Observar eventos chat_request por endpoint, resultado, durationMs, código y categoría; crear alertas de p95 y tasa de error.</w:t>
      </w:r>
    </w:p>
    <w:p>
      <w:pPr>
        <w:pStyle w:val="ListBullet"/>
      </w:pPr>
      <w:r>
        <w:rPr>
          <w:rFonts w:ascii="Calibri" w:hAnsi="Calibri"/>
          <w:color w:val="19242D"/>
          <w:sz w:val="22"/>
        </w:rPr>
        <w:t>Supervisar RESOURCE_EXHAUSTED y la cuota de Firestore/Storage; el mensaje de fogata es recuperación de experiencia, no reemplaza ampliar o corregir capacidad.</w:t>
      </w:r>
    </w:p>
    <w:p>
      <w:pPr>
        <w:pStyle w:val="ListBullet"/>
      </w:pPr>
      <w:r>
        <w:rPr>
          <w:rFonts w:ascii="Calibri" w:hAnsi="Calibri"/>
          <w:color w:val="19242D"/>
          <w:sz w:val="22"/>
        </w:rPr>
        <w:t>Ejecutar npm run test:chat-auth, lint acotado y npm run build en cada liberación.</w:t>
      </w:r>
    </w:p>
    <w:p>
      <w:pPr>
        <w:pStyle w:val="ListBullet"/>
      </w:pPr>
      <w:r>
        <w:rPr>
          <w:rFonts w:ascii="Calibri" w:hAnsi="Calibri"/>
          <w:color w:val="19242D"/>
          <w:sz w:val="22"/>
        </w:rPr>
        <w:t>Repetir el benchmark después de cambios en mezcla de mensajes, paginación, autenticación o presencia.</w:t>
      </w:r>
    </w:p>
    <w:p>
      <w:pPr>
        <w:pStyle w:val="Heading1"/>
      </w:pPr>
      <w:r>
        <w:t>11. Riesgos residuales y próximos pasos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000"/>
        <w:gridCol w:w="4860"/>
        <w:gridCol w:w="1500"/>
      </w:tblGrid>
      <w:tr>
        <w:trPr>
          <w:tblHeader w:val="true"/>
          <w:cantSplit/>
        </w:trPr>
        <w:tc>
          <w:tcPr>
            <w:tcW w:type="dxa" w:w="3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color w:val="203748"/>
                <w:sz w:val="18"/>
              </w:rPr>
              <w:t>Riesgo / pendiente</w:t>
            </w:r>
          </w:p>
        </w:tc>
        <w:tc>
          <w:tcPr>
            <w:tcW w:type="dxa" w:w="48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color w:val="203748"/>
                <w:sz w:val="18"/>
              </w:rPr>
              <w:t>Tratamiento recomendado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color w:val="203748"/>
                <w:sz w:val="18"/>
              </w:rPr>
              <w:t>Prioridad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Búsqueda histórica total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Incorporar servicio/índice dedicado si se requiere buscar el cuerpo de todos los mensajes sin cargar páginas.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Media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QA autenticado multinavegador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Completar matriz manual con dos cuentas y dispositivos reales antes de liberar.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Alta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Cuota externa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Medir lecturas/escrituras reales y ajustar plan, alertas o topología si reaparece RESOURCE_EXHAUSTED.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Alta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Accesibilidad integral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Ejecutar auditoría con lector de pantalla, zoom 200 % y contraste en la sesión autenticada.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Alta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Telemetría agregada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Conectar logs estructurados a panel y alertas; no añadir PII a etiquetas de métricas.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Media</w:t>
            </w:r>
          </w:p>
        </w:tc>
      </w:tr>
    </w:tbl>
    <w:p>
      <w:pPr>
        <w:spacing w:after="0"/>
      </w:pPr>
    </w:p>
    <w:p>
      <w:pPr>
        <w:pStyle w:val="Heading1"/>
      </w:pPr>
      <w:r>
        <w:t>12. Archivos técnicos principales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color w:val="203748"/>
                <w:sz w:val="18"/>
              </w:rPr>
              <w:t>Área</w:t>
            </w:r>
          </w:p>
        </w:tc>
        <w:tc>
          <w:tcPr>
            <w:tcW w:type="dxa" w:w="7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/>
                <w:color w:val="203748"/>
                <w:sz w:val="18"/>
              </w:rPr>
              <w:t>Archivos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API y servidor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src/app/api/chat/route.js; src/server/chat-pagination.mjs; chat-observability.mjs; chat-auth-core.mjs; chat-firestore-rest.mjs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Cliente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src/actions/chat.js; src/sections/chat/chat-nav.jsx; chat-message-input.jsx; chat-message-item.jsx; chat-message-list.jsx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Tiempo real y presencia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use-chat-realtime-sync.js; use-presence-status.js; realtime-sync.mjs; presence-state.mjs; src/lib/chat-presence.js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Seguridad y archivos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src/lib/axios.js; src/utils/firebase-file-storage.js; src/utils/chat-error.mjs; chat-reaction-core.mjs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QA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color w:val="19242D"/>
                <w:sz w:val="18"/>
              </w:rPr>
              <w:t>tests/chat/*.test.mjs; scripts/benchmark-chat.mjs; firestore.indexes.json</w:t>
            </w:r>
          </w:p>
        </w:tc>
      </w:tr>
    </w:tbl>
    <w:p>
      <w:pPr>
        <w:spacing w:after="0"/>
      </w:pPr>
    </w:p>
    <w:p>
      <w:r>
        <w:rPr>
          <w:rFonts w:ascii="Calibri" w:hAnsi="Calibri"/>
          <w:i/>
          <w:color w:val="19242D"/>
          <w:sz w:val="22"/>
        </w:rPr>
        <w:t>Conclusión: el módulo queda con una base más cercana a una mensajería empresarial: sincronización inmediata, estados multidispositivo, costo acotado por página, controles de seguridad verificables y una ruta clara de operación. Los pendientes documentados son validaciones y capacidades de infraestructura adicionales, no fallos ocultados en la evidencia presentada.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/>
      <w:jc w:val="right"/>
    </w:pPr>
    <w:r/>
    <w:r>
      <w:rPr>
        <w:rFonts w:ascii="Calibri" w:hAnsi="Calibri"/>
        <w:color w:val="5C6975"/>
        <w:sz w:val="18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pBdr>
        <w:bottom w:val="single" w:sz="8" w:space="1" w:color="D7DBE2"/>
        <w:bottom w:val="single" w:sz="8" w:space="1" w:color="D7DBE2"/>
      </w:pBdr>
    </w:pPr>
    <w:r/>
    <w:r>
      <w:rPr>
        <w:rFonts w:ascii="Calibri" w:hAnsi="Calibri"/>
        <w:b/>
        <w:color w:val="5C6975"/>
        <w:sz w:val="17"/>
      </w:rPr>
      <w:t>EDR DASHBOARD 1.1  |  INFORME TÉCNICO DE CHAT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/>
      <w:color w:val="1924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de cierre del módulo Chat</dc:title>
  <dc:subject>Rendimiento, presencia, experiencia y QA</dc:subject>
  <dc:creator/>
  <cp:keywords>chat, mensajería, Firestore, rendimiento, presencia, QA</cp:keywords>
  <dc:description>Generado a partir de evidencia de implementación y pruebas.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