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55F" w:rsidRPr="00FD455F" w:rsidRDefault="00FD455F" w:rsidP="00FD455F">
      <w:pPr>
        <w:shd w:val="clear" w:color="auto" w:fill="F2F2F2"/>
        <w:spacing w:before="300" w:after="0" w:line="750" w:lineRule="atLeast"/>
        <w:jc w:val="center"/>
        <w:outlineLvl w:val="0"/>
        <w:rPr>
          <w:rFonts w:ascii="Arial" w:eastAsia="Times New Roman" w:hAnsi="Arial" w:cs="Arial"/>
          <w:spacing w:val="30"/>
          <w:kern w:val="36"/>
          <w:sz w:val="24"/>
          <w:szCs w:val="24"/>
          <w:lang w:eastAsia="es-PE"/>
        </w:rPr>
      </w:pPr>
      <w:r w:rsidRPr="00FD455F">
        <w:rPr>
          <w:rFonts w:ascii="Arial" w:eastAsia="Times New Roman" w:hAnsi="Arial" w:cs="Arial"/>
          <w:spacing w:val="30"/>
          <w:kern w:val="36"/>
          <w:sz w:val="24"/>
          <w:szCs w:val="24"/>
          <w:lang w:eastAsia="es-PE"/>
        </w:rPr>
        <w:t xml:space="preserve">Cómo prepararse para la </w:t>
      </w:r>
      <w:proofErr w:type="spellStart"/>
      <w:r w:rsidRPr="00FD455F">
        <w:rPr>
          <w:rFonts w:ascii="Arial" w:eastAsia="Times New Roman" w:hAnsi="Arial" w:cs="Arial"/>
          <w:spacing w:val="30"/>
          <w:kern w:val="36"/>
          <w:sz w:val="24"/>
          <w:szCs w:val="24"/>
          <w:lang w:eastAsia="es-PE"/>
        </w:rPr>
        <w:t>Certified</w:t>
      </w:r>
      <w:proofErr w:type="spellEnd"/>
      <w:r w:rsidRPr="00FD455F">
        <w:rPr>
          <w:rFonts w:ascii="Arial" w:eastAsia="Times New Roman" w:hAnsi="Arial" w:cs="Arial"/>
          <w:spacing w:val="30"/>
          <w:kern w:val="36"/>
          <w:sz w:val="24"/>
          <w:szCs w:val="24"/>
          <w:lang w:eastAsia="es-PE"/>
        </w:rPr>
        <w:t xml:space="preserve"> in Business </w:t>
      </w:r>
      <w:proofErr w:type="spellStart"/>
      <w:r w:rsidRPr="00FD455F">
        <w:rPr>
          <w:rFonts w:ascii="Arial" w:eastAsia="Times New Roman" w:hAnsi="Arial" w:cs="Arial"/>
          <w:spacing w:val="30"/>
          <w:kern w:val="36"/>
          <w:sz w:val="24"/>
          <w:szCs w:val="24"/>
          <w:lang w:eastAsia="es-PE"/>
        </w:rPr>
        <w:t>Analysis</w:t>
      </w:r>
      <w:proofErr w:type="spellEnd"/>
      <w:r w:rsidRPr="00FD455F">
        <w:rPr>
          <w:rFonts w:ascii="Arial" w:eastAsia="Times New Roman" w:hAnsi="Arial" w:cs="Arial"/>
          <w:spacing w:val="30"/>
          <w:kern w:val="36"/>
          <w:sz w:val="24"/>
          <w:szCs w:val="24"/>
          <w:lang w:eastAsia="es-PE"/>
        </w:rPr>
        <w:t xml:space="preserve"> Professional®</w:t>
      </w:r>
    </w:p>
    <w:p w:rsidR="00C26B2E" w:rsidRDefault="00C26B2E"/>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La certificación </w:t>
      </w:r>
      <w:proofErr w:type="spellStart"/>
      <w:r w:rsidRPr="00FD455F">
        <w:rPr>
          <w:rFonts w:ascii="Futura" w:eastAsia="Times New Roman" w:hAnsi="Futura" w:cs="Times New Roman"/>
          <w:b/>
          <w:bCs/>
          <w:color w:val="4B4B4D"/>
          <w:sz w:val="24"/>
          <w:szCs w:val="24"/>
          <w:lang w:eastAsia="es-PE"/>
        </w:rPr>
        <w:t>Certified</w:t>
      </w:r>
      <w:proofErr w:type="spellEnd"/>
      <w:r w:rsidRPr="00FD455F">
        <w:rPr>
          <w:rFonts w:ascii="Futura" w:eastAsia="Times New Roman" w:hAnsi="Futura" w:cs="Times New Roman"/>
          <w:b/>
          <w:bCs/>
          <w:color w:val="4B4B4D"/>
          <w:sz w:val="24"/>
          <w:szCs w:val="24"/>
          <w:lang w:eastAsia="es-PE"/>
        </w:rPr>
        <w:t xml:space="preserve"> in Business </w:t>
      </w:r>
      <w:proofErr w:type="spellStart"/>
      <w:r w:rsidRPr="00FD455F">
        <w:rPr>
          <w:rFonts w:ascii="Futura" w:eastAsia="Times New Roman" w:hAnsi="Futura" w:cs="Times New Roman"/>
          <w:b/>
          <w:bCs/>
          <w:color w:val="4B4B4D"/>
          <w:sz w:val="24"/>
          <w:szCs w:val="24"/>
          <w:lang w:eastAsia="es-PE"/>
        </w:rPr>
        <w:t>analysis</w:t>
      </w:r>
      <w:proofErr w:type="spellEnd"/>
      <w:r w:rsidRPr="00FD455F">
        <w:rPr>
          <w:rFonts w:ascii="Futura" w:eastAsia="Times New Roman" w:hAnsi="Futura" w:cs="Times New Roman"/>
          <w:b/>
          <w:bCs/>
          <w:color w:val="4B4B4D"/>
          <w:sz w:val="24"/>
          <w:szCs w:val="24"/>
          <w:lang w:eastAsia="es-PE"/>
        </w:rPr>
        <w:t xml:space="preserve"> Professional (CBAP</w:t>
      </w:r>
      <w:proofErr w:type="gramStart"/>
      <w:r w:rsidRPr="00FD455F">
        <w:rPr>
          <w:rFonts w:ascii="Futura" w:eastAsia="Times New Roman" w:hAnsi="Futura" w:cs="Times New Roman"/>
          <w:b/>
          <w:bCs/>
          <w:color w:val="4B4B4D"/>
          <w:sz w:val="24"/>
          <w:szCs w:val="24"/>
          <w:lang w:eastAsia="es-PE"/>
        </w:rPr>
        <w:t>)®</w:t>
      </w:r>
      <w:proofErr w:type="gramEnd"/>
      <w:r w:rsidRPr="00FD455F">
        <w:rPr>
          <w:rFonts w:ascii="Futura" w:eastAsia="Times New Roman" w:hAnsi="Futura" w:cs="Times New Roman"/>
          <w:color w:val="4B4B4D"/>
          <w:sz w:val="24"/>
          <w:szCs w:val="24"/>
          <w:lang w:eastAsia="es-PE"/>
        </w:rPr>
        <w:t xml:space="preserve"> es la más reconocida internacionalmente, a día de hoy, en Business </w:t>
      </w:r>
      <w:proofErr w:type="spellStart"/>
      <w:r w:rsidRPr="00FD455F">
        <w:rPr>
          <w:rFonts w:ascii="Futura" w:eastAsia="Times New Roman" w:hAnsi="Futura" w:cs="Times New Roman"/>
          <w:color w:val="4B4B4D"/>
          <w:sz w:val="24"/>
          <w:szCs w:val="24"/>
          <w:lang w:eastAsia="es-PE"/>
        </w:rPr>
        <w:t>Analysis</w:t>
      </w:r>
      <w:proofErr w:type="spellEnd"/>
      <w:r w:rsidRPr="00FD455F">
        <w:rPr>
          <w:rFonts w:ascii="Futura" w:eastAsia="Times New Roman" w:hAnsi="Futura" w:cs="Times New Roman"/>
          <w:color w:val="4B4B4D"/>
          <w:sz w:val="24"/>
          <w:szCs w:val="24"/>
          <w:lang w:eastAsia="es-PE"/>
        </w:rPr>
        <w:t xml:space="preserve">. Más de 1000 personas en 30 países disponen actualmente de esta certificación, aunque se espera que el número crezca dada la creciente importancia estratégica que está adquiriendo el análisis de negocio en las organizaciones. Está emitida por el IIBA (International </w:t>
      </w:r>
      <w:proofErr w:type="spellStart"/>
      <w:r w:rsidRPr="00FD455F">
        <w:rPr>
          <w:rFonts w:ascii="Futura" w:eastAsia="Times New Roman" w:hAnsi="Futura" w:cs="Times New Roman"/>
          <w:color w:val="4B4B4D"/>
          <w:sz w:val="24"/>
          <w:szCs w:val="24"/>
          <w:lang w:eastAsia="es-PE"/>
        </w:rPr>
        <w:t>Institute</w:t>
      </w:r>
      <w:proofErr w:type="spellEnd"/>
      <w:r w:rsidRPr="00FD455F">
        <w:rPr>
          <w:rFonts w:ascii="Futura" w:eastAsia="Times New Roman" w:hAnsi="Futura" w:cs="Times New Roman"/>
          <w:color w:val="4B4B4D"/>
          <w:sz w:val="24"/>
          <w:szCs w:val="24"/>
          <w:lang w:eastAsia="es-PE"/>
        </w:rPr>
        <w:t xml:space="preserve"> of Business </w:t>
      </w:r>
      <w:proofErr w:type="spellStart"/>
      <w:r w:rsidRPr="00FD455F">
        <w:rPr>
          <w:rFonts w:ascii="Futura" w:eastAsia="Times New Roman" w:hAnsi="Futura" w:cs="Times New Roman"/>
          <w:color w:val="4B4B4D"/>
          <w:sz w:val="24"/>
          <w:szCs w:val="24"/>
          <w:lang w:eastAsia="es-PE"/>
        </w:rPr>
        <w:t>Analysis</w:t>
      </w:r>
      <w:proofErr w:type="spellEnd"/>
      <w:r w:rsidRPr="00FD455F">
        <w:rPr>
          <w:rFonts w:ascii="Futura" w:eastAsia="Times New Roman" w:hAnsi="Futura" w:cs="Times New Roman"/>
          <w:color w:val="4B4B4D"/>
          <w:sz w:val="24"/>
          <w:szCs w:val="24"/>
          <w:lang w:eastAsia="es-PE"/>
        </w:rPr>
        <w:t xml:space="preserve">) y se basa en las buenas prácticas en Business </w:t>
      </w:r>
      <w:proofErr w:type="spellStart"/>
      <w:r w:rsidRPr="00FD455F">
        <w:rPr>
          <w:rFonts w:ascii="Futura" w:eastAsia="Times New Roman" w:hAnsi="Futura" w:cs="Times New Roman"/>
          <w:color w:val="4B4B4D"/>
          <w:sz w:val="24"/>
          <w:szCs w:val="24"/>
          <w:lang w:eastAsia="es-PE"/>
        </w:rPr>
        <w:t>Analysis</w:t>
      </w:r>
      <w:proofErr w:type="spellEnd"/>
      <w:r w:rsidRPr="00FD455F">
        <w:rPr>
          <w:rFonts w:ascii="Futura" w:eastAsia="Times New Roman" w:hAnsi="Futura" w:cs="Times New Roman"/>
          <w:color w:val="4B4B4D"/>
          <w:sz w:val="24"/>
          <w:szCs w:val="24"/>
          <w:lang w:eastAsia="es-PE"/>
        </w:rPr>
        <w:t xml:space="preserve"> recogidas en la Guía del BABOK® (ver </w:t>
      </w:r>
      <w:hyperlink r:id="rId5" w:tgtFrame="_blank" w:tooltip="Business Analysis: La clave del éxito de los proyectos" w:history="1">
        <w:r w:rsidRPr="00FD455F">
          <w:rPr>
            <w:rFonts w:ascii="Futura" w:eastAsia="Times New Roman" w:hAnsi="Futura" w:cs="Times New Roman"/>
            <w:color w:val="FFFFFF"/>
            <w:sz w:val="24"/>
            <w:szCs w:val="24"/>
            <w:u w:val="single"/>
            <w:lang w:eastAsia="es-PE"/>
          </w:rPr>
          <w:t xml:space="preserve">«Business </w:t>
        </w:r>
        <w:proofErr w:type="spellStart"/>
        <w:r w:rsidRPr="00FD455F">
          <w:rPr>
            <w:rFonts w:ascii="Futura" w:eastAsia="Times New Roman" w:hAnsi="Futura" w:cs="Times New Roman"/>
            <w:color w:val="FFFFFF"/>
            <w:sz w:val="24"/>
            <w:szCs w:val="24"/>
            <w:u w:val="single"/>
            <w:lang w:eastAsia="es-PE"/>
          </w:rPr>
          <w:t>Analysis</w:t>
        </w:r>
        <w:proofErr w:type="spellEnd"/>
        <w:r w:rsidRPr="00FD455F">
          <w:rPr>
            <w:rFonts w:ascii="Futura" w:eastAsia="Times New Roman" w:hAnsi="Futura" w:cs="Times New Roman"/>
            <w:color w:val="FFFFFF"/>
            <w:sz w:val="24"/>
            <w:szCs w:val="24"/>
            <w:u w:val="single"/>
            <w:lang w:eastAsia="es-PE"/>
          </w:rPr>
          <w:t>: la Clave del Éxito de los Proyectos»</w:t>
        </w:r>
      </w:hyperlink>
      <w:r w:rsidRPr="00FD455F">
        <w:rPr>
          <w:rFonts w:ascii="Futura" w:eastAsia="Times New Roman" w:hAnsi="Futura" w:cs="Times New Roman"/>
          <w:color w:val="4B4B4D"/>
          <w:sz w:val="24"/>
          <w:szCs w:val="24"/>
          <w:lang w:eastAsia="es-PE"/>
        </w:rPr>
        <w:t>).</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La certificación CBAP reconoce como profesional del análisis de negocio, y acredita no solo un amplio conocimiento de la Guía del BABOK, sino también experiencia profesional como analista. Desde el IIBA se define al profesional certificado en BA como “un miembro de la élite de la comunidad de BA, así como un reconocido experto en identificar las necesidades de negocio de una organización con el fin de determinar soluciones de negocio”. Podría considerarse el equivalente en BA a lo que sería el PMP para la Dirección de Proyectos.</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En este post intentamos dar algunas </w:t>
      </w:r>
      <w:r w:rsidRPr="00FD455F">
        <w:rPr>
          <w:rFonts w:ascii="Futura" w:eastAsia="Times New Roman" w:hAnsi="Futura" w:cs="Times New Roman"/>
          <w:b/>
          <w:bCs/>
          <w:color w:val="4B4B4D"/>
          <w:sz w:val="24"/>
          <w:szCs w:val="24"/>
          <w:lang w:eastAsia="es-PE"/>
        </w:rPr>
        <w:t>orientaciones y guías</w:t>
      </w:r>
      <w:r w:rsidRPr="00FD455F">
        <w:rPr>
          <w:rFonts w:ascii="Futura" w:eastAsia="Times New Roman" w:hAnsi="Futura" w:cs="Times New Roman"/>
          <w:color w:val="4B4B4D"/>
          <w:sz w:val="24"/>
          <w:szCs w:val="24"/>
          <w:lang w:eastAsia="es-PE"/>
        </w:rPr>
        <w:t> para preparar el examen del CBAP:</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b/>
          <w:bCs/>
          <w:color w:val="4B4B4D"/>
          <w:sz w:val="24"/>
          <w:szCs w:val="24"/>
          <w:lang w:eastAsia="es-PE"/>
        </w:rPr>
        <w:t>1. Requisitos para presentarse al examen CBAP</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En primer lugar, para poder presentarse es necesario cumplir con los siguientes requisitos:</w:t>
      </w:r>
    </w:p>
    <w:p w:rsidR="00FD455F" w:rsidRPr="00FD455F" w:rsidRDefault="00FD455F" w:rsidP="00FD455F">
      <w:pPr>
        <w:numPr>
          <w:ilvl w:val="0"/>
          <w:numId w:val="1"/>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Aportar un </w:t>
      </w:r>
      <w:r w:rsidRPr="00FD455F">
        <w:rPr>
          <w:rFonts w:ascii="Futura" w:eastAsia="Times New Roman" w:hAnsi="Futura" w:cs="Times New Roman"/>
          <w:b/>
          <w:bCs/>
          <w:color w:val="4B4B4D"/>
          <w:sz w:val="24"/>
          <w:szCs w:val="24"/>
          <w:lang w:eastAsia="es-PE"/>
        </w:rPr>
        <w:t>mínimo de 7500 horas</w:t>
      </w:r>
      <w:r w:rsidRPr="00FD455F">
        <w:rPr>
          <w:rFonts w:ascii="Futura" w:eastAsia="Times New Roman" w:hAnsi="Futura" w:cs="Times New Roman"/>
          <w:color w:val="4B4B4D"/>
          <w:sz w:val="24"/>
          <w:szCs w:val="24"/>
          <w:lang w:eastAsia="es-PE"/>
        </w:rPr>
        <w:t> (en los últimos 10 años) de experiencia como analista, en actividades alineadas con la Guía BABOK (eso implica disponer de un conocimiento de los contenidos de la Guía previo al proceso de inscripción). Específicamente se incluyen como experiencias válidas las siguientes:</w:t>
      </w:r>
    </w:p>
    <w:p w:rsidR="00FD455F" w:rsidRPr="00FD455F" w:rsidRDefault="00FD455F" w:rsidP="00FD455F">
      <w:pPr>
        <w:numPr>
          <w:ilvl w:val="1"/>
          <w:numId w:val="1"/>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Trabajar directamente haciendo análisis (</w:t>
      </w:r>
      <w:proofErr w:type="spellStart"/>
      <w:r w:rsidRPr="00FD455F">
        <w:rPr>
          <w:rFonts w:ascii="Futura" w:eastAsia="Times New Roman" w:hAnsi="Futura" w:cs="Times New Roman"/>
          <w:i/>
          <w:iCs/>
          <w:color w:val="4B4B4D"/>
          <w:sz w:val="24"/>
          <w:szCs w:val="24"/>
          <w:lang w:eastAsia="es-PE"/>
        </w:rPr>
        <w:t>hands-on</w:t>
      </w:r>
      <w:proofErr w:type="spellEnd"/>
      <w:r w:rsidRPr="00FD455F">
        <w:rPr>
          <w:rFonts w:ascii="Futura" w:eastAsia="Times New Roman" w:hAnsi="Futura" w:cs="Times New Roman"/>
          <w:color w:val="4B4B4D"/>
          <w:sz w:val="24"/>
          <w:szCs w:val="24"/>
          <w:lang w:eastAsia="es-PE"/>
        </w:rPr>
        <w:t>) (excluyendo explícitamente las tareas de dirección de proyectos)</w:t>
      </w:r>
    </w:p>
    <w:p w:rsidR="00FD455F" w:rsidRPr="00FD455F" w:rsidRDefault="00FD455F" w:rsidP="00FD455F">
      <w:pPr>
        <w:numPr>
          <w:ilvl w:val="1"/>
          <w:numId w:val="1"/>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 xml:space="preserve">Coaching o </w:t>
      </w:r>
      <w:proofErr w:type="spellStart"/>
      <w:r w:rsidRPr="00FD455F">
        <w:rPr>
          <w:rFonts w:ascii="Futura" w:eastAsia="Times New Roman" w:hAnsi="Futura" w:cs="Times New Roman"/>
          <w:color w:val="4B4B4D"/>
          <w:sz w:val="24"/>
          <w:szCs w:val="24"/>
          <w:lang w:eastAsia="es-PE"/>
        </w:rPr>
        <w:t>mentoring</w:t>
      </w:r>
      <w:proofErr w:type="spellEnd"/>
      <w:r w:rsidRPr="00FD455F">
        <w:rPr>
          <w:rFonts w:ascii="Futura" w:eastAsia="Times New Roman" w:hAnsi="Futura" w:cs="Times New Roman"/>
          <w:color w:val="4B4B4D"/>
          <w:sz w:val="24"/>
          <w:szCs w:val="24"/>
          <w:lang w:eastAsia="es-PE"/>
        </w:rPr>
        <w:t xml:space="preserve"> a analistas (excluyendo formaciones formales)</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(IIBA avisa que las horas correspondientes a cualquier experiencia reportada que no corresponda a las actividades anteriores, o que no esté alineada con el BABOK, serán restadas del total)</w:t>
      </w:r>
    </w:p>
    <w:p w:rsidR="00FD455F" w:rsidRPr="00FD455F" w:rsidRDefault="00FD455F" w:rsidP="00FD455F">
      <w:pPr>
        <w:numPr>
          <w:ilvl w:val="0"/>
          <w:numId w:val="2"/>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De éstas, un </w:t>
      </w:r>
      <w:r w:rsidRPr="00FD455F">
        <w:rPr>
          <w:rFonts w:ascii="Futura" w:eastAsia="Times New Roman" w:hAnsi="Futura" w:cs="Times New Roman"/>
          <w:b/>
          <w:bCs/>
          <w:color w:val="4B4B4D"/>
          <w:sz w:val="24"/>
          <w:szCs w:val="24"/>
          <w:lang w:eastAsia="es-PE"/>
        </w:rPr>
        <w:t>mínimo de 900 horas</w:t>
      </w:r>
      <w:r w:rsidRPr="00FD455F">
        <w:rPr>
          <w:rFonts w:ascii="Futura" w:eastAsia="Times New Roman" w:hAnsi="Futura" w:cs="Times New Roman"/>
          <w:color w:val="4B4B4D"/>
          <w:sz w:val="24"/>
          <w:szCs w:val="24"/>
          <w:lang w:eastAsia="es-PE"/>
        </w:rPr>
        <w:t> en cuatro de las seis áreas de conocimiento</w:t>
      </w:r>
    </w:p>
    <w:p w:rsidR="00FD455F" w:rsidRPr="00FD455F" w:rsidRDefault="00FD455F" w:rsidP="00FD455F">
      <w:pPr>
        <w:numPr>
          <w:ilvl w:val="0"/>
          <w:numId w:val="2"/>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Aportar un </w:t>
      </w:r>
      <w:r w:rsidRPr="00FD455F">
        <w:rPr>
          <w:rFonts w:ascii="Futura" w:eastAsia="Times New Roman" w:hAnsi="Futura" w:cs="Times New Roman"/>
          <w:b/>
          <w:bCs/>
          <w:color w:val="4B4B4D"/>
          <w:sz w:val="24"/>
          <w:szCs w:val="24"/>
          <w:lang w:eastAsia="es-PE"/>
        </w:rPr>
        <w:t>mínimo de 21h</w:t>
      </w:r>
      <w:r w:rsidRPr="00FD455F">
        <w:rPr>
          <w:rFonts w:ascii="Futura" w:eastAsia="Times New Roman" w:hAnsi="Futura" w:cs="Times New Roman"/>
          <w:color w:val="4B4B4D"/>
          <w:sz w:val="24"/>
          <w:szCs w:val="24"/>
          <w:lang w:eastAsia="es-PE"/>
        </w:rPr>
        <w:t xml:space="preserve"> de desarrollo profesional (Professional </w:t>
      </w:r>
      <w:proofErr w:type="spellStart"/>
      <w:r w:rsidRPr="00FD455F">
        <w:rPr>
          <w:rFonts w:ascii="Futura" w:eastAsia="Times New Roman" w:hAnsi="Futura" w:cs="Times New Roman"/>
          <w:color w:val="4B4B4D"/>
          <w:sz w:val="24"/>
          <w:szCs w:val="24"/>
          <w:lang w:eastAsia="es-PE"/>
        </w:rPr>
        <w:t>Development</w:t>
      </w:r>
      <w:proofErr w:type="spellEnd"/>
      <w:r w:rsidRPr="00FD455F">
        <w:rPr>
          <w:rFonts w:ascii="Futura" w:eastAsia="Times New Roman" w:hAnsi="Futura" w:cs="Times New Roman"/>
          <w:color w:val="4B4B4D"/>
          <w:sz w:val="24"/>
          <w:szCs w:val="24"/>
          <w:lang w:eastAsia="es-PE"/>
        </w:rPr>
        <w:t>) en los últimos cuatro años (y previamente a la presentación de la solicitud). Dentro de las actuaciones permitidas para cumplir este requisito están Cursos formales o sesiones de facilitación (workshops,…) que tengan un objetivo de aprendizaje claro y medible y siempre y cuando permitan la interacción y prácticas</w:t>
      </w:r>
    </w:p>
    <w:p w:rsidR="00FD455F" w:rsidRPr="00FD455F" w:rsidRDefault="00FD455F" w:rsidP="00FD455F">
      <w:pPr>
        <w:numPr>
          <w:ilvl w:val="0"/>
          <w:numId w:val="2"/>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lastRenderedPageBreak/>
        <w:t>Aportar </w:t>
      </w:r>
      <w:r w:rsidRPr="00FD455F">
        <w:rPr>
          <w:rFonts w:ascii="Futura" w:eastAsia="Times New Roman" w:hAnsi="Futura" w:cs="Times New Roman"/>
          <w:b/>
          <w:bCs/>
          <w:color w:val="4B4B4D"/>
          <w:sz w:val="24"/>
          <w:szCs w:val="24"/>
          <w:lang w:eastAsia="es-PE"/>
        </w:rPr>
        <w:t>2 Referencias</w:t>
      </w:r>
      <w:r w:rsidRPr="00FD455F">
        <w:rPr>
          <w:rFonts w:ascii="Futura" w:eastAsia="Times New Roman" w:hAnsi="Futura" w:cs="Times New Roman"/>
          <w:color w:val="4B4B4D"/>
          <w:sz w:val="24"/>
          <w:szCs w:val="24"/>
          <w:lang w:eastAsia="es-PE"/>
        </w:rPr>
        <w:t xml:space="preserve"> de </w:t>
      </w:r>
      <w:proofErr w:type="spellStart"/>
      <w:r w:rsidRPr="00FD455F">
        <w:rPr>
          <w:rFonts w:ascii="Futura" w:eastAsia="Times New Roman" w:hAnsi="Futura" w:cs="Times New Roman"/>
          <w:color w:val="4B4B4D"/>
          <w:sz w:val="24"/>
          <w:szCs w:val="24"/>
          <w:lang w:eastAsia="es-PE"/>
        </w:rPr>
        <w:t>Career</w:t>
      </w:r>
      <w:proofErr w:type="spellEnd"/>
      <w:r w:rsidRPr="00FD455F">
        <w:rPr>
          <w:rFonts w:ascii="Futura" w:eastAsia="Times New Roman" w:hAnsi="Futura" w:cs="Times New Roman"/>
          <w:color w:val="4B4B4D"/>
          <w:sz w:val="24"/>
          <w:szCs w:val="24"/>
          <w:lang w:eastAsia="es-PE"/>
        </w:rPr>
        <w:t xml:space="preserve"> Managers (dos responsables de la evolución profesional del candidato en algunas de las experiencias reportadas, Project Managers no son referencias válidas)</w:t>
      </w:r>
    </w:p>
    <w:p w:rsidR="00FD455F" w:rsidRPr="00FD455F" w:rsidRDefault="00FD455F" w:rsidP="00FD455F">
      <w:pPr>
        <w:numPr>
          <w:ilvl w:val="0"/>
          <w:numId w:val="2"/>
        </w:numPr>
        <w:shd w:val="clear" w:color="auto" w:fill="F2F2F2"/>
        <w:spacing w:before="100" w:beforeAutospacing="1" w:after="100" w:afterAutospacing="1"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Firmar el Código de Conducta</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Toda esta información debe reportarse a través de la </w:t>
      </w:r>
      <w:hyperlink r:id="rId6" w:tgtFrame="_blank" w:tooltip="IIBA" w:history="1">
        <w:r w:rsidRPr="00FD455F">
          <w:rPr>
            <w:rFonts w:ascii="Futura" w:eastAsia="Times New Roman" w:hAnsi="Futura" w:cs="Times New Roman"/>
            <w:color w:val="FFFFFF"/>
            <w:sz w:val="24"/>
            <w:szCs w:val="24"/>
            <w:u w:val="single"/>
            <w:lang w:eastAsia="es-PE"/>
          </w:rPr>
          <w:t>web de IIBA</w:t>
        </w:r>
      </w:hyperlink>
      <w:r w:rsidRPr="00FD455F">
        <w:rPr>
          <w:rFonts w:ascii="Futura" w:eastAsia="Times New Roman" w:hAnsi="Futura" w:cs="Times New Roman"/>
          <w:color w:val="4B4B4D"/>
          <w:sz w:val="24"/>
          <w:szCs w:val="24"/>
          <w:lang w:eastAsia="es-PE"/>
        </w:rPr>
        <w:t>. También está disponible para descarga el </w:t>
      </w:r>
      <w:hyperlink r:id="rId7" w:tgtFrame="_blank" w:tooltip="CBAP Certificacion Handbook" w:history="1">
        <w:r w:rsidRPr="00FD455F">
          <w:rPr>
            <w:rFonts w:ascii="Futura" w:eastAsia="Times New Roman" w:hAnsi="Futura" w:cs="Times New Roman"/>
            <w:color w:val="FFFFFF"/>
            <w:sz w:val="24"/>
            <w:szCs w:val="24"/>
            <w:u w:val="single"/>
            <w:lang w:eastAsia="es-PE"/>
          </w:rPr>
          <w:t xml:space="preserve">CBAP </w:t>
        </w:r>
        <w:proofErr w:type="spellStart"/>
        <w:r w:rsidRPr="00FD455F">
          <w:rPr>
            <w:rFonts w:ascii="Futura" w:eastAsia="Times New Roman" w:hAnsi="Futura" w:cs="Times New Roman"/>
            <w:color w:val="FFFFFF"/>
            <w:sz w:val="24"/>
            <w:szCs w:val="24"/>
            <w:u w:val="single"/>
            <w:lang w:eastAsia="es-PE"/>
          </w:rPr>
          <w:t>Certification</w:t>
        </w:r>
        <w:proofErr w:type="spellEnd"/>
        <w:r w:rsidRPr="00FD455F">
          <w:rPr>
            <w:rFonts w:ascii="Futura" w:eastAsia="Times New Roman" w:hAnsi="Futura" w:cs="Times New Roman"/>
            <w:color w:val="FFFFFF"/>
            <w:sz w:val="24"/>
            <w:szCs w:val="24"/>
            <w:u w:val="single"/>
            <w:lang w:eastAsia="es-PE"/>
          </w:rPr>
          <w:t xml:space="preserve"> </w:t>
        </w:r>
        <w:proofErr w:type="spellStart"/>
        <w:r w:rsidRPr="00FD455F">
          <w:rPr>
            <w:rFonts w:ascii="Futura" w:eastAsia="Times New Roman" w:hAnsi="Futura" w:cs="Times New Roman"/>
            <w:color w:val="FFFFFF"/>
            <w:sz w:val="24"/>
            <w:szCs w:val="24"/>
            <w:u w:val="single"/>
            <w:lang w:eastAsia="es-PE"/>
          </w:rPr>
          <w:t>Handbook</w:t>
        </w:r>
        <w:proofErr w:type="spellEnd"/>
      </w:hyperlink>
      <w:r w:rsidRPr="00FD455F">
        <w:rPr>
          <w:rFonts w:ascii="Futura" w:eastAsia="Times New Roman" w:hAnsi="Futura" w:cs="Times New Roman"/>
          <w:color w:val="4B4B4D"/>
          <w:sz w:val="24"/>
          <w:szCs w:val="24"/>
          <w:lang w:eastAsia="es-PE"/>
        </w:rPr>
        <w:t> con el detalle de toda la información necesaria.</w:t>
      </w:r>
    </w:p>
    <w:p w:rsidR="00FD455F" w:rsidRPr="00FD455F" w:rsidRDefault="00FD455F" w:rsidP="00FD455F">
      <w:pPr>
        <w:shd w:val="clear" w:color="auto" w:fill="F2F2F2"/>
        <w:spacing w:before="300" w:after="150" w:line="240" w:lineRule="auto"/>
        <w:outlineLvl w:val="1"/>
        <w:rPr>
          <w:rFonts w:ascii="Futura" w:eastAsia="Times New Roman" w:hAnsi="Futura" w:cs="Times New Roman"/>
          <w:b/>
          <w:bCs/>
          <w:color w:val="4B4B4D"/>
          <w:sz w:val="36"/>
          <w:szCs w:val="36"/>
          <w:lang w:eastAsia="es-PE"/>
        </w:rPr>
      </w:pPr>
      <w:r w:rsidRPr="00FD455F">
        <w:rPr>
          <w:rFonts w:ascii="Futura" w:eastAsia="Times New Roman" w:hAnsi="Futura" w:cs="Times New Roman"/>
          <w:b/>
          <w:bCs/>
          <w:color w:val="4B4B4D"/>
          <w:sz w:val="36"/>
          <w:szCs w:val="36"/>
          <w:lang w:eastAsia="es-PE"/>
        </w:rPr>
        <w:t>2. Preparación y estudio para el examen CBAP</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 xml:space="preserve">Una vez aceptada la solicitud (y hecho efectivo el pago), se abre un periodo de 1 año en el que el candidato puede presentarse al examen (la reserva de día se realiza a través de la web de </w:t>
      </w:r>
      <w:proofErr w:type="spellStart"/>
      <w:r w:rsidRPr="00FD455F">
        <w:rPr>
          <w:rFonts w:ascii="Futura" w:eastAsia="Times New Roman" w:hAnsi="Futura" w:cs="Times New Roman"/>
          <w:color w:val="4B4B4D"/>
          <w:sz w:val="24"/>
          <w:szCs w:val="24"/>
          <w:lang w:eastAsia="es-PE"/>
        </w:rPr>
        <w:t>Prometric</w:t>
      </w:r>
      <w:proofErr w:type="spellEnd"/>
      <w:r w:rsidRPr="00FD455F">
        <w:rPr>
          <w:rFonts w:ascii="Futura" w:eastAsia="Times New Roman" w:hAnsi="Futura" w:cs="Times New Roman"/>
          <w:color w:val="4B4B4D"/>
          <w:sz w:val="24"/>
          <w:szCs w:val="24"/>
          <w:lang w:eastAsia="es-PE"/>
        </w:rPr>
        <w:t>).</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El examen consta de </w:t>
      </w:r>
      <w:r w:rsidRPr="00FD455F">
        <w:rPr>
          <w:rFonts w:ascii="Futura" w:eastAsia="Times New Roman" w:hAnsi="Futura" w:cs="Times New Roman"/>
          <w:b/>
          <w:bCs/>
          <w:color w:val="4B4B4D"/>
          <w:sz w:val="24"/>
          <w:szCs w:val="24"/>
          <w:lang w:eastAsia="es-PE"/>
        </w:rPr>
        <w:t>150 preguntas</w:t>
      </w:r>
      <w:r w:rsidRPr="00FD455F">
        <w:rPr>
          <w:rFonts w:ascii="Futura" w:eastAsia="Times New Roman" w:hAnsi="Futura" w:cs="Times New Roman"/>
          <w:color w:val="4B4B4D"/>
          <w:sz w:val="24"/>
          <w:szCs w:val="24"/>
          <w:lang w:eastAsia="es-PE"/>
        </w:rPr>
        <w:t> de tipo test (con cuatro posibles respuestas y solo una válida) y tiene una duración de </w:t>
      </w:r>
      <w:r w:rsidRPr="00FD455F">
        <w:rPr>
          <w:rFonts w:ascii="Futura" w:eastAsia="Times New Roman" w:hAnsi="Futura" w:cs="Times New Roman"/>
          <w:b/>
          <w:bCs/>
          <w:color w:val="4B4B4D"/>
          <w:sz w:val="24"/>
          <w:szCs w:val="24"/>
          <w:lang w:eastAsia="es-PE"/>
        </w:rPr>
        <w:t>3 horas y media</w:t>
      </w:r>
      <w:r w:rsidRPr="00FD455F">
        <w:rPr>
          <w:rFonts w:ascii="Futura" w:eastAsia="Times New Roman" w:hAnsi="Futura" w:cs="Times New Roman"/>
          <w:color w:val="4B4B4D"/>
          <w:sz w:val="24"/>
          <w:szCs w:val="24"/>
          <w:lang w:eastAsia="es-PE"/>
        </w:rPr>
        <w:t>. Las preguntas pueden hacer referencia al conocimiento detallado de la Guía del BABOK, o también pueden ser situacionales, es decir saber aplicar las buenas prácticas de BA en situaciones concretas.</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Conviene presentarse al examen habiendo estudiado de manera completa y profunda la Guía del BABOK (incluyendo áreas de conocimiento, competencias, técnicas y también el glosario), y sabiéndolas poner en la práctica, especialmente conocer cómo utilizar las diferentes técnicas. Por ello es importante, además, disponer de experiencia real en el uso de las mismas y realizar actividades prácticas acerca de los contenidos de la Guía. El examen actualmente solo está disponible en inglés, con lo que conviene tener un buen conocimiento del idioma puesto que, a veces, no se utilizan los términos exactos sino sinónimos o conceptos asociables.</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 xml:space="preserve">Dado que el rol de analista de negocio es un rol de comunicación con el resto de la organización, se espera que disponga de conocimientos acerca de aspectos de gestión (podemos esperar en el examen alguna pregunta acerca de Project Management), de calidad o de arquitectura empresarial (conocimiento de </w:t>
      </w:r>
      <w:proofErr w:type="spellStart"/>
      <w:r w:rsidRPr="00FD455F">
        <w:rPr>
          <w:rFonts w:ascii="Futura" w:eastAsia="Times New Roman" w:hAnsi="Futura" w:cs="Times New Roman"/>
          <w:color w:val="4B4B4D"/>
          <w:sz w:val="24"/>
          <w:szCs w:val="24"/>
          <w:lang w:eastAsia="es-PE"/>
        </w:rPr>
        <w:t>framework</w:t>
      </w:r>
      <w:proofErr w:type="spellEnd"/>
      <w:r w:rsidRPr="00FD455F">
        <w:rPr>
          <w:rFonts w:ascii="Futura" w:eastAsia="Times New Roman" w:hAnsi="Futura" w:cs="Times New Roman"/>
          <w:color w:val="4B4B4D"/>
          <w:sz w:val="24"/>
          <w:szCs w:val="24"/>
          <w:lang w:eastAsia="es-PE"/>
        </w:rPr>
        <w:t xml:space="preserve"> de </w:t>
      </w:r>
      <w:proofErr w:type="spellStart"/>
      <w:r w:rsidRPr="00FD455F">
        <w:rPr>
          <w:rFonts w:ascii="Futura" w:eastAsia="Times New Roman" w:hAnsi="Futura" w:cs="Times New Roman"/>
          <w:color w:val="4B4B4D"/>
          <w:sz w:val="24"/>
          <w:szCs w:val="24"/>
          <w:lang w:eastAsia="es-PE"/>
        </w:rPr>
        <w:t>Fachman</w:t>
      </w:r>
      <w:proofErr w:type="spellEnd"/>
      <w:r w:rsidRPr="00FD455F">
        <w:rPr>
          <w:rFonts w:ascii="Futura" w:eastAsia="Times New Roman" w:hAnsi="Futura" w:cs="Times New Roman"/>
          <w:color w:val="4B4B4D"/>
          <w:sz w:val="24"/>
          <w:szCs w:val="24"/>
          <w:lang w:eastAsia="es-PE"/>
        </w:rPr>
        <w:t xml:space="preserve">, por ejemplo), y también acerca de </w:t>
      </w:r>
      <w:proofErr w:type="spellStart"/>
      <w:r w:rsidRPr="00FD455F">
        <w:rPr>
          <w:rFonts w:ascii="Futura" w:eastAsia="Times New Roman" w:hAnsi="Futura" w:cs="Times New Roman"/>
          <w:color w:val="4B4B4D"/>
          <w:sz w:val="24"/>
          <w:szCs w:val="24"/>
          <w:lang w:eastAsia="es-PE"/>
        </w:rPr>
        <w:t>soft</w:t>
      </w:r>
      <w:proofErr w:type="spellEnd"/>
      <w:r w:rsidRPr="00FD455F">
        <w:rPr>
          <w:rFonts w:ascii="Futura" w:eastAsia="Times New Roman" w:hAnsi="Futura" w:cs="Times New Roman"/>
          <w:color w:val="4B4B4D"/>
          <w:sz w:val="24"/>
          <w:szCs w:val="24"/>
          <w:lang w:eastAsia="es-PE"/>
        </w:rPr>
        <w:t xml:space="preserve"> </w:t>
      </w:r>
      <w:proofErr w:type="spellStart"/>
      <w:r w:rsidRPr="00FD455F">
        <w:rPr>
          <w:rFonts w:ascii="Futura" w:eastAsia="Times New Roman" w:hAnsi="Futura" w:cs="Times New Roman"/>
          <w:color w:val="4B4B4D"/>
          <w:sz w:val="24"/>
          <w:szCs w:val="24"/>
          <w:lang w:eastAsia="es-PE"/>
        </w:rPr>
        <w:t>skills</w:t>
      </w:r>
      <w:proofErr w:type="spellEnd"/>
      <w:r w:rsidRPr="00FD455F">
        <w:rPr>
          <w:rFonts w:ascii="Futura" w:eastAsia="Times New Roman" w:hAnsi="Futura" w:cs="Times New Roman"/>
          <w:color w:val="4B4B4D"/>
          <w:sz w:val="24"/>
          <w:szCs w:val="24"/>
          <w:lang w:eastAsia="es-PE"/>
        </w:rPr>
        <w:t xml:space="preserve"> (por ejemplo, conocer la jerarquía de necesidades de </w:t>
      </w:r>
      <w:proofErr w:type="spellStart"/>
      <w:r w:rsidRPr="00FD455F">
        <w:rPr>
          <w:rFonts w:ascii="Futura" w:eastAsia="Times New Roman" w:hAnsi="Futura" w:cs="Times New Roman"/>
          <w:color w:val="4B4B4D"/>
          <w:sz w:val="24"/>
          <w:szCs w:val="24"/>
          <w:lang w:eastAsia="es-PE"/>
        </w:rPr>
        <w:t>Maslow</w:t>
      </w:r>
      <w:proofErr w:type="spellEnd"/>
      <w:r w:rsidRPr="00FD455F">
        <w:rPr>
          <w:rFonts w:ascii="Futura" w:eastAsia="Times New Roman" w:hAnsi="Futura" w:cs="Times New Roman"/>
          <w:color w:val="4B4B4D"/>
          <w:sz w:val="24"/>
          <w:szCs w:val="24"/>
          <w:lang w:eastAsia="es-PE"/>
        </w:rPr>
        <w:t>).</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Por lo tanto, para profundizar y practicar en los conocimientos, es muy recomendable realizar un curso de preparación a la certificación, o al menos hacerse con una Guía de Estudio (por ejemplo, la que ofrece B2T, que dispone de explicación del BABOK, ejercicios y simulación de preguntas de examen de una dificultad muy similar a la del examen real).</w:t>
      </w:r>
    </w:p>
    <w:p w:rsidR="00FD455F" w:rsidRPr="00FD455F" w:rsidRDefault="00FD455F" w:rsidP="00FD455F">
      <w:pPr>
        <w:shd w:val="clear" w:color="auto" w:fill="F2F2F2"/>
        <w:spacing w:after="0" w:line="240" w:lineRule="auto"/>
        <w:rPr>
          <w:rFonts w:ascii="Futura" w:eastAsia="Times New Roman" w:hAnsi="Futura" w:cs="Times New Roman"/>
          <w:color w:val="4B4B4D"/>
          <w:sz w:val="24"/>
          <w:szCs w:val="24"/>
          <w:lang w:eastAsia="es-PE"/>
        </w:rPr>
      </w:pPr>
      <w:r w:rsidRPr="00FD455F">
        <w:rPr>
          <w:rFonts w:ascii="Futura" w:eastAsia="Times New Roman" w:hAnsi="Futura" w:cs="Times New Roman"/>
          <w:color w:val="4B4B4D"/>
          <w:sz w:val="24"/>
          <w:szCs w:val="24"/>
          <w:lang w:eastAsia="es-PE"/>
        </w:rPr>
        <w:t xml:space="preserve">Desde Agosto de 2014, en </w:t>
      </w:r>
      <w:proofErr w:type="spellStart"/>
      <w:r w:rsidRPr="00FD455F">
        <w:rPr>
          <w:rFonts w:ascii="Futura" w:eastAsia="Times New Roman" w:hAnsi="Futura" w:cs="Times New Roman"/>
          <w:color w:val="4B4B4D"/>
          <w:sz w:val="24"/>
          <w:szCs w:val="24"/>
          <w:lang w:eastAsia="es-PE"/>
        </w:rPr>
        <w:t>net</w:t>
      </w:r>
      <w:r w:rsidRPr="00FD455F">
        <w:rPr>
          <w:rFonts w:ascii="Futura" w:eastAsia="Times New Roman" w:hAnsi="Futura" w:cs="Times New Roman"/>
          <w:b/>
          <w:bCs/>
          <w:color w:val="4B4B4D"/>
          <w:sz w:val="24"/>
          <w:szCs w:val="24"/>
          <w:lang w:eastAsia="es-PE"/>
        </w:rPr>
        <w:t>mind</w:t>
      </w:r>
      <w:proofErr w:type="spellEnd"/>
      <w:r w:rsidRPr="00FD455F">
        <w:rPr>
          <w:rFonts w:ascii="Futura" w:eastAsia="Times New Roman" w:hAnsi="Futura" w:cs="Times New Roman"/>
          <w:color w:val="4B4B4D"/>
          <w:sz w:val="24"/>
          <w:szCs w:val="24"/>
          <w:lang w:eastAsia="es-PE"/>
        </w:rPr>
        <w:t xml:space="preserve"> somos reconocidos como </w:t>
      </w:r>
      <w:proofErr w:type="spellStart"/>
      <w:r w:rsidRPr="00FD455F">
        <w:rPr>
          <w:rFonts w:ascii="Futura" w:eastAsia="Times New Roman" w:hAnsi="Futura" w:cs="Times New Roman"/>
          <w:color w:val="4B4B4D"/>
          <w:sz w:val="24"/>
          <w:szCs w:val="24"/>
          <w:lang w:eastAsia="es-PE"/>
        </w:rPr>
        <w:t>Endorsed</w:t>
      </w:r>
      <w:proofErr w:type="spellEnd"/>
      <w:r w:rsidRPr="00FD455F">
        <w:rPr>
          <w:rFonts w:ascii="Futura" w:eastAsia="Times New Roman" w:hAnsi="Futura" w:cs="Times New Roman"/>
          <w:color w:val="4B4B4D"/>
          <w:sz w:val="24"/>
          <w:szCs w:val="24"/>
          <w:lang w:eastAsia="es-PE"/>
        </w:rPr>
        <w:t xml:space="preserve"> </w:t>
      </w:r>
      <w:proofErr w:type="spellStart"/>
      <w:r w:rsidRPr="00FD455F">
        <w:rPr>
          <w:rFonts w:ascii="Futura" w:eastAsia="Times New Roman" w:hAnsi="Futura" w:cs="Times New Roman"/>
          <w:color w:val="4B4B4D"/>
          <w:sz w:val="24"/>
          <w:szCs w:val="24"/>
          <w:lang w:eastAsia="es-PE"/>
        </w:rPr>
        <w:t>Education</w:t>
      </w:r>
      <w:proofErr w:type="spellEnd"/>
      <w:r w:rsidRPr="00FD455F">
        <w:rPr>
          <w:rFonts w:ascii="Futura" w:eastAsia="Times New Roman" w:hAnsi="Futura" w:cs="Times New Roman"/>
          <w:color w:val="4B4B4D"/>
          <w:sz w:val="24"/>
          <w:szCs w:val="24"/>
          <w:lang w:eastAsia="es-PE"/>
        </w:rPr>
        <w:t xml:space="preserve"> </w:t>
      </w:r>
      <w:proofErr w:type="spellStart"/>
      <w:r w:rsidRPr="00FD455F">
        <w:rPr>
          <w:rFonts w:ascii="Futura" w:eastAsia="Times New Roman" w:hAnsi="Futura" w:cs="Times New Roman"/>
          <w:color w:val="4B4B4D"/>
          <w:sz w:val="24"/>
          <w:szCs w:val="24"/>
          <w:lang w:eastAsia="es-PE"/>
        </w:rPr>
        <w:t>Provider</w:t>
      </w:r>
      <w:proofErr w:type="spellEnd"/>
      <w:r w:rsidRPr="00FD455F">
        <w:rPr>
          <w:rFonts w:ascii="Futura" w:eastAsia="Times New Roman" w:hAnsi="Futura" w:cs="Times New Roman"/>
          <w:color w:val="4B4B4D"/>
          <w:sz w:val="24"/>
          <w:szCs w:val="24"/>
          <w:lang w:eastAsia="es-PE"/>
        </w:rPr>
        <w:t xml:space="preserve"> por el IIBA, convirtiéndonos así en la primera empresa española en obtener esta acreditación. Como </w:t>
      </w:r>
      <w:proofErr w:type="spellStart"/>
      <w:r w:rsidRPr="00FD455F">
        <w:rPr>
          <w:rFonts w:ascii="Futura" w:eastAsia="Times New Roman" w:hAnsi="Futura" w:cs="Times New Roman"/>
          <w:color w:val="4B4B4D"/>
          <w:sz w:val="24"/>
          <w:szCs w:val="24"/>
          <w:lang w:eastAsia="es-PE"/>
        </w:rPr>
        <w:t>partners</w:t>
      </w:r>
      <w:proofErr w:type="spellEnd"/>
      <w:r w:rsidRPr="00FD455F">
        <w:rPr>
          <w:rFonts w:ascii="Futura" w:eastAsia="Times New Roman" w:hAnsi="Futura" w:cs="Times New Roman"/>
          <w:color w:val="4B4B4D"/>
          <w:sz w:val="24"/>
          <w:szCs w:val="24"/>
          <w:lang w:eastAsia="es-PE"/>
        </w:rPr>
        <w:t xml:space="preserve"> del IIBA, hemos incorporado en nuestro catálogo el curso oficial de </w:t>
      </w:r>
      <w:hyperlink r:id="rId8" w:tgtFrame="_blank" w:tooltip="Curso CBAP " w:history="1">
        <w:r w:rsidRPr="00FD455F">
          <w:rPr>
            <w:rFonts w:ascii="Futura" w:eastAsia="Times New Roman" w:hAnsi="Futura" w:cs="Times New Roman"/>
            <w:color w:val="FFFFFF"/>
            <w:sz w:val="24"/>
            <w:szCs w:val="24"/>
            <w:u w:val="single"/>
            <w:lang w:eastAsia="es-PE"/>
          </w:rPr>
          <w:t>Preparación a la Certificación CBAP/CCBA</w:t>
        </w:r>
      </w:hyperlink>
      <w:r w:rsidRPr="00FD455F">
        <w:rPr>
          <w:rFonts w:ascii="Futura" w:eastAsia="Times New Roman" w:hAnsi="Futura" w:cs="Times New Roman"/>
          <w:color w:val="4B4B4D"/>
          <w:sz w:val="24"/>
          <w:szCs w:val="24"/>
          <w:lang w:eastAsia="es-PE"/>
        </w:rPr>
        <w:t>.</w:t>
      </w:r>
    </w:p>
    <w:p w:rsidR="00FD455F" w:rsidRDefault="00FD455F">
      <w:bookmarkStart w:id="0" w:name="_GoBack"/>
      <w:bookmarkEnd w:id="0"/>
    </w:p>
    <w:sectPr w:rsidR="00FD45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Futura">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E51EFB"/>
    <w:multiLevelType w:val="multilevel"/>
    <w:tmpl w:val="5DC27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8D5A7D"/>
    <w:multiLevelType w:val="multilevel"/>
    <w:tmpl w:val="63D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55F"/>
    <w:rsid w:val="00C26B2E"/>
    <w:rsid w:val="00FD45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54F99F-DC3E-44AB-8128-2583AA5C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0063559">
      <w:bodyDiv w:val="1"/>
      <w:marLeft w:val="0"/>
      <w:marRight w:val="0"/>
      <w:marTop w:val="0"/>
      <w:marBottom w:val="0"/>
      <w:divBdr>
        <w:top w:val="none" w:sz="0" w:space="0" w:color="auto"/>
        <w:left w:val="none" w:sz="0" w:space="0" w:color="auto"/>
        <w:bottom w:val="none" w:sz="0" w:space="0" w:color="auto"/>
        <w:right w:val="none" w:sz="0" w:space="0" w:color="auto"/>
      </w:divBdr>
    </w:div>
    <w:div w:id="182342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mind.es/curso/ccba-cbap-prep-preparacion-de-la-certificacion/" TargetMode="External"/><Relationship Id="rId3" Type="http://schemas.openxmlformats.org/officeDocument/2006/relationships/settings" Target="settings.xml"/><Relationship Id="rId7" Type="http://schemas.openxmlformats.org/officeDocument/2006/relationships/hyperlink" Target="https://www.iiba.org/globalassets/documents/certification/core-ba-certification-handboo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iiba.org/CPBase__item?id=a131N000006rGhtQAE" TargetMode="External"/><Relationship Id="rId5" Type="http://schemas.openxmlformats.org/officeDocument/2006/relationships/hyperlink" Target="https://www.netmind.es/knowledge-center/business-analysis-la-clave-del-exito-de-los-proyecto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898</Words>
  <Characters>4943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Alvarez</dc:creator>
  <cp:keywords/>
  <dc:description/>
  <cp:lastModifiedBy>Cesar Alvarez</cp:lastModifiedBy>
  <cp:revision>1</cp:revision>
  <dcterms:created xsi:type="dcterms:W3CDTF">2020-05-20T15:23:00Z</dcterms:created>
  <dcterms:modified xsi:type="dcterms:W3CDTF">2020-05-20T15:24:00Z</dcterms:modified>
</cp:coreProperties>
</file>