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FEF" w:rsidRDefault="00191FEF" w:rsidP="002B595D">
      <w:pPr>
        <w:shd w:val="clear" w:color="auto" w:fill="F2F2F2"/>
        <w:spacing w:before="900" w:after="225" w:line="525" w:lineRule="atLeast"/>
        <w:outlineLvl w:val="1"/>
        <w:rPr>
          <w:rFonts w:ascii="FuturaBold" w:eastAsia="Times New Roman" w:hAnsi="FuturaBold" w:cs="Times New Roman"/>
          <w:b/>
          <w:bCs/>
          <w:color w:val="4B4B4D"/>
          <w:sz w:val="36"/>
          <w:szCs w:val="36"/>
          <w:lang w:eastAsia="es-PE"/>
        </w:rPr>
      </w:pPr>
      <w:r>
        <w:rPr>
          <w:rFonts w:ascii="Roboto" w:hAnsi="Roboto"/>
          <w:color w:val="212121"/>
          <w:sz w:val="21"/>
          <w:szCs w:val="21"/>
          <w:shd w:val="clear" w:color="auto" w:fill="FFFFFF"/>
        </w:rPr>
        <w:t xml:space="preserve">Taller CBAP Preparación para el </w:t>
      </w:r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>Examen de Certificación Profesional de Análisis de Negocios (</w:t>
      </w:r>
      <w:proofErr w:type="spellStart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>Certified</w:t>
      </w:r>
      <w:proofErr w:type="spellEnd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 xml:space="preserve">  Business </w:t>
      </w:r>
      <w:proofErr w:type="spellStart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>Analysis</w:t>
      </w:r>
      <w:proofErr w:type="spellEnd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 xml:space="preserve"> </w:t>
      </w:r>
      <w:proofErr w:type="gramStart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>Professional ,</w:t>
      </w:r>
      <w:proofErr w:type="gramEnd"/>
      <w:r w:rsidRPr="00191FEF">
        <w:rPr>
          <w:rFonts w:ascii="Roboto" w:hAnsi="Roboto"/>
          <w:color w:val="212121"/>
          <w:sz w:val="21"/>
          <w:szCs w:val="21"/>
          <w:highlight w:val="yellow"/>
          <w:shd w:val="clear" w:color="auto" w:fill="FFFFFF"/>
        </w:rPr>
        <w:t xml:space="preserve"> CBAP ®)</w:t>
      </w:r>
      <w:r>
        <w:rPr>
          <w:rFonts w:ascii="Roboto" w:hAnsi="Roboto"/>
          <w:color w:val="212121"/>
          <w:sz w:val="21"/>
          <w:szCs w:val="21"/>
          <w:shd w:val="clear" w:color="auto" w:fill="FFFFFF"/>
        </w:rPr>
        <w:t xml:space="preserve"> es un reconocimiento a expertos en identificar las necesidades de negocio de las empresas con el fin de determinar sus soluciones, como conocer más beneficios de la </w:t>
      </w:r>
      <w:bookmarkStart w:id="0" w:name="_GoBack"/>
      <w:r>
        <w:rPr>
          <w:rFonts w:ascii="Roboto" w:hAnsi="Roboto"/>
          <w:color w:val="212121"/>
          <w:sz w:val="21"/>
          <w:szCs w:val="21"/>
          <w:shd w:val="clear" w:color="auto" w:fill="FFFFFF"/>
        </w:rPr>
        <w:t>Certificación del IIBA.</w:t>
      </w:r>
      <w:bookmarkEnd w:id="0"/>
    </w:p>
    <w:p w:rsidR="002B595D" w:rsidRPr="002B595D" w:rsidRDefault="002B595D" w:rsidP="002B595D">
      <w:pPr>
        <w:shd w:val="clear" w:color="auto" w:fill="F2F2F2"/>
        <w:spacing w:before="900" w:after="225" w:line="525" w:lineRule="atLeast"/>
        <w:outlineLvl w:val="1"/>
        <w:rPr>
          <w:rFonts w:ascii="FuturaBold" w:eastAsia="Times New Roman" w:hAnsi="FuturaBold" w:cs="Times New Roman"/>
          <w:b/>
          <w:bCs/>
          <w:color w:val="4B4B4D"/>
          <w:sz w:val="36"/>
          <w:szCs w:val="36"/>
          <w:lang w:eastAsia="es-PE"/>
        </w:rPr>
      </w:pPr>
      <w:r w:rsidRPr="002B595D">
        <w:rPr>
          <w:rFonts w:ascii="FuturaBold" w:eastAsia="Times New Roman" w:hAnsi="FuturaBold" w:cs="Times New Roman"/>
          <w:b/>
          <w:bCs/>
          <w:color w:val="4B4B4D"/>
          <w:sz w:val="36"/>
          <w:szCs w:val="36"/>
          <w:lang w:eastAsia="es-PE"/>
        </w:rPr>
        <w:t xml:space="preserve">Introducción Cursos y Certificaciones Business </w:t>
      </w:r>
      <w:proofErr w:type="spellStart"/>
      <w:r w:rsidRPr="002B595D">
        <w:rPr>
          <w:rFonts w:ascii="FuturaBold" w:eastAsia="Times New Roman" w:hAnsi="FuturaBold" w:cs="Times New Roman"/>
          <w:b/>
          <w:bCs/>
          <w:color w:val="4B4B4D"/>
          <w:sz w:val="36"/>
          <w:szCs w:val="36"/>
          <w:lang w:eastAsia="es-PE"/>
        </w:rPr>
        <w:t>Analysis</w:t>
      </w:r>
      <w:proofErr w:type="spellEnd"/>
    </w:p>
    <w:p w:rsidR="002B595D" w:rsidRPr="002B595D" w:rsidRDefault="002B595D" w:rsidP="002B595D">
      <w:pPr>
        <w:shd w:val="clear" w:color="auto" w:fill="F2F2F2"/>
        <w:spacing w:before="300" w:after="150" w:line="240" w:lineRule="auto"/>
        <w:outlineLvl w:val="1"/>
        <w:rPr>
          <w:rFonts w:ascii="Futura" w:eastAsia="Times New Roman" w:hAnsi="Futura" w:cs="Times New Roman"/>
          <w:b/>
          <w:bCs/>
          <w:color w:val="4B4B4D"/>
          <w:sz w:val="36"/>
          <w:szCs w:val="36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0085CA"/>
          <w:sz w:val="36"/>
          <w:szCs w:val="36"/>
          <w:lang w:eastAsia="es-PE"/>
        </w:rPr>
        <w:t xml:space="preserve">BABOK Guide: Enterprise Business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0085CA"/>
          <w:sz w:val="36"/>
          <w:szCs w:val="36"/>
          <w:lang w:eastAsia="es-PE"/>
        </w:rPr>
        <w:t>Analysis</w:t>
      </w:r>
      <w:proofErr w:type="spellEnd"/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En abril de 2015 el International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Institute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of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(IIBA®) publicó la tercera edición de A Guide to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the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 xml:space="preserve">Business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 xml:space="preserve">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Body</w:t>
      </w:r>
      <w:proofErr w:type="spellEnd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 xml:space="preserve"> of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Knowledge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(BABOK® Guide), el principal cuerpo de conocimiento en Análisis de Negocios. BABOK® Guide v3 describe los conocimientos,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técnicas y habilidades que debe poseer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 xml:space="preserve">un buen Business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Analyst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, y se alinea con otros métodos y estándares como CMMI, COBIT®, TOGAF® o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SAFe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®. La Guía del BABOK® define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como “la práctica de permitir el cambio en una empresa definiendo necesidades y recomendando soluciones que entreguen valor a las partes interesadas”. Asimismo, especifica que la forma de poner en práctica la función del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 dependerá del contexto organizacional en el que se realice.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BABOK® se estructura en:</w:t>
      </w:r>
    </w:p>
    <w:p w:rsidR="002B595D" w:rsidRPr="002B595D" w:rsidRDefault="002B595D" w:rsidP="002B595D">
      <w:pPr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Conceptos Clave para el Análisis de Negocios: 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dónde se define la terminología propia del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Analytics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 que serán la base de su práctica.</w:t>
      </w:r>
    </w:p>
    <w:p w:rsidR="002B595D" w:rsidRPr="002B595D" w:rsidRDefault="002B595D" w:rsidP="002B595D">
      <w:pPr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Áreas de Conocimiento: 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son el contenido central de la Guía BABOK® y contienen todas las tareas a realizar para llevar a cabo el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Analytics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.</w:t>
      </w:r>
    </w:p>
    <w:p w:rsidR="002B595D" w:rsidRPr="002B595D" w:rsidRDefault="002B595D" w:rsidP="002B595D">
      <w:pPr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Competencias Subyacentes: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 describe los comportamientos, características, conocimientos y cualidades personales que ayudan a que los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analysts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sean eficaces en su trabajo.</w:t>
      </w:r>
    </w:p>
    <w:p w:rsidR="002B595D" w:rsidRPr="002B595D" w:rsidRDefault="002B595D" w:rsidP="002B595D">
      <w:pPr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Técnicas: 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dónde se describe 50 de las técnicas más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 xml:space="preserve">utilizadas por los Business </w:t>
      </w:r>
      <w:proofErr w:type="spellStart"/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Analysts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.</w:t>
      </w:r>
    </w:p>
    <w:p w:rsidR="002B595D" w:rsidRPr="002B595D" w:rsidRDefault="002B595D" w:rsidP="002B595D">
      <w:pPr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Perspectivas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: dónde se identifican 5 visiones o funciones distintas del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Analytics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.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Dentro de los Conceptos Clave para el Análisis de Negocios, en la última versión del BABOK, el IIBA introduce un nuevo modelo, el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BACCM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 que agrupa seis conceptos que deben tener un significado común para todos los analistas de negocio: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Cambio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Necesidad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Solución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Interesado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,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Valor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y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Contexto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. Este modelo 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lastRenderedPageBreak/>
        <w:t>pretende dotar de una terminología común que sea aplicable en cualquier tipo de organización, proyecto o perspectiva relativa al análisis de negocios.</w:t>
      </w:r>
    </w:p>
    <w:p w:rsidR="002B595D" w:rsidRPr="002B595D" w:rsidRDefault="002B595D" w:rsidP="002B595D">
      <w:pPr>
        <w:shd w:val="clear" w:color="auto" w:fill="F2F2F2"/>
        <w:spacing w:before="300" w:after="150" w:line="240" w:lineRule="auto"/>
        <w:outlineLvl w:val="1"/>
        <w:rPr>
          <w:rFonts w:ascii="Futura" w:eastAsia="Times New Roman" w:hAnsi="Futura" w:cs="Times New Roman"/>
          <w:b/>
          <w:bCs/>
          <w:color w:val="4B4B4D"/>
          <w:sz w:val="36"/>
          <w:szCs w:val="36"/>
          <w:lang w:eastAsia="es-PE"/>
        </w:rPr>
      </w:pPr>
      <w:r w:rsidRPr="002B595D">
        <w:rPr>
          <w:rFonts w:ascii="Futura" w:eastAsia="Times New Roman" w:hAnsi="Futura" w:cs="Times New Roman"/>
          <w:b/>
          <w:bCs/>
          <w:color w:val="4B4B4D"/>
          <w:sz w:val="36"/>
          <w:szCs w:val="36"/>
          <w:lang w:eastAsia="es-PE"/>
        </w:rPr>
        <w:t>Guía del BABOK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Las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seis áreas de conocimiento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de la tercera edición de la Guía del BABOK son: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1. Planificación y monitorización de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2. Obtención y Colaboración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3. Gestión del Ciclo de Vida de Requisitos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4. Análisis de Estrategia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5. Análisis de Requisitos y Definición de Diseño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6. Evaluación de Solución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Estas áreas de conocimiento permiten avanzar desde la identificación de las necesidades de negocio, a la recomendación y puesta en marcha de soluciones y la obtención del valor esperado. El trabajo a realizar en cada una de ellas dependerá del nivel de cambio a realizar, de los interesados y del contexto en el que se realice.</w:t>
      </w: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Asimismo, en función del contexto, podremos aplicar una perspectiva u otra para realizar el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Analysis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. Cada </w:t>
      </w:r>
      <w:r w:rsidRPr="002B595D">
        <w:rPr>
          <w:rFonts w:ascii="Futura" w:eastAsia="Times New Roman" w:hAnsi="Futura" w:cs="Times New Roman"/>
          <w:b/>
          <w:bCs/>
          <w:color w:val="4B4B4D"/>
          <w:sz w:val="24"/>
          <w:szCs w:val="24"/>
          <w:lang w:eastAsia="es-PE"/>
        </w:rPr>
        <w:t>perspectiva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describe disciplinas especializadas, en función del tipo de trabajo de análisis a realizar. En la Guía del BABOK se presentan y describen las siguientes perspectivas: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>1. Agile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 xml:space="preserve">2.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Intelligence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 xml:space="preserve">3.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Process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Management</w:t>
      </w: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 xml:space="preserve">4.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Information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 xml:space="preserve">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Technology</w:t>
      </w:r>
      <w:proofErr w:type="spellEnd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br/>
        <w:t xml:space="preserve">5. Business </w:t>
      </w:r>
      <w:proofErr w:type="spellStart"/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Architecture</w:t>
      </w:r>
      <w:proofErr w:type="spellEnd"/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noProof/>
          <w:color w:val="4B4B4D"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29A4957A" wp14:editId="2A072231">
            <wp:simplePos x="0" y="0"/>
            <wp:positionH relativeFrom="page">
              <wp:posOffset>171855</wp:posOffset>
            </wp:positionH>
            <wp:positionV relativeFrom="paragraph">
              <wp:posOffset>361315</wp:posOffset>
            </wp:positionV>
            <wp:extent cx="7212965" cy="5118735"/>
            <wp:effectExtent l="0" t="0" r="6985" b="5715"/>
            <wp:wrapNone/>
            <wp:docPr id="2" name="Imagen 2" descr="https://www.netmind.es/wp-content/uploads/2015/12/BAB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netmind.es/wp-content/uploads/2015/12/BABOK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6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48DCA889" wp14:editId="543A711A">
            <wp:simplePos x="0" y="0"/>
            <wp:positionH relativeFrom="column">
              <wp:posOffset>-67932</wp:posOffset>
            </wp:positionH>
            <wp:positionV relativeFrom="paragraph">
              <wp:posOffset>189690</wp:posOffset>
            </wp:positionV>
            <wp:extent cx="5400040" cy="4574766"/>
            <wp:effectExtent l="0" t="0" r="0" b="0"/>
            <wp:wrapNone/>
            <wp:docPr id="1" name="Imagen 1" descr="https://www.netmind.es/wp-content/uploads/2015/10/Itinerario-de-formaci%C3%B3n-en-An%C3%A1lisis-de-Nego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netmind.es/wp-content/uploads/2015/10/Itinerario-de-formaci%C3%B3n-en-An%C3%A1lisis-de-Negoc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7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Pr="002B595D" w:rsidRDefault="00191FEF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hyperlink r:id="rId7" w:tgtFrame="_blank" w:history="1">
        <w:r w:rsidR="002B595D" w:rsidRPr="002B595D">
          <w:rPr>
            <w:rFonts w:ascii="Futura" w:eastAsia="Times New Roman" w:hAnsi="Futura" w:cs="Times New Roman"/>
            <w:color w:val="FFFFFF"/>
            <w:sz w:val="24"/>
            <w:szCs w:val="24"/>
            <w:lang w:eastAsia="es-PE"/>
          </w:rPr>
          <w:t>Descarga la infografía aquí</w:t>
        </w:r>
      </w:hyperlink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  <w:r w:rsidRPr="002B595D"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  <w:t> </w:t>
      </w:r>
    </w:p>
    <w:p w:rsidR="002B595D" w:rsidRPr="002B595D" w:rsidRDefault="002B595D" w:rsidP="002B595D">
      <w:pPr>
        <w:shd w:val="clear" w:color="auto" w:fill="F2F2F2"/>
        <w:spacing w:after="150" w:line="240" w:lineRule="auto"/>
        <w:rPr>
          <w:rFonts w:ascii="Futura" w:eastAsia="Times New Roman" w:hAnsi="Futura" w:cs="Times New Roman"/>
          <w:color w:val="4B4B4D"/>
          <w:sz w:val="24"/>
          <w:szCs w:val="24"/>
          <w:lang w:eastAsia="es-PE"/>
        </w:rPr>
      </w:pPr>
    </w:p>
    <w:p w:rsidR="00C32819" w:rsidRDefault="00C32819"/>
    <w:sectPr w:rsidR="00C32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uturaBold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Futur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22373C"/>
    <w:multiLevelType w:val="multilevel"/>
    <w:tmpl w:val="55D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5D"/>
    <w:rsid w:val="00191FEF"/>
    <w:rsid w:val="002B595D"/>
    <w:rsid w:val="00C3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60989-2352-4C41-A535-B2460FEF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0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etmind.es/wp-content/uploads/2016/05/Infografia_Business_Analysis_Netmind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Alvarez</dc:creator>
  <cp:keywords/>
  <dc:description/>
  <cp:lastModifiedBy>Cesar Alvarez</cp:lastModifiedBy>
  <cp:revision>2</cp:revision>
  <dcterms:created xsi:type="dcterms:W3CDTF">2020-05-20T15:19:00Z</dcterms:created>
  <dcterms:modified xsi:type="dcterms:W3CDTF">2020-05-20T15:49:00Z</dcterms:modified>
</cp:coreProperties>
</file>