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06484" w14:textId="525DF153" w:rsidR="2F22E0A9" w:rsidRPr="000957D6" w:rsidRDefault="16988EE2" w:rsidP="000957D6">
      <w:pPr>
        <w:pStyle w:val="Heading1"/>
      </w:pPr>
      <w:bookmarkStart w:id="0" w:name="_Toc51521498"/>
      <w:bookmarkStart w:id="1" w:name="_Toc46238071"/>
      <w:bookmarkStart w:id="2" w:name="_Toc45560996"/>
      <w:bookmarkStart w:id="3" w:name="_Toc43061895"/>
      <w:bookmarkStart w:id="4" w:name="_Toc43061814"/>
      <w:bookmarkStart w:id="5" w:name="_Toc43061727"/>
      <w:bookmarkStart w:id="6" w:name="_Toc121661929"/>
      <w:r>
        <w:t xml:space="preserve">2026 </w:t>
      </w:r>
      <w:r w:rsidR="006272EA">
        <w:t>HIMSS Conference Market &amp; Competitive Intel</w:t>
      </w:r>
    </w:p>
    <w:p w14:paraId="3CFB6A5A" w14:textId="38777389" w:rsidR="00406DF5" w:rsidRPr="00406DF5" w:rsidRDefault="000957D6" w:rsidP="00406DF5">
      <w:pPr>
        <w:rPr>
          <w:rFonts w:ascii="Oracle Sans" w:eastAsia="Oracle Sans" w:hAnsi="Oracle Sans" w:cs="Oracle Sans"/>
          <w:b/>
          <w:bCs/>
        </w:rPr>
      </w:pPr>
      <w:r w:rsidRPr="000957D6">
        <w:rPr>
          <w:rFonts w:ascii="Oracle Sans" w:eastAsia="Oracle Sans" w:hAnsi="Oracle Sans" w:cs="Oracle Sans"/>
        </w:rPr>
        <w:t>HIMSS 2026 drew approximately 25,000 attendees from 75 countries.  The conference reflected a market shift from AI pilots and roadmap discussions toward production deployments, measurable outcomes, and platform decisions.  What follows is a synthesis of intelligence gathered across sessions, booth conversations, customer meetings, and partner interactions.</w:t>
      </w:r>
      <w:r>
        <w:rPr>
          <w:rFonts w:ascii="Oracle Sans" w:eastAsia="Oracle Sans" w:hAnsi="Oracle Sans" w:cs="Oracle Sans"/>
        </w:rPr>
        <w:t xml:space="preserve">  </w:t>
      </w:r>
      <w:r w:rsidRPr="000957D6">
        <w:rPr>
          <w:rFonts w:ascii="Oracle Sans" w:eastAsia="Oracle Sans" w:hAnsi="Oracle Sans" w:cs="Oracle Sans"/>
        </w:rPr>
        <w:t>Oracle speaking opportunities included Bharat Sutariya and David Feinberg at the AMDIS/HIMSS Physicians' Forum, John Harvey at a HIMSS Focus Group, Tripp Partain on a main stage session on patient discharge documentation, and Dan Spellman at a brunch briefing on next-generation AI and cloud infrastructure.</w:t>
      </w:r>
    </w:p>
    <w:p w14:paraId="70C2D594" w14:textId="78B39088" w:rsidR="00406DF5" w:rsidRPr="00406DF5" w:rsidRDefault="00406DF5" w:rsidP="00406DF5">
      <w:pPr>
        <w:pStyle w:val="Heading1"/>
        <w:pBdr>
          <w:bottom w:val="single" w:sz="6" w:space="1" w:color="2E75B6"/>
        </w:pBdr>
        <w:spacing w:before="80" w:after="80"/>
        <w:rPr>
          <w:rFonts w:eastAsia="Arial"/>
        </w:rPr>
      </w:pPr>
      <w:r w:rsidRPr="12D279DF">
        <w:rPr>
          <w:rFonts w:eastAsia="Arial"/>
        </w:rPr>
        <w:t>Key Themes</w:t>
      </w:r>
    </w:p>
    <w:p w14:paraId="52FF783A" w14:textId="77777777" w:rsidR="00C35080" w:rsidRPr="00C35080" w:rsidRDefault="00C35080" w:rsidP="00C35080">
      <w:pPr>
        <w:pStyle w:val="ListParagraph"/>
        <w:numPr>
          <w:ilvl w:val="0"/>
          <w:numId w:val="42"/>
        </w:numPr>
        <w:rPr>
          <w:rFonts w:ascii="Oracle Sans" w:eastAsia="Oracle Sans" w:hAnsi="Oracle Sans" w:cs="Oracle Sans"/>
          <w:b/>
          <w:bCs/>
        </w:rPr>
      </w:pPr>
      <w:r w:rsidRPr="00C35080">
        <w:rPr>
          <w:rFonts w:ascii="Oracle Sans" w:eastAsia="Oracle Sans" w:hAnsi="Oracle Sans" w:cs="Oracle Sans"/>
          <w:b/>
          <w:bCs/>
        </w:rPr>
        <w:t xml:space="preserve">Agentic AI is in production </w:t>
      </w:r>
      <w:r w:rsidRPr="00C35080">
        <w:rPr>
          <w:rFonts w:ascii="Oracle Sans" w:eastAsia="Oracle Sans" w:hAnsi="Oracle Sans" w:cs="Oracle Sans" w:hint="cs"/>
          <w:b/>
          <w:bCs/>
        </w:rPr>
        <w:t>–</w:t>
      </w:r>
      <w:r w:rsidRPr="00C35080">
        <w:rPr>
          <w:rFonts w:ascii="Oracle Sans" w:eastAsia="Oracle Sans" w:hAnsi="Oracle Sans" w:cs="Oracle Sans"/>
          <w:b/>
          <w:bCs/>
        </w:rPr>
        <w:t xml:space="preserve"> ROI is now the baseline expectation. </w:t>
      </w:r>
      <w:r w:rsidRPr="00C35080">
        <w:rPr>
          <w:rFonts w:ascii="Oracle Sans" w:eastAsia="Oracle Sans" w:hAnsi="Oracle Sans" w:cs="Oracle Sans"/>
        </w:rPr>
        <w:t>The market has moved past early-stage AI.  Health system leaders are evaluating vendors on demonstrated outcomes, not technology capability alone.  Vendors without concrete customer evidence and hard financial metrics were at a disadvantage.  The consistent buyer standard: prove it works, name the customer, quantify the result.</w:t>
      </w:r>
    </w:p>
    <w:p w14:paraId="757D95DA" w14:textId="77777777" w:rsidR="00C35080" w:rsidRPr="00C35080" w:rsidRDefault="00C35080" w:rsidP="00C35080">
      <w:pPr>
        <w:pStyle w:val="ListParagraph"/>
        <w:numPr>
          <w:ilvl w:val="0"/>
          <w:numId w:val="42"/>
        </w:numPr>
        <w:rPr>
          <w:rFonts w:ascii="Oracle Sans" w:eastAsia="Oracle Sans" w:hAnsi="Oracle Sans" w:cs="Oracle Sans"/>
          <w:b/>
          <w:bCs/>
        </w:rPr>
      </w:pPr>
      <w:r w:rsidRPr="00C35080">
        <w:rPr>
          <w:rFonts w:ascii="Oracle Sans" w:eastAsia="Oracle Sans" w:hAnsi="Oracle Sans" w:cs="Oracle Sans"/>
          <w:b/>
          <w:bCs/>
        </w:rPr>
        <w:t xml:space="preserve">The AI vendor market is fragmented and buyers are consolidating. </w:t>
      </w:r>
      <w:r w:rsidRPr="00C35080">
        <w:rPr>
          <w:rFonts w:ascii="Oracle Sans" w:eastAsia="Oracle Sans" w:hAnsi="Oracle Sans" w:cs="Oracle Sans"/>
        </w:rPr>
        <w:t xml:space="preserve">Every major clinical and administrative use case </w:t>
      </w:r>
      <w:r w:rsidRPr="00C35080">
        <w:rPr>
          <w:rFonts w:ascii="Oracle Sans" w:eastAsia="Oracle Sans" w:hAnsi="Oracle Sans" w:cs="Oracle Sans" w:hint="cs"/>
        </w:rPr>
        <w:t>–</w:t>
      </w:r>
      <w:r w:rsidRPr="00C35080">
        <w:rPr>
          <w:rFonts w:ascii="Oracle Sans" w:eastAsia="Oracle Sans" w:hAnsi="Oracle Sans" w:cs="Oracle Sans"/>
        </w:rPr>
        <w:t xml:space="preserve"> documentation, coding, prior auth, denials, scheduling, charge capture </w:t>
      </w:r>
      <w:r w:rsidRPr="00C35080">
        <w:rPr>
          <w:rFonts w:ascii="Oracle Sans" w:eastAsia="Oracle Sans" w:hAnsi="Oracle Sans" w:cs="Oracle Sans" w:hint="cs"/>
        </w:rPr>
        <w:t>–</w:t>
      </w:r>
      <w:r w:rsidRPr="00C35080">
        <w:rPr>
          <w:rFonts w:ascii="Oracle Sans" w:eastAsia="Oracle Sans" w:hAnsi="Oracle Sans" w:cs="Oracle Sans"/>
        </w:rPr>
        <w:t xml:space="preserve"> now has a crowded vendor field.  Health systems are not expanding their vendor portfolios; they are narrowing them.  CIOs at leading systems described deliberate strategies of concentrating on platform partners and expecting point solution vendors to be absorbed over time.  The prevailing buyer preference is a trusted long-term partner, not another standalone tool.</w:t>
      </w:r>
    </w:p>
    <w:p w14:paraId="63D5950B" w14:textId="77777777" w:rsidR="00C35080" w:rsidRPr="00C35080" w:rsidRDefault="00C35080" w:rsidP="00C35080">
      <w:pPr>
        <w:pStyle w:val="ListParagraph"/>
        <w:numPr>
          <w:ilvl w:val="0"/>
          <w:numId w:val="42"/>
        </w:numPr>
        <w:rPr>
          <w:rFonts w:ascii="Oracle Sans" w:eastAsia="Oracle Sans" w:hAnsi="Oracle Sans" w:cs="Oracle Sans"/>
          <w:b/>
          <w:bCs/>
        </w:rPr>
      </w:pPr>
      <w:r w:rsidRPr="00C35080">
        <w:rPr>
          <w:rFonts w:ascii="Oracle Sans" w:eastAsia="Oracle Sans" w:hAnsi="Oracle Sans" w:cs="Oracle Sans"/>
          <w:b/>
          <w:bCs/>
        </w:rPr>
        <w:t xml:space="preserve">AI governance is now a purchasing requirement. </w:t>
      </w:r>
      <w:r w:rsidRPr="00C35080">
        <w:rPr>
          <w:rFonts w:ascii="Oracle Sans" w:eastAsia="Oracle Sans" w:hAnsi="Oracle Sans" w:cs="Oracle Sans"/>
        </w:rPr>
        <w:t xml:space="preserve">Multiple vendors at HIMSS focus exclusively on monitoring and controlling AI agent behavior in production </w:t>
      </w:r>
      <w:r w:rsidRPr="00C35080">
        <w:rPr>
          <w:rFonts w:ascii="Oracle Sans" w:eastAsia="Oracle Sans" w:hAnsi="Oracle Sans" w:cs="Oracle Sans" w:hint="cs"/>
        </w:rPr>
        <w:t>–</w:t>
      </w:r>
      <w:r w:rsidRPr="00C35080">
        <w:rPr>
          <w:rFonts w:ascii="Oracle Sans" w:eastAsia="Oracle Sans" w:hAnsi="Oracle Sans" w:cs="Oracle Sans"/>
        </w:rPr>
        <w:t xml:space="preserve"> a category that did not exist two years ago.  Health systems are asking not just whether AI performs well in testing, but how they maintain oversight and auditability when autonomous agents operate on PHI at scale.  A related federal signal: ARPA-H and HHS are shifting emphasis from premarket model validation toward postmarket surveillance of deployed AI, including supervisory agents and real-world outcome registries.</w:t>
      </w:r>
    </w:p>
    <w:p w14:paraId="5667DC19" w14:textId="77777777" w:rsidR="00C35080" w:rsidRPr="00C35080" w:rsidRDefault="00C35080" w:rsidP="00C35080">
      <w:pPr>
        <w:pStyle w:val="ListParagraph"/>
        <w:numPr>
          <w:ilvl w:val="0"/>
          <w:numId w:val="42"/>
        </w:numPr>
        <w:rPr>
          <w:rFonts w:ascii="Oracle Sans" w:eastAsia="Oracle Sans" w:hAnsi="Oracle Sans" w:cs="Oracle Sans"/>
          <w:b/>
          <w:bCs/>
        </w:rPr>
      </w:pPr>
      <w:r w:rsidRPr="00C35080">
        <w:rPr>
          <w:rFonts w:ascii="Oracle Sans" w:eastAsia="Oracle Sans" w:hAnsi="Oracle Sans" w:cs="Oracle Sans"/>
          <w:b/>
          <w:bCs/>
        </w:rPr>
        <w:t xml:space="preserve">EHR vendors are repositioning as AI development platforms. </w:t>
      </w:r>
      <w:r w:rsidRPr="00C35080">
        <w:rPr>
          <w:rFonts w:ascii="Oracle Sans" w:eastAsia="Oracle Sans" w:hAnsi="Oracle Sans" w:cs="Oracle Sans"/>
        </w:rPr>
        <w:t xml:space="preserve">The most consequential strategic shift at the conference was a positioning change: leading EHR vendors are moving from </w:t>
      </w:r>
      <w:r w:rsidRPr="00C35080">
        <w:rPr>
          <w:rFonts w:ascii="Oracle Sans" w:eastAsia="Oracle Sans" w:hAnsi="Oracle Sans" w:cs="Oracle Sans" w:hint="cs"/>
        </w:rPr>
        <w:t>“</w:t>
      </w:r>
      <w:r w:rsidRPr="00C35080">
        <w:rPr>
          <w:rFonts w:ascii="Oracle Sans" w:eastAsia="Oracle Sans" w:hAnsi="Oracle Sans" w:cs="Oracle Sans"/>
        </w:rPr>
        <w:t>AI features in the EHR</w:t>
      </w:r>
      <w:r w:rsidRPr="00C35080">
        <w:rPr>
          <w:rFonts w:ascii="Oracle Sans" w:eastAsia="Oracle Sans" w:hAnsi="Oracle Sans" w:cs="Oracle Sans" w:hint="cs"/>
        </w:rPr>
        <w:t>”</w:t>
      </w:r>
      <w:r w:rsidRPr="00C35080">
        <w:rPr>
          <w:rFonts w:ascii="Oracle Sans" w:eastAsia="Oracle Sans" w:hAnsi="Oracle Sans" w:cs="Oracle Sans"/>
        </w:rPr>
        <w:t xml:space="preserve"> to </w:t>
      </w:r>
      <w:r w:rsidRPr="00C35080">
        <w:rPr>
          <w:rFonts w:ascii="Oracle Sans" w:eastAsia="Oracle Sans" w:hAnsi="Oracle Sans" w:cs="Oracle Sans" w:hint="cs"/>
        </w:rPr>
        <w:t>“</w:t>
      </w:r>
      <w:r w:rsidRPr="00C35080">
        <w:rPr>
          <w:rFonts w:ascii="Oracle Sans" w:eastAsia="Oracle Sans" w:hAnsi="Oracle Sans" w:cs="Oracle Sans"/>
        </w:rPr>
        <w:t>the EHR as the platform where health systems build and deploy AI.</w:t>
      </w:r>
      <w:r w:rsidRPr="00C35080">
        <w:rPr>
          <w:rFonts w:ascii="Oracle Sans" w:eastAsia="Oracle Sans" w:hAnsi="Oracle Sans" w:cs="Oracle Sans" w:hint="cs"/>
        </w:rPr>
        <w:t>”</w:t>
      </w:r>
      <w:r w:rsidRPr="00C35080">
        <w:rPr>
          <w:rFonts w:ascii="Oracle Sans" w:eastAsia="Oracle Sans" w:hAnsi="Oracle Sans" w:cs="Oracle Sans"/>
        </w:rPr>
        <w:t xml:space="preserve">  The purchasing conversation is shifting from which AI tool to buy toward which platform to build on </w:t>
      </w:r>
      <w:r w:rsidRPr="00C35080">
        <w:rPr>
          <w:rFonts w:ascii="Oracle Sans" w:eastAsia="Oracle Sans" w:hAnsi="Oracle Sans" w:cs="Oracle Sans" w:hint="cs"/>
        </w:rPr>
        <w:t>–</w:t>
      </w:r>
      <w:r w:rsidRPr="00C35080">
        <w:rPr>
          <w:rFonts w:ascii="Oracle Sans" w:eastAsia="Oracle Sans" w:hAnsi="Oracle Sans" w:cs="Oracle Sans"/>
        </w:rPr>
        <w:t xml:space="preserve"> a decision with significant long-term switching cost implications.</w:t>
      </w:r>
    </w:p>
    <w:p w14:paraId="11A7CD6D" w14:textId="77777777" w:rsidR="00C35080" w:rsidRPr="00C35080" w:rsidRDefault="00C35080" w:rsidP="00C35080">
      <w:pPr>
        <w:pStyle w:val="ListParagraph"/>
        <w:numPr>
          <w:ilvl w:val="0"/>
          <w:numId w:val="42"/>
        </w:numPr>
        <w:rPr>
          <w:rFonts w:ascii="Oracle Sans" w:eastAsia="Oracle Sans" w:hAnsi="Oracle Sans" w:cs="Oracle Sans"/>
          <w:b/>
          <w:bCs/>
        </w:rPr>
      </w:pPr>
      <w:r w:rsidRPr="00C35080">
        <w:rPr>
          <w:rFonts w:ascii="Oracle Sans" w:eastAsia="Oracle Sans" w:hAnsi="Oracle Sans" w:cs="Oracle Sans"/>
          <w:b/>
          <w:bCs/>
        </w:rPr>
        <w:t xml:space="preserve">Investment in patient engagement and digital health has declined. </w:t>
      </w:r>
      <w:r w:rsidRPr="00C35080">
        <w:rPr>
          <w:rFonts w:ascii="Oracle Sans" w:eastAsia="Oracle Sans" w:hAnsi="Oracle Sans" w:cs="Oracle Sans"/>
        </w:rPr>
        <w:t>Health system investment in the digital front door, patient portals, online scheduling, and low-acuity access has contracted significantly.  Workforce shortages and margin pressure have shifted priorities toward administrative efficiency and profitable care settings.  The patient engagement conversation has narrowed to AI-enabled outreach between episodes and connectivity to third-party health data platforms.</w:t>
      </w:r>
    </w:p>
    <w:p w14:paraId="747876AD" w14:textId="77777777" w:rsidR="00C35080" w:rsidRPr="00C35080" w:rsidRDefault="00C35080" w:rsidP="00C35080">
      <w:pPr>
        <w:pStyle w:val="ListParagraph"/>
        <w:numPr>
          <w:ilvl w:val="0"/>
          <w:numId w:val="42"/>
        </w:numPr>
        <w:rPr>
          <w:rFonts w:ascii="Oracle Sans" w:eastAsia="Oracle Sans" w:hAnsi="Oracle Sans" w:cs="Oracle Sans"/>
        </w:rPr>
      </w:pPr>
      <w:r w:rsidRPr="00C35080">
        <w:rPr>
          <w:rFonts w:ascii="Oracle Sans" w:eastAsia="Oracle Sans" w:hAnsi="Oracle Sans" w:cs="Oracle Sans"/>
          <w:b/>
          <w:bCs/>
        </w:rPr>
        <w:t xml:space="preserve">Patients are using consumer AI to fill gaps in health system digital tools. </w:t>
      </w:r>
      <w:r w:rsidRPr="00C35080">
        <w:rPr>
          <w:rFonts w:ascii="Oracle Sans" w:eastAsia="Oracle Sans" w:hAnsi="Oracle Sans" w:cs="Oracle Sans"/>
        </w:rPr>
        <w:t xml:space="preserve">A patient experience panel documented a clear pattern: patients are making daily clinical decisions </w:t>
      </w:r>
      <w:r w:rsidRPr="00C35080">
        <w:rPr>
          <w:rFonts w:ascii="Oracle Sans" w:eastAsia="Oracle Sans" w:hAnsi="Oracle Sans" w:cs="Oracle Sans" w:hint="cs"/>
        </w:rPr>
        <w:t>–</w:t>
      </w:r>
      <w:r w:rsidRPr="00C35080">
        <w:rPr>
          <w:rFonts w:ascii="Oracle Sans" w:eastAsia="Oracle Sans" w:hAnsi="Oracle Sans" w:cs="Oracle Sans"/>
        </w:rPr>
        <w:t xml:space="preserve"> medication adherence, symptom assessment, care navigation </w:t>
      </w:r>
      <w:r w:rsidRPr="00C35080">
        <w:rPr>
          <w:rFonts w:ascii="Oracle Sans" w:eastAsia="Oracle Sans" w:hAnsi="Oracle Sans" w:cs="Oracle Sans" w:hint="cs"/>
        </w:rPr>
        <w:t>–</w:t>
      </w:r>
      <w:r w:rsidRPr="00C35080">
        <w:rPr>
          <w:rFonts w:ascii="Oracle Sans" w:eastAsia="Oracle Sans" w:hAnsi="Oracle Sans" w:cs="Oracle Sans"/>
        </w:rPr>
        <w:t xml:space="preserve"> with limited guidance from their health system, and are turning to general consumer AI tools to compensate.  The root cause is a design problem: existing EHRs and portals are optimized for documentation and transactions, not patient guidance between encounters.  EHR vendors that solve this problem retain the patient relationship; those that do not will lose it to consumer platforms outside their ecosystem.</w:t>
      </w:r>
    </w:p>
    <w:p w14:paraId="2B418167" w14:textId="77777777" w:rsidR="00C35080" w:rsidRPr="00C35080" w:rsidRDefault="00C35080" w:rsidP="00C35080">
      <w:pPr>
        <w:pStyle w:val="ListParagraph"/>
        <w:numPr>
          <w:ilvl w:val="0"/>
          <w:numId w:val="42"/>
        </w:numPr>
        <w:rPr>
          <w:rFonts w:ascii="Oracle Sans" w:eastAsia="Oracle Sans" w:hAnsi="Oracle Sans" w:cs="Oracle Sans"/>
          <w:b/>
          <w:bCs/>
        </w:rPr>
      </w:pPr>
      <w:r w:rsidRPr="00C35080">
        <w:rPr>
          <w:rFonts w:ascii="Oracle Sans" w:eastAsia="Oracle Sans" w:hAnsi="Oracle Sans" w:cs="Oracle Sans"/>
          <w:b/>
          <w:bCs/>
        </w:rPr>
        <w:t xml:space="preserve">Federal policy is establishing a regulatory framework for agentic AI in clinical settings. </w:t>
      </w:r>
      <w:r w:rsidRPr="00C35080">
        <w:rPr>
          <w:rFonts w:ascii="Oracle Sans" w:eastAsia="Oracle Sans" w:hAnsi="Oracle Sans" w:cs="Oracle Sans"/>
        </w:rPr>
        <w:t>ARPA-H</w:t>
      </w:r>
      <w:r w:rsidRPr="00C35080">
        <w:rPr>
          <w:rFonts w:ascii="Oracle Sans" w:eastAsia="Oracle Sans" w:hAnsi="Oracle Sans" w:cs="Oracle Sans" w:hint="cs"/>
        </w:rPr>
        <w:t>’</w:t>
      </w:r>
      <w:r w:rsidRPr="00C35080">
        <w:rPr>
          <w:rFonts w:ascii="Oracle Sans" w:eastAsia="Oracle Sans" w:hAnsi="Oracle Sans" w:cs="Oracle Sans"/>
        </w:rPr>
        <w:t xml:space="preserve">s ADVOCATE program is developing an FDA-authorized autonomous clinical agent for cardiovascular disease, designed to coordinate medications, appointments, diagnostics, and lifestyle interventions using data from clinical systems, claims, devices, and patient-reported sources.  This establishes a federal template for how authorized clinical AI agents will be structured and validated.  HHS is separately framing </w:t>
      </w:r>
      <w:r w:rsidRPr="00C35080">
        <w:rPr>
          <w:rFonts w:ascii="Oracle Sans" w:eastAsia="Oracle Sans" w:hAnsi="Oracle Sans" w:cs="Oracle Sans"/>
        </w:rPr>
        <w:lastRenderedPageBreak/>
        <w:t xml:space="preserve">its AI strategy around measurable outcomes in value-based arrangements </w:t>
      </w:r>
      <w:r w:rsidRPr="00C35080">
        <w:rPr>
          <w:rFonts w:ascii="Oracle Sans" w:eastAsia="Oracle Sans" w:hAnsi="Oracle Sans" w:cs="Oracle Sans" w:hint="cs"/>
        </w:rPr>
        <w:t>–</w:t>
      </w:r>
      <w:r w:rsidRPr="00C35080">
        <w:rPr>
          <w:rFonts w:ascii="Oracle Sans" w:eastAsia="Oracle Sans" w:hAnsi="Oracle Sans" w:cs="Oracle Sans"/>
        </w:rPr>
        <w:t xml:space="preserve"> total cost reduction, drug utilization management, and access expansion </w:t>
      </w:r>
      <w:r w:rsidRPr="00C35080">
        <w:rPr>
          <w:rFonts w:ascii="Oracle Sans" w:eastAsia="Oracle Sans" w:hAnsi="Oracle Sans" w:cs="Oracle Sans" w:hint="cs"/>
        </w:rPr>
        <w:t>–</w:t>
      </w:r>
      <w:r w:rsidRPr="00C35080">
        <w:rPr>
          <w:rFonts w:ascii="Oracle Sans" w:eastAsia="Oracle Sans" w:hAnsi="Oracle Sans" w:cs="Oracle Sans"/>
        </w:rPr>
        <w:t xml:space="preserve"> with explicit requirements for auditable metrics.</w:t>
      </w:r>
    </w:p>
    <w:p w14:paraId="59B00298" w14:textId="0F137887" w:rsidR="00406DF5" w:rsidRPr="00406DF5" w:rsidRDefault="00C35080" w:rsidP="006006E4">
      <w:pPr>
        <w:pStyle w:val="ListParagraph"/>
        <w:numPr>
          <w:ilvl w:val="0"/>
          <w:numId w:val="42"/>
        </w:numPr>
        <w:rPr>
          <w:rFonts w:ascii="Oracle Sans" w:eastAsia="Oracle Sans" w:hAnsi="Oracle Sans" w:cs="Oracle Sans"/>
          <w:b/>
          <w:bCs/>
        </w:rPr>
      </w:pPr>
      <w:r w:rsidRPr="008F1F98">
        <w:rPr>
          <w:rFonts w:ascii="Oracle Sans" w:eastAsia="Oracle Sans" w:hAnsi="Oracle Sans" w:cs="Oracle Sans" w:hint="cs"/>
          <w:b/>
          <w:bCs/>
        </w:rPr>
        <w:t>“</w:t>
      </w:r>
      <w:r w:rsidRPr="008F1F98">
        <w:rPr>
          <w:rFonts w:ascii="Oracle Sans" w:eastAsia="Oracle Sans" w:hAnsi="Oracle Sans" w:cs="Oracle Sans"/>
          <w:b/>
          <w:bCs/>
        </w:rPr>
        <w:t>Kill the Clipboard</w:t>
      </w:r>
      <w:r w:rsidRPr="008F1F98">
        <w:rPr>
          <w:rFonts w:ascii="Oracle Sans" w:eastAsia="Oracle Sans" w:hAnsi="Oracle Sans" w:cs="Oracle Sans" w:hint="cs"/>
          <w:b/>
          <w:bCs/>
        </w:rPr>
        <w:t>”</w:t>
      </w:r>
      <w:r w:rsidRPr="008F1F98">
        <w:rPr>
          <w:rFonts w:ascii="Oracle Sans" w:eastAsia="Oracle Sans" w:hAnsi="Oracle Sans" w:cs="Oracle Sans"/>
          <w:b/>
          <w:bCs/>
        </w:rPr>
        <w:t xml:space="preserve"> </w:t>
      </w:r>
      <w:r w:rsidRPr="008F1F98">
        <w:rPr>
          <w:rFonts w:ascii="Oracle Sans" w:eastAsia="Oracle Sans" w:hAnsi="Oracle Sans" w:cs="Oracle Sans" w:hint="cs"/>
          <w:b/>
          <w:bCs/>
        </w:rPr>
        <w:t>–</w:t>
      </w:r>
      <w:r w:rsidRPr="008F1F98">
        <w:rPr>
          <w:rFonts w:ascii="Oracle Sans" w:eastAsia="Oracle Sans" w:hAnsi="Oracle Sans" w:cs="Oracle Sans"/>
          <w:b/>
          <w:bCs/>
        </w:rPr>
        <w:t xml:space="preserve"> a CMS initiative with growing industry commitment. </w:t>
      </w:r>
      <w:r w:rsidRPr="008F1F98">
        <w:rPr>
          <w:rFonts w:ascii="Oracle Sans" w:eastAsia="Oracle Sans" w:hAnsi="Oracle Sans" w:cs="Oracle Sans"/>
        </w:rPr>
        <w:t xml:space="preserve">CMS launched a voluntary Health Tech Ecosystem initiative with three goals: interoperability, AI-assisted patient engagement, and elimination of paper intake at the point of care.  Over 700 organizations have committed, including Amazon, Apple, Google, and Anthropic.  The Samsung / b.well announcement at HIMSS </w:t>
      </w:r>
      <w:r w:rsidRPr="008F1F98">
        <w:rPr>
          <w:rFonts w:ascii="Oracle Sans" w:eastAsia="Oracle Sans" w:hAnsi="Oracle Sans" w:cs="Oracle Sans" w:hint="cs"/>
        </w:rPr>
        <w:t>–</w:t>
      </w:r>
      <w:r w:rsidRPr="008F1F98">
        <w:rPr>
          <w:rFonts w:ascii="Oracle Sans" w:eastAsia="Oracle Sans" w:hAnsi="Oracle Sans" w:cs="Oracle Sans"/>
        </w:rPr>
        <w:t xml:space="preserve"> enabling Galaxy users to share their health record via QR code at check-in </w:t>
      </w:r>
      <w:r w:rsidRPr="008F1F98">
        <w:rPr>
          <w:rFonts w:ascii="Oracle Sans" w:eastAsia="Oracle Sans" w:hAnsi="Oracle Sans" w:cs="Oracle Sans" w:hint="cs"/>
        </w:rPr>
        <w:t>–</w:t>
      </w:r>
      <w:r w:rsidRPr="008F1F98">
        <w:rPr>
          <w:rFonts w:ascii="Oracle Sans" w:eastAsia="Oracle Sans" w:hAnsi="Oracle Sans" w:cs="Oracle Sans"/>
        </w:rPr>
        <w:t xml:space="preserve"> was the most concrete live implementation to date.  HHS has begun issuing nonconformity notices to certified health IT developers for information blocking, with potential penalties up to $1 million per violation.</w:t>
      </w:r>
    </w:p>
    <w:p w14:paraId="1ADD1F46" w14:textId="06BBC0F9" w:rsidR="00406DF5" w:rsidRPr="00406DF5" w:rsidRDefault="00274915" w:rsidP="000957D6">
      <w:pPr>
        <w:pStyle w:val="Heading1"/>
        <w:pBdr>
          <w:bottom w:val="single" w:sz="6" w:space="1" w:color="2E75B6"/>
        </w:pBdr>
        <w:rPr>
          <w:rFonts w:eastAsia="Arial"/>
        </w:rPr>
      </w:pPr>
      <w:r>
        <w:rPr>
          <w:rFonts w:eastAsia="Arial"/>
        </w:rPr>
        <w:t>Competitor &amp; Commercial Intel</w:t>
      </w:r>
    </w:p>
    <w:p w14:paraId="300587D6" w14:textId="77777777" w:rsidR="00406DF5" w:rsidRPr="00406DF5" w:rsidRDefault="00406DF5" w:rsidP="00406DF5">
      <w:pPr>
        <w:rPr>
          <w:rFonts w:ascii="Oracle Sans" w:eastAsia="Oracle Sans" w:hAnsi="Oracle Sans" w:cs="Oracle Sans"/>
          <w:b/>
          <w:bCs/>
        </w:rPr>
      </w:pPr>
      <w:r w:rsidRPr="00406DF5">
        <w:rPr>
          <w:rFonts w:ascii="Oracle Sans Extra Bold" w:eastAsia="Arial" w:hAnsi="Oracle Sans Extra Bold"/>
          <w:bCs/>
          <w:sz w:val="27"/>
          <w:szCs w:val="27"/>
        </w:rPr>
        <w:t>Epic</w:t>
      </w:r>
    </w:p>
    <w:p w14:paraId="08B974F5" w14:textId="712DB2AD" w:rsidR="002D0A00" w:rsidRPr="008F1F98" w:rsidRDefault="002D0A00" w:rsidP="002D0A00">
      <w:pPr>
        <w:rPr>
          <w:rFonts w:ascii="Oracle Sans" w:eastAsia="Oracle Sans" w:hAnsi="Oracle Sans" w:cs="Oracle Sans"/>
        </w:rPr>
      </w:pPr>
      <w:r w:rsidRPr="008F1F98">
        <w:rPr>
          <w:rFonts w:ascii="Oracle Sans" w:eastAsia="Oracle Sans" w:hAnsi="Oracle Sans" w:cs="Oracle Sans"/>
        </w:rPr>
        <w:t>Epic had a large polished booth at the conference.  Displays outside their space included direct operating margin comparisons between Epic and Oracle health systems.  Key announcements:</w:t>
      </w:r>
    </w:p>
    <w:p w14:paraId="4DC888C9" w14:textId="77777777" w:rsidR="002D0A00" w:rsidRPr="002D0A00" w:rsidRDefault="002D0A00" w:rsidP="002D0A00">
      <w:pPr>
        <w:pStyle w:val="ListParagraph"/>
        <w:numPr>
          <w:ilvl w:val="0"/>
          <w:numId w:val="44"/>
        </w:numPr>
        <w:rPr>
          <w:rFonts w:ascii="Oracle Sans" w:eastAsia="Oracle Sans" w:hAnsi="Oracle Sans" w:cs="Oracle Sans"/>
        </w:rPr>
      </w:pPr>
      <w:r w:rsidRPr="002D0A00">
        <w:rPr>
          <w:rFonts w:ascii="Oracle Sans" w:eastAsia="Oracle Sans" w:hAnsi="Oracle Sans" w:cs="Oracle Sans"/>
          <w:b/>
          <w:bCs/>
        </w:rPr>
        <w:t xml:space="preserve">Agent Factory: </w:t>
      </w:r>
      <w:r w:rsidRPr="002D0A00">
        <w:rPr>
          <w:rFonts w:ascii="Oracle Sans" w:eastAsia="Oracle Sans" w:hAnsi="Oracle Sans" w:cs="Oracle Sans"/>
        </w:rPr>
        <w:t>A no-code visual builder that enables health systems to configure and deploy custom AI agents inside the Epic environment.  This is a platform move, not a product launch: Epic is providing the development environment for health system-built automation, running on Epic</w:t>
      </w:r>
      <w:r w:rsidRPr="002D0A00">
        <w:rPr>
          <w:rFonts w:ascii="Oracle Sans" w:eastAsia="Oracle Sans" w:hAnsi="Oracle Sans" w:cs="Oracle Sans" w:hint="cs"/>
        </w:rPr>
        <w:t>’</w:t>
      </w:r>
      <w:r w:rsidRPr="002D0A00">
        <w:rPr>
          <w:rFonts w:ascii="Oracle Sans" w:eastAsia="Oracle Sans" w:hAnsi="Oracle Sans" w:cs="Oracle Sans"/>
        </w:rPr>
        <w:t>s data model, governance layer, and tooling.  Every workflow built increases switching cost.  This affects 40% of U.S. hospitals.</w:t>
      </w:r>
    </w:p>
    <w:p w14:paraId="21346030" w14:textId="77777777" w:rsidR="002D0A00" w:rsidRPr="002D0A00" w:rsidRDefault="002D0A00" w:rsidP="002D0A00">
      <w:pPr>
        <w:pStyle w:val="ListParagraph"/>
        <w:numPr>
          <w:ilvl w:val="0"/>
          <w:numId w:val="44"/>
        </w:numPr>
        <w:rPr>
          <w:rFonts w:ascii="Oracle Sans" w:eastAsia="Oracle Sans" w:hAnsi="Oracle Sans" w:cs="Oracle Sans"/>
          <w:b/>
          <w:bCs/>
        </w:rPr>
      </w:pPr>
      <w:r w:rsidRPr="002D0A00">
        <w:rPr>
          <w:rFonts w:ascii="Oracle Sans" w:eastAsia="Oracle Sans" w:hAnsi="Oracle Sans" w:cs="Oracle Sans"/>
          <w:b/>
          <w:bCs/>
        </w:rPr>
        <w:t xml:space="preserve">Curiosity: </w:t>
      </w:r>
      <w:r w:rsidRPr="002D0A00">
        <w:rPr>
          <w:rFonts w:ascii="Oracle Sans" w:eastAsia="Oracle Sans" w:hAnsi="Oracle Sans" w:cs="Oracle Sans"/>
        </w:rPr>
        <w:t>A proprietary family of medical foundation models trained on de-identified patient records, designed to predict patient journeys and support clinical decision-making.</w:t>
      </w:r>
    </w:p>
    <w:p w14:paraId="715ACAC1" w14:textId="77777777" w:rsidR="002D0A00" w:rsidRPr="002D0A00" w:rsidRDefault="002D0A00" w:rsidP="002D0A00">
      <w:pPr>
        <w:pStyle w:val="ListParagraph"/>
        <w:numPr>
          <w:ilvl w:val="0"/>
          <w:numId w:val="44"/>
        </w:numPr>
        <w:rPr>
          <w:rFonts w:ascii="Oracle Sans" w:eastAsia="Oracle Sans" w:hAnsi="Oracle Sans" w:cs="Oracle Sans"/>
        </w:rPr>
      </w:pPr>
      <w:r w:rsidRPr="002D0A00">
        <w:rPr>
          <w:rFonts w:ascii="Oracle Sans" w:eastAsia="Oracle Sans" w:hAnsi="Oracle Sans" w:cs="Oracle Sans"/>
          <w:b/>
          <w:bCs/>
        </w:rPr>
        <w:t xml:space="preserve">Adoption claim: </w:t>
      </w:r>
      <w:r w:rsidRPr="002D0A00">
        <w:rPr>
          <w:rFonts w:ascii="Oracle Sans" w:eastAsia="Oracle Sans" w:hAnsi="Oracle Sans" w:cs="Oracle Sans"/>
        </w:rPr>
        <w:t>85% of Epic</w:t>
      </w:r>
      <w:r w:rsidRPr="002D0A00">
        <w:rPr>
          <w:rFonts w:ascii="Oracle Sans" w:eastAsia="Oracle Sans" w:hAnsi="Oracle Sans" w:cs="Oracle Sans" w:hint="cs"/>
        </w:rPr>
        <w:t>’</w:t>
      </w:r>
      <w:r w:rsidRPr="002D0A00">
        <w:rPr>
          <w:rFonts w:ascii="Oracle Sans" w:eastAsia="Oracle Sans" w:hAnsi="Oracle Sans" w:cs="Oracle Sans"/>
        </w:rPr>
        <w:t>s customer base is actively using its AI tools across Art (clinical documentation), Penny (revenue cycle, prior auth, denials), and Emmie (patient engagement).</w:t>
      </w:r>
    </w:p>
    <w:p w14:paraId="06294A47" w14:textId="5163CD46" w:rsidR="00406DF5" w:rsidRPr="002D0A00" w:rsidRDefault="002D0A00" w:rsidP="00406DF5">
      <w:pPr>
        <w:pStyle w:val="ListParagraph"/>
        <w:numPr>
          <w:ilvl w:val="0"/>
          <w:numId w:val="44"/>
        </w:numPr>
        <w:rPr>
          <w:rFonts w:ascii="Oracle Sans" w:eastAsia="Oracle Sans" w:hAnsi="Oracle Sans" w:cs="Oracle Sans"/>
        </w:rPr>
      </w:pPr>
      <w:r w:rsidRPr="002D0A00">
        <w:rPr>
          <w:rFonts w:ascii="Oracle Sans" w:eastAsia="Oracle Sans" w:hAnsi="Oracle Sans" w:cs="Oracle Sans"/>
          <w:b/>
          <w:bCs/>
        </w:rPr>
        <w:t xml:space="preserve">Customer outcome data: </w:t>
      </w:r>
      <w:r w:rsidRPr="002D0A00">
        <w:rPr>
          <w:rFonts w:ascii="Oracle Sans" w:eastAsia="Oracle Sans" w:hAnsi="Oracle Sans" w:cs="Oracle Sans"/>
        </w:rPr>
        <w:t>Summit Health reduced prior auth submission time by 42% using Penny, with 92% of AI-generated responses accepted without edits.  Coding-related denials dropped more than 20% at highest-usage systems.  Rush University Medical Center reported a 58% reduction in billing-related patient service contacts via Emmie.</w:t>
      </w:r>
    </w:p>
    <w:p w14:paraId="1C501C1D" w14:textId="7A103DF0" w:rsidR="002D0A00" w:rsidRDefault="002D0A00" w:rsidP="002D0A00">
      <w:pPr>
        <w:rPr>
          <w:rFonts w:ascii="Oracle Sans" w:eastAsia="Oracle Sans" w:hAnsi="Oracle Sans" w:cs="Oracle Sans"/>
        </w:rPr>
      </w:pPr>
      <w:r w:rsidRPr="002D0A00">
        <w:rPr>
          <w:rFonts w:ascii="Oracle Sans" w:eastAsia="Oracle Sans" w:hAnsi="Oracle Sans" w:cs="Oracle Sans"/>
        </w:rPr>
        <w:t>Customer and partner criticism of Epic was more widespread at this conference than in prior years.  Consistent themes across multiple independent conversations: integration fees increased with limited notice; established partner programs wound down abruptly; integrations that customer vendors depended on were shut off; and Epic sales teams have been reported to intervene in competitive sales processes at existing customers.  At least one information blocking lawsuit produced public court admissions during HIMSS week.  Several health system leaders stated directly that they do not trust their EHR vendor to act in their long-term interest.</w:t>
      </w:r>
      <w:r>
        <w:rPr>
          <w:rFonts w:ascii="Oracle Sans" w:eastAsia="Oracle Sans" w:hAnsi="Oracle Sans" w:cs="Oracle Sans"/>
        </w:rPr>
        <w:t xml:space="preserve">  </w:t>
      </w:r>
    </w:p>
    <w:p w14:paraId="13E01F4D" w14:textId="1ECA4517" w:rsidR="002D0A00" w:rsidRPr="002D0A00" w:rsidRDefault="002D0A00" w:rsidP="002D0A00">
      <w:pPr>
        <w:rPr>
          <w:rFonts w:ascii="Oracle Sans" w:eastAsia="Oracle Sans" w:hAnsi="Oracle Sans" w:cs="Oracle Sans"/>
        </w:rPr>
      </w:pPr>
      <w:r>
        <w:rPr>
          <w:rFonts w:ascii="Oracle Sans" w:eastAsia="Oracle Sans" w:hAnsi="Oracle Sans" w:cs="Oracle Sans"/>
        </w:rPr>
        <w:t>Other Epic notes:</w:t>
      </w:r>
    </w:p>
    <w:p w14:paraId="4853437A" w14:textId="77777777" w:rsidR="002D0A00" w:rsidRPr="002D0A00" w:rsidRDefault="002D0A00" w:rsidP="002D0A00">
      <w:pPr>
        <w:pStyle w:val="ListParagraph"/>
        <w:numPr>
          <w:ilvl w:val="0"/>
          <w:numId w:val="49"/>
        </w:numPr>
        <w:rPr>
          <w:rFonts w:ascii="Oracle Sans" w:eastAsia="Oracle Sans" w:hAnsi="Oracle Sans" w:cs="Oracle Sans"/>
        </w:rPr>
      </w:pPr>
      <w:r w:rsidRPr="002D0A00">
        <w:rPr>
          <w:rFonts w:ascii="Oracle Sans" w:eastAsia="Oracle Sans" w:hAnsi="Oracle Sans" w:cs="Oracle Sans"/>
        </w:rPr>
        <w:t>Epic and Apple were jointly present in the booth, with reports of Apple financing mobile device product development for clinician use.  Apple is positioning to become the preferred mobile hardware platform for Epic clinical workflows.</w:t>
      </w:r>
    </w:p>
    <w:p w14:paraId="3D5068FA" w14:textId="77777777" w:rsidR="002D0A00" w:rsidRPr="002D0A00" w:rsidRDefault="002D0A00" w:rsidP="002D0A00">
      <w:pPr>
        <w:pStyle w:val="ListParagraph"/>
        <w:numPr>
          <w:ilvl w:val="0"/>
          <w:numId w:val="49"/>
        </w:numPr>
        <w:rPr>
          <w:rFonts w:ascii="Oracle Sans" w:eastAsia="Oracle Sans" w:hAnsi="Oracle Sans" w:cs="Oracle Sans"/>
        </w:rPr>
      </w:pPr>
      <w:r w:rsidRPr="002D0A00">
        <w:rPr>
          <w:rFonts w:ascii="Oracle Sans" w:eastAsia="Oracle Sans" w:hAnsi="Oracle Sans" w:cs="Oracle Sans"/>
        </w:rPr>
        <w:t>Epic AURA signed iRhythm as its first medical device integration partner, using a volume-based model comparable in structure to Oracle</w:t>
      </w:r>
      <w:r w:rsidRPr="002D0A00">
        <w:rPr>
          <w:rFonts w:ascii="Oracle Sans" w:eastAsia="Oracle Sans" w:hAnsi="Oracle Sans" w:cs="Oracle Sans" w:hint="cs"/>
        </w:rPr>
        <w:t>’</w:t>
      </w:r>
      <w:r w:rsidRPr="002D0A00">
        <w:rPr>
          <w:rFonts w:ascii="Oracle Sans" w:eastAsia="Oracle Sans" w:hAnsi="Oracle Sans" w:cs="Oracle Sans"/>
        </w:rPr>
        <w:t>s Reference Lab Network.</w:t>
      </w:r>
    </w:p>
    <w:p w14:paraId="2351A62F" w14:textId="24812FC6" w:rsidR="00406DF5" w:rsidRPr="001B2942" w:rsidRDefault="002D0A00" w:rsidP="00406DF5">
      <w:pPr>
        <w:pStyle w:val="ListParagraph"/>
        <w:numPr>
          <w:ilvl w:val="0"/>
          <w:numId w:val="49"/>
        </w:numPr>
        <w:rPr>
          <w:rFonts w:ascii="Oracle Sans" w:eastAsia="Oracle Sans" w:hAnsi="Oracle Sans" w:cs="Oracle Sans"/>
        </w:rPr>
      </w:pPr>
      <w:r w:rsidRPr="002D0A00">
        <w:rPr>
          <w:rFonts w:ascii="Oracle Sans" w:eastAsia="Oracle Sans" w:hAnsi="Oracle Sans" w:cs="Oracle Sans"/>
        </w:rPr>
        <w:t>Epic</w:t>
      </w:r>
      <w:r w:rsidRPr="002D0A00">
        <w:rPr>
          <w:rFonts w:ascii="Oracle Sans" w:eastAsia="Oracle Sans" w:hAnsi="Oracle Sans" w:cs="Oracle Sans" w:hint="cs"/>
        </w:rPr>
        <w:t>’</w:t>
      </w:r>
      <w:r w:rsidRPr="002D0A00">
        <w:rPr>
          <w:rFonts w:ascii="Oracle Sans" w:eastAsia="Oracle Sans" w:hAnsi="Oracle Sans" w:cs="Oracle Sans"/>
        </w:rPr>
        <w:t>s Workshop partner program has been reduced to three vendors; others have been moved to the lower-tier Toolbox category.  ISV feedback cited slow onboarding, expensive sandbox access, and high integration costs as ongoing barriers.</w:t>
      </w:r>
    </w:p>
    <w:p w14:paraId="0E612D86" w14:textId="77777777" w:rsidR="00406DF5" w:rsidRPr="00406DF5" w:rsidRDefault="00406DF5" w:rsidP="00406DF5">
      <w:pPr>
        <w:rPr>
          <w:rFonts w:ascii="Oracle Sans Extra Bold" w:eastAsia="Arial" w:hAnsi="Oracle Sans Extra Bold"/>
          <w:bCs/>
          <w:sz w:val="27"/>
          <w:szCs w:val="27"/>
        </w:rPr>
      </w:pPr>
      <w:r w:rsidRPr="00406DF5">
        <w:rPr>
          <w:rFonts w:ascii="Oracle Sans Extra Bold" w:eastAsia="Arial" w:hAnsi="Oracle Sans Extra Bold"/>
          <w:bCs/>
          <w:sz w:val="27"/>
          <w:szCs w:val="27"/>
        </w:rPr>
        <w:t>Athenahealth</w:t>
      </w:r>
    </w:p>
    <w:p w14:paraId="411C15FE" w14:textId="77777777" w:rsidR="00406DF5" w:rsidRPr="00406DF5" w:rsidRDefault="00406DF5" w:rsidP="00406DF5">
      <w:pPr>
        <w:rPr>
          <w:rFonts w:ascii="Oracle Sans" w:eastAsia="Oracle Sans" w:hAnsi="Oracle Sans" w:cs="Oracle Sans"/>
        </w:rPr>
      </w:pPr>
      <w:r w:rsidRPr="00406DF5">
        <w:rPr>
          <w:rFonts w:ascii="Oracle Sans" w:eastAsia="Oracle Sans" w:hAnsi="Oracle Sans" w:cs="Oracle Sans"/>
        </w:rPr>
        <w:t>Athenahealth made two notable announcements with strategic implications:</w:t>
      </w:r>
    </w:p>
    <w:p w14:paraId="6D848078" w14:textId="77777777" w:rsidR="00406DF5" w:rsidRPr="002D0A00" w:rsidRDefault="00406DF5" w:rsidP="002D0A00">
      <w:pPr>
        <w:pStyle w:val="ListParagraph"/>
        <w:numPr>
          <w:ilvl w:val="0"/>
          <w:numId w:val="46"/>
        </w:numPr>
        <w:rPr>
          <w:rFonts w:ascii="Oracle Sans" w:eastAsia="Oracle Sans" w:hAnsi="Oracle Sans" w:cs="Oracle Sans"/>
        </w:rPr>
      </w:pPr>
      <w:r w:rsidRPr="002D0A00">
        <w:rPr>
          <w:rFonts w:ascii="Oracle Sans" w:eastAsia="Oracle Sans" w:hAnsi="Oracle Sans" w:cs="Oracle Sans"/>
          <w:b/>
          <w:bCs/>
        </w:rPr>
        <w:t>athenaConnect:</w:t>
      </w:r>
      <w:r w:rsidRPr="002D0A00">
        <w:rPr>
          <w:rFonts w:ascii="Oracle Sans" w:eastAsia="Oracle Sans" w:hAnsi="Oracle Sans" w:cs="Oracle Sans"/>
        </w:rPr>
        <w:t xml:space="preserve"> A single access point for external health systems, pharmacies, and labs to connect with athenahealth's 170,000+ providers (covering approximately 20% of the U.S. provider population). Positions as an intelligent interoperability layer.</w:t>
      </w:r>
    </w:p>
    <w:p w14:paraId="5E2E732B" w14:textId="77C12754" w:rsidR="00406DF5" w:rsidRPr="001B2942" w:rsidRDefault="00406DF5" w:rsidP="00406DF5">
      <w:pPr>
        <w:pStyle w:val="ListParagraph"/>
        <w:numPr>
          <w:ilvl w:val="0"/>
          <w:numId w:val="46"/>
        </w:numPr>
        <w:rPr>
          <w:rFonts w:ascii="Oracle Sans" w:eastAsia="Oracle Sans" w:hAnsi="Oracle Sans" w:cs="Oracle Sans"/>
        </w:rPr>
      </w:pPr>
      <w:r w:rsidRPr="002D0A00">
        <w:rPr>
          <w:rFonts w:ascii="Oracle Sans" w:eastAsia="Oracle Sans" w:hAnsi="Oracle Sans" w:cs="Oracle Sans"/>
          <w:b/>
          <w:bCs/>
        </w:rPr>
        <w:lastRenderedPageBreak/>
        <w:t>MCP Server:</w:t>
      </w:r>
      <w:r w:rsidRPr="002D0A00">
        <w:rPr>
          <w:rFonts w:ascii="Oracle Sans" w:eastAsia="Oracle Sans" w:hAnsi="Oracle Sans" w:cs="Oracle Sans"/>
        </w:rPr>
        <w:t xml:space="preserve"> Athenahealth previewed a Model Context Protocol server enabling authorized AI agents – including third-party AI – to access structured patient data directly inside athenaOne. This is a deliberate open infrastructure play: if third-party AI is coming regardless, become the platform it runs on. Key message delivered at the conference: AI must show its work, at least for now.</w:t>
      </w:r>
    </w:p>
    <w:p w14:paraId="37051E60" w14:textId="77777777" w:rsidR="00406DF5" w:rsidRPr="00406DF5" w:rsidRDefault="00406DF5" w:rsidP="00406DF5">
      <w:pPr>
        <w:rPr>
          <w:rFonts w:ascii="Oracle Sans Extra Bold" w:eastAsia="Arial" w:hAnsi="Oracle Sans Extra Bold"/>
          <w:bCs/>
          <w:sz w:val="27"/>
          <w:szCs w:val="27"/>
        </w:rPr>
      </w:pPr>
      <w:r w:rsidRPr="00406DF5">
        <w:rPr>
          <w:rFonts w:ascii="Oracle Sans Extra Bold" w:eastAsia="Arial" w:hAnsi="Oracle Sans Extra Bold"/>
          <w:bCs/>
          <w:sz w:val="27"/>
          <w:szCs w:val="27"/>
        </w:rPr>
        <w:t>Hyperscalers: Google, AWS, Microsoft</w:t>
      </w:r>
    </w:p>
    <w:p w14:paraId="5A6B15FA" w14:textId="77777777" w:rsidR="00406DF5" w:rsidRPr="00406DF5" w:rsidRDefault="00406DF5" w:rsidP="00406DF5">
      <w:pPr>
        <w:rPr>
          <w:rFonts w:ascii="Oracle Sans" w:eastAsia="Oracle Sans" w:hAnsi="Oracle Sans" w:cs="Oracle Sans"/>
        </w:rPr>
      </w:pPr>
      <w:r w:rsidRPr="00406DF5">
        <w:rPr>
          <w:rFonts w:ascii="Oracle Sans" w:eastAsia="Oracle Sans" w:hAnsi="Oracle Sans" w:cs="Oracle Sans"/>
        </w:rPr>
        <w:t>All three major hyperscalers announced what can be characterized as AI ecosystem plays – positioning themselves as the infrastructure layer for healthcare AI rather than point solution vendors. The pitch across all three was consistent: don't buy twenty tools, build on our platform.</w:t>
      </w:r>
    </w:p>
    <w:p w14:paraId="2B5A9825" w14:textId="77777777" w:rsidR="00406DF5" w:rsidRPr="00406DF5" w:rsidRDefault="00406DF5" w:rsidP="00406DF5">
      <w:pPr>
        <w:rPr>
          <w:rFonts w:ascii="Oracle Sans" w:eastAsia="Oracle Sans" w:hAnsi="Oracle Sans" w:cs="Oracle Sans"/>
          <w:b/>
          <w:bCs/>
        </w:rPr>
      </w:pPr>
      <w:r w:rsidRPr="00406DF5">
        <w:rPr>
          <w:rFonts w:ascii="Oracle Sans" w:eastAsia="Oracle Sans" w:hAnsi="Oracle Sans" w:cs="Oracle Sans"/>
          <w:b/>
          <w:bCs/>
        </w:rPr>
        <w:t>Google Cloud</w:t>
      </w:r>
    </w:p>
    <w:p w14:paraId="4D8B9EB4" w14:textId="77777777" w:rsidR="00406DF5" w:rsidRPr="002D0A00" w:rsidRDefault="00406DF5" w:rsidP="002D0A00">
      <w:pPr>
        <w:pStyle w:val="ListParagraph"/>
        <w:numPr>
          <w:ilvl w:val="0"/>
          <w:numId w:val="45"/>
        </w:numPr>
        <w:ind w:left="720"/>
        <w:rPr>
          <w:rFonts w:ascii="Oracle Sans" w:eastAsia="Oracle Sans" w:hAnsi="Oracle Sans" w:cs="Oracle Sans"/>
        </w:rPr>
      </w:pPr>
      <w:r w:rsidRPr="002D0A00">
        <w:rPr>
          <w:rFonts w:ascii="Oracle Sans" w:eastAsia="Oracle Sans" w:hAnsi="Oracle Sans" w:cs="Oracle Sans"/>
        </w:rPr>
        <w:t>Announced Gemini-based AI partnerships with Humana, CVS Health, Highmark Health, Waystar, and Quest Diagnostics in the same week – a cross-section representing significant U.S. healthcare transaction volume.</w:t>
      </w:r>
    </w:p>
    <w:p w14:paraId="00544260" w14:textId="77777777" w:rsidR="00406DF5" w:rsidRPr="002D0A00" w:rsidRDefault="00406DF5" w:rsidP="002D0A00">
      <w:pPr>
        <w:pStyle w:val="ListParagraph"/>
        <w:numPr>
          <w:ilvl w:val="0"/>
          <w:numId w:val="45"/>
        </w:numPr>
        <w:ind w:left="720"/>
        <w:rPr>
          <w:rFonts w:ascii="Oracle Sans" w:eastAsia="Oracle Sans" w:hAnsi="Oracle Sans" w:cs="Oracle Sans"/>
        </w:rPr>
      </w:pPr>
      <w:r w:rsidRPr="002D0A00">
        <w:rPr>
          <w:rFonts w:ascii="Oracle Sans" w:eastAsia="Oracle Sans" w:hAnsi="Oracle Sans" w:cs="Oracle Sans"/>
        </w:rPr>
        <w:t>CVS launched Health100, a standalone health technology subsidiary built entirely on the Google Cloud stack – a payer making a structural platform bet.</w:t>
      </w:r>
    </w:p>
    <w:p w14:paraId="2DC981DD" w14:textId="1327FE98" w:rsidR="00406DF5" w:rsidRPr="002D0A00" w:rsidRDefault="00406DF5" w:rsidP="00406DF5">
      <w:pPr>
        <w:pStyle w:val="ListParagraph"/>
        <w:numPr>
          <w:ilvl w:val="0"/>
          <w:numId w:val="45"/>
        </w:numPr>
        <w:ind w:left="720"/>
        <w:rPr>
          <w:rFonts w:ascii="Oracle Sans" w:eastAsia="Oracle Sans" w:hAnsi="Oracle Sans" w:cs="Oracle Sans"/>
        </w:rPr>
      </w:pPr>
      <w:r w:rsidRPr="002D0A00">
        <w:rPr>
          <w:rFonts w:ascii="Oracle Sans" w:eastAsia="Oracle Sans" w:hAnsi="Oracle Sans" w:cs="Oracle Sans"/>
        </w:rPr>
        <w:t>Expanded Waystar partnership to build what Waystar is calling an "autonomous revenue cycle" – an end-to-end agentic network for claims, prior auth, and denials. Since launching its AI platform, Waystar reports helping providers prevent more than $15 billion in denied claims.</w:t>
      </w:r>
    </w:p>
    <w:p w14:paraId="2687B8E1" w14:textId="77777777" w:rsidR="00406DF5" w:rsidRPr="00406DF5" w:rsidRDefault="00406DF5" w:rsidP="00406DF5">
      <w:pPr>
        <w:rPr>
          <w:rFonts w:ascii="Oracle Sans" w:eastAsia="Oracle Sans" w:hAnsi="Oracle Sans" w:cs="Oracle Sans"/>
          <w:b/>
          <w:bCs/>
        </w:rPr>
      </w:pPr>
      <w:r w:rsidRPr="00406DF5">
        <w:rPr>
          <w:rFonts w:ascii="Oracle Sans" w:eastAsia="Oracle Sans" w:hAnsi="Oracle Sans" w:cs="Oracle Sans"/>
          <w:b/>
          <w:bCs/>
        </w:rPr>
        <w:t>Amazon Web Services</w:t>
      </w:r>
    </w:p>
    <w:p w14:paraId="3FCC4F0E" w14:textId="77777777" w:rsidR="00406DF5" w:rsidRPr="00406DF5" w:rsidRDefault="00406DF5" w:rsidP="002D0A00">
      <w:pPr>
        <w:pStyle w:val="ListParagraph"/>
        <w:numPr>
          <w:ilvl w:val="0"/>
          <w:numId w:val="45"/>
        </w:numPr>
        <w:ind w:left="720"/>
        <w:rPr>
          <w:rFonts w:ascii="Oracle Sans" w:eastAsia="Oracle Sans" w:hAnsi="Oracle Sans" w:cs="Oracle Sans"/>
        </w:rPr>
      </w:pPr>
      <w:r w:rsidRPr="00406DF5">
        <w:rPr>
          <w:rFonts w:ascii="Oracle Sans" w:eastAsia="Oracle Sans" w:hAnsi="Oracle Sans" w:cs="Oracle Sans"/>
        </w:rPr>
        <w:t>Launched Amazon Health AI: an agentic health assistant built on Amazon Bedrock, connected to the nationwide Health Information Exchange, providing personalized triage based on a patient's longitudinal history.</w:t>
      </w:r>
    </w:p>
    <w:p w14:paraId="1C019239" w14:textId="77777777" w:rsidR="00406DF5" w:rsidRPr="00406DF5" w:rsidRDefault="00406DF5" w:rsidP="002D0A00">
      <w:pPr>
        <w:pStyle w:val="ListParagraph"/>
        <w:numPr>
          <w:ilvl w:val="0"/>
          <w:numId w:val="45"/>
        </w:numPr>
        <w:ind w:left="720"/>
        <w:rPr>
          <w:rFonts w:ascii="Oracle Sans" w:eastAsia="Oracle Sans" w:hAnsi="Oracle Sans" w:cs="Oracle Sans"/>
        </w:rPr>
      </w:pPr>
      <w:r w:rsidRPr="00406DF5">
        <w:rPr>
          <w:rFonts w:ascii="Oracle Sans" w:eastAsia="Oracle Sans" w:hAnsi="Oracle Sans" w:cs="Oracle Sans"/>
        </w:rPr>
        <w:t>Consumer distribution via Amazon Prime: over 200 million Prime members can access the service, with eligible members receiving up to five free direct-message consultations with One Medical providers. This is Amazon turning its consumer platform into a healthcare access channel.</w:t>
      </w:r>
    </w:p>
    <w:p w14:paraId="2D1C03B7" w14:textId="3A7C6F39" w:rsidR="00406DF5" w:rsidRPr="002D0A00" w:rsidRDefault="00406DF5" w:rsidP="00406DF5">
      <w:pPr>
        <w:pStyle w:val="ListParagraph"/>
        <w:numPr>
          <w:ilvl w:val="0"/>
          <w:numId w:val="45"/>
        </w:numPr>
        <w:ind w:left="720"/>
        <w:rPr>
          <w:rFonts w:ascii="Oracle Sans" w:eastAsia="Oracle Sans" w:hAnsi="Oracle Sans" w:cs="Oracle Sans"/>
          <w:b/>
          <w:bCs/>
        </w:rPr>
      </w:pPr>
      <w:r w:rsidRPr="00406DF5">
        <w:rPr>
          <w:rFonts w:ascii="Oracle Sans" w:eastAsia="Oracle Sans" w:hAnsi="Oracle Sans" w:cs="Oracle Sans"/>
        </w:rPr>
        <w:t>Amazon Connect Health: a purpose-built agentic AI platform targeting administrative workflows including appointment scheduling, clinical documentation, and medical coding.</w:t>
      </w:r>
    </w:p>
    <w:p w14:paraId="26C73BE8" w14:textId="77777777" w:rsidR="00406DF5" w:rsidRPr="00406DF5" w:rsidRDefault="00406DF5" w:rsidP="00406DF5">
      <w:pPr>
        <w:rPr>
          <w:rFonts w:ascii="Oracle Sans" w:eastAsia="Oracle Sans" w:hAnsi="Oracle Sans" w:cs="Oracle Sans"/>
          <w:b/>
          <w:bCs/>
        </w:rPr>
      </w:pPr>
      <w:r w:rsidRPr="00406DF5">
        <w:rPr>
          <w:rFonts w:ascii="Oracle Sans" w:eastAsia="Oracle Sans" w:hAnsi="Oracle Sans" w:cs="Oracle Sans"/>
          <w:b/>
          <w:bCs/>
        </w:rPr>
        <w:t>Microsoft</w:t>
      </w:r>
    </w:p>
    <w:p w14:paraId="4451F525" w14:textId="77777777" w:rsidR="00406DF5" w:rsidRPr="00406DF5" w:rsidRDefault="00406DF5" w:rsidP="002D0A00">
      <w:pPr>
        <w:pStyle w:val="ListParagraph"/>
        <w:numPr>
          <w:ilvl w:val="0"/>
          <w:numId w:val="45"/>
        </w:numPr>
        <w:ind w:left="720"/>
        <w:rPr>
          <w:rFonts w:ascii="Oracle Sans" w:eastAsia="Oracle Sans" w:hAnsi="Oracle Sans" w:cs="Oracle Sans"/>
        </w:rPr>
      </w:pPr>
      <w:r w:rsidRPr="00406DF5">
        <w:rPr>
          <w:rFonts w:ascii="Oracle Sans" w:eastAsia="Oracle Sans" w:hAnsi="Oracle Sans" w:cs="Oracle Sans"/>
        </w:rPr>
        <w:t>Dragon Copilot received major updates: role-specific support for physicians, nurses, and radiologists; integrations spanning RCM to clinical decision support; and a new suite of AI partner apps available through Microsoft Marketplace.</w:t>
      </w:r>
    </w:p>
    <w:p w14:paraId="1B0D6034" w14:textId="3E0F3196" w:rsidR="00406DF5" w:rsidRPr="001B2942" w:rsidRDefault="00406DF5" w:rsidP="002D0A00">
      <w:pPr>
        <w:pStyle w:val="ListParagraph"/>
        <w:numPr>
          <w:ilvl w:val="0"/>
          <w:numId w:val="45"/>
        </w:numPr>
        <w:ind w:left="720"/>
        <w:rPr>
          <w:rFonts w:ascii="Oracle Sans" w:eastAsia="Oracle Sans" w:hAnsi="Oracle Sans" w:cs="Oracle Sans"/>
        </w:rPr>
      </w:pPr>
      <w:r w:rsidRPr="00406DF5">
        <w:rPr>
          <w:rFonts w:ascii="Oracle Sans" w:eastAsia="Oracle Sans" w:hAnsi="Oracle Sans" w:cs="Oracle Sans"/>
        </w:rPr>
        <w:t>Wolters Kluwer integrated UpToDate Expert AI directly into Dragon Copilot and Teams – injecting trusted clinical knowledge into existing clinician workflows as a hallucination guardrail.</w:t>
      </w:r>
    </w:p>
    <w:p w14:paraId="6B307451" w14:textId="77777777" w:rsidR="00406DF5" w:rsidRPr="00406DF5" w:rsidRDefault="00406DF5" w:rsidP="00406DF5">
      <w:pPr>
        <w:rPr>
          <w:rFonts w:ascii="Oracle Sans" w:eastAsia="Oracle Sans" w:hAnsi="Oracle Sans" w:cs="Oracle Sans"/>
          <w:b/>
          <w:bCs/>
        </w:rPr>
      </w:pPr>
      <w:r w:rsidRPr="00406DF5">
        <w:rPr>
          <w:rFonts w:ascii="Oracle Sans Extra Bold" w:eastAsia="Arial" w:hAnsi="Oracle Sans Extra Bold"/>
          <w:bCs/>
          <w:sz w:val="27"/>
          <w:szCs w:val="27"/>
        </w:rPr>
        <w:t>Ambient AI Scribes: Commoditization Underway</w:t>
      </w:r>
    </w:p>
    <w:p w14:paraId="3B19C78B" w14:textId="19C7EF28" w:rsidR="002D0A00" w:rsidRPr="00406DF5" w:rsidRDefault="002D0A00" w:rsidP="00406DF5">
      <w:pPr>
        <w:rPr>
          <w:rFonts w:ascii="Oracle Sans" w:eastAsia="Oracle Sans" w:hAnsi="Oracle Sans" w:cs="Oracle Sans"/>
        </w:rPr>
      </w:pPr>
      <w:r w:rsidRPr="002D0A00">
        <w:rPr>
          <w:rFonts w:ascii="Oracle Sans" w:eastAsia="Oracle Sans" w:hAnsi="Oracle Sans" w:cs="Oracle Sans"/>
        </w:rPr>
        <w:t xml:space="preserve">Suki maintained a prominent conference presence </w:t>
      </w:r>
      <w:r w:rsidRPr="002D0A00">
        <w:rPr>
          <w:rFonts w:ascii="Oracle Sans" w:eastAsia="Oracle Sans" w:hAnsi="Oracle Sans" w:cs="Oracle Sans" w:hint="cs"/>
        </w:rPr>
        <w:t>–</w:t>
      </w:r>
      <w:r w:rsidRPr="002D0A00">
        <w:rPr>
          <w:rFonts w:ascii="Oracle Sans" w:eastAsia="Oracle Sans" w:hAnsi="Oracle Sans" w:cs="Oracle Sans"/>
        </w:rPr>
        <w:t xml:space="preserve"> a large booth, Las Vegas Strip billboard advertising, and extensive session sponsorship.  Abridge, Ambience, and others were similarly visible.  The prevailing assessment from health system leaders: these companies are investing aggressively in customer acquisition because EHR-native documentation tools are coming, and the independent scribe market will contract as a result.  Their viability depends on demonstrating clinical outcomes beyond documentation efficiency or expanding into adjacent workflow categories.  Ambient documentation is becoming a standard EHR capability, not a market differentiator.</w:t>
      </w:r>
    </w:p>
    <w:p w14:paraId="2DAD2EB8" w14:textId="77777777" w:rsidR="00406DF5" w:rsidRPr="00406DF5" w:rsidRDefault="00406DF5" w:rsidP="00406DF5">
      <w:pPr>
        <w:rPr>
          <w:rFonts w:ascii="Oracle Sans Extra Bold" w:eastAsia="Arial" w:hAnsi="Oracle Sans Extra Bold"/>
          <w:bCs/>
          <w:sz w:val="27"/>
          <w:szCs w:val="27"/>
        </w:rPr>
      </w:pPr>
      <w:r w:rsidRPr="00406DF5">
        <w:rPr>
          <w:rFonts w:ascii="Oracle Sans Extra Bold" w:eastAsia="Arial" w:hAnsi="Oracle Sans Extra Bold"/>
          <w:bCs/>
          <w:sz w:val="27"/>
          <w:szCs w:val="27"/>
        </w:rPr>
        <w:t>RCM-Specific Competitive Signals</w:t>
      </w:r>
    </w:p>
    <w:p w14:paraId="67E61472" w14:textId="77777777" w:rsidR="00406DF5" w:rsidRPr="002D0A00" w:rsidRDefault="00406DF5" w:rsidP="002D0A00">
      <w:pPr>
        <w:pStyle w:val="ListParagraph"/>
        <w:numPr>
          <w:ilvl w:val="0"/>
          <w:numId w:val="48"/>
        </w:numPr>
        <w:ind w:left="720"/>
        <w:rPr>
          <w:rFonts w:ascii="Oracle Sans" w:eastAsia="Oracle Sans" w:hAnsi="Oracle Sans" w:cs="Oracle Sans"/>
        </w:rPr>
      </w:pPr>
      <w:r w:rsidRPr="002D0A00">
        <w:rPr>
          <w:rFonts w:ascii="Oracle Sans" w:eastAsia="Oracle Sans" w:hAnsi="Oracle Sans" w:cs="Oracle Sans"/>
          <w:b/>
          <w:bCs/>
        </w:rPr>
        <w:t xml:space="preserve">Waystar: </w:t>
      </w:r>
      <w:r w:rsidRPr="002D0A00">
        <w:rPr>
          <w:rFonts w:ascii="Oracle Sans" w:eastAsia="Oracle Sans" w:hAnsi="Oracle Sans" w:cs="Oracle Sans"/>
        </w:rPr>
        <w:t>Framing its platform as the "autonomous revenue cycle." Google Cloud partnership accelerating agentic AI across claims, prior auth, and denials workflows. ROI claims are large and backed by named customers.</w:t>
      </w:r>
    </w:p>
    <w:p w14:paraId="00AB3DD2" w14:textId="77777777" w:rsidR="00406DF5" w:rsidRPr="002D0A00" w:rsidRDefault="00406DF5" w:rsidP="002D0A00">
      <w:pPr>
        <w:pStyle w:val="ListParagraph"/>
        <w:numPr>
          <w:ilvl w:val="0"/>
          <w:numId w:val="48"/>
        </w:numPr>
        <w:ind w:left="720"/>
        <w:rPr>
          <w:rFonts w:ascii="Oracle Sans" w:eastAsia="Oracle Sans" w:hAnsi="Oracle Sans" w:cs="Oracle Sans"/>
        </w:rPr>
      </w:pPr>
      <w:r w:rsidRPr="002D0A00">
        <w:rPr>
          <w:rFonts w:ascii="Oracle Sans" w:eastAsia="Oracle Sans" w:hAnsi="Oracle Sans" w:cs="Oracle Sans"/>
          <w:b/>
          <w:bCs/>
        </w:rPr>
        <w:t xml:space="preserve">FinThrive: </w:t>
      </w:r>
      <w:r w:rsidRPr="002D0A00">
        <w:rPr>
          <w:rFonts w:ascii="Oracle Sans" w:eastAsia="Oracle Sans" w:hAnsi="Oracle Sans" w:cs="Oracle Sans"/>
        </w:rPr>
        <w:t>Shifted positioning from AI as a feature to AI as an "operating model" – autonomous workflows across 50+ use cases, reporting 1.1% recovery on underpayments for early adopters.</w:t>
      </w:r>
    </w:p>
    <w:p w14:paraId="446F640D" w14:textId="77777777" w:rsidR="00406DF5" w:rsidRPr="002D0A00" w:rsidRDefault="00406DF5" w:rsidP="002D0A00">
      <w:pPr>
        <w:pStyle w:val="ListParagraph"/>
        <w:numPr>
          <w:ilvl w:val="0"/>
          <w:numId w:val="48"/>
        </w:numPr>
        <w:ind w:left="720"/>
        <w:rPr>
          <w:rFonts w:ascii="Oracle Sans" w:eastAsia="Oracle Sans" w:hAnsi="Oracle Sans" w:cs="Oracle Sans"/>
        </w:rPr>
      </w:pPr>
      <w:r w:rsidRPr="002D0A00">
        <w:rPr>
          <w:rFonts w:ascii="Oracle Sans" w:eastAsia="Oracle Sans" w:hAnsi="Oracle Sans" w:cs="Oracle Sans"/>
          <w:b/>
          <w:bCs/>
        </w:rPr>
        <w:lastRenderedPageBreak/>
        <w:t xml:space="preserve">XiFin: </w:t>
      </w:r>
      <w:r w:rsidRPr="002D0A00">
        <w:rPr>
          <w:rFonts w:ascii="Oracle Sans" w:eastAsia="Oracle Sans" w:hAnsi="Oracle Sans" w:cs="Oracle Sans"/>
        </w:rPr>
        <w:t>Debuted an autonomous Appeals Agent handling the full denials workflow end-to-end, including correspondence, documentation, payer response interpretation, and appeal package creation.</w:t>
      </w:r>
    </w:p>
    <w:p w14:paraId="005E1A7F" w14:textId="77777777" w:rsidR="00406DF5" w:rsidRPr="002D0A00" w:rsidRDefault="00406DF5" w:rsidP="002D0A00">
      <w:pPr>
        <w:pStyle w:val="ListParagraph"/>
        <w:numPr>
          <w:ilvl w:val="0"/>
          <w:numId w:val="48"/>
        </w:numPr>
        <w:ind w:left="720"/>
        <w:rPr>
          <w:rFonts w:ascii="Oracle Sans" w:eastAsia="Oracle Sans" w:hAnsi="Oracle Sans" w:cs="Oracle Sans"/>
          <w:b/>
          <w:bCs/>
        </w:rPr>
      </w:pPr>
      <w:r w:rsidRPr="002D0A00">
        <w:rPr>
          <w:rFonts w:ascii="Oracle Sans" w:eastAsia="Oracle Sans" w:hAnsi="Oracle Sans" w:cs="Oracle Sans"/>
          <w:b/>
          <w:bCs/>
        </w:rPr>
        <w:t xml:space="preserve">Innovaccer Flow Capture: </w:t>
      </w:r>
      <w:r w:rsidRPr="002D0A00">
        <w:rPr>
          <w:rFonts w:ascii="Oracle Sans" w:eastAsia="Oracle Sans" w:hAnsi="Oracle Sans" w:cs="Oracle Sans"/>
        </w:rPr>
        <w:t>Autonomous medical coding solution claiming 80% of encounters coded autonomously in seconds.</w:t>
      </w:r>
    </w:p>
    <w:p w14:paraId="352B3BED" w14:textId="77777777" w:rsidR="00406DF5" w:rsidRPr="002D0A00" w:rsidRDefault="00406DF5" w:rsidP="002D0A00">
      <w:pPr>
        <w:pStyle w:val="ListParagraph"/>
        <w:numPr>
          <w:ilvl w:val="0"/>
          <w:numId w:val="48"/>
        </w:numPr>
        <w:ind w:left="720"/>
        <w:rPr>
          <w:rFonts w:ascii="Oracle Sans" w:eastAsia="Oracle Sans" w:hAnsi="Oracle Sans" w:cs="Oracle Sans"/>
          <w:b/>
          <w:bCs/>
        </w:rPr>
      </w:pPr>
      <w:r w:rsidRPr="002D0A00">
        <w:rPr>
          <w:rFonts w:ascii="Oracle Sans" w:eastAsia="Oracle Sans" w:hAnsi="Oracle Sans" w:cs="Oracle Sans"/>
          <w:b/>
          <w:bCs/>
        </w:rPr>
        <w:t xml:space="preserve">MEDITECH: </w:t>
      </w:r>
      <w:r w:rsidRPr="002D0A00">
        <w:rPr>
          <w:rFonts w:ascii="Oracle Sans" w:eastAsia="Oracle Sans" w:hAnsi="Oracle Sans" w:cs="Oracle Sans"/>
        </w:rPr>
        <w:t>Launched native Claim Denial Agents – autonomous tools that research denial root causes and draft evidence-based appeals using the patient chart.</w:t>
      </w:r>
    </w:p>
    <w:p w14:paraId="56A6B902" w14:textId="77777777" w:rsidR="00406DF5" w:rsidRPr="002D0A00" w:rsidRDefault="00406DF5" w:rsidP="002D0A00">
      <w:pPr>
        <w:pStyle w:val="ListParagraph"/>
        <w:numPr>
          <w:ilvl w:val="0"/>
          <w:numId w:val="48"/>
        </w:numPr>
        <w:ind w:left="720"/>
        <w:rPr>
          <w:rFonts w:ascii="Oracle Sans" w:eastAsia="Oracle Sans" w:hAnsi="Oracle Sans" w:cs="Oracle Sans"/>
        </w:rPr>
      </w:pPr>
      <w:r w:rsidRPr="002D0A00">
        <w:rPr>
          <w:rFonts w:ascii="Oracle Sans" w:eastAsia="Oracle Sans" w:hAnsi="Oracle Sans" w:cs="Oracle Sans"/>
          <w:b/>
          <w:bCs/>
        </w:rPr>
        <w:t xml:space="preserve">Greenway Health Novare: </w:t>
      </w:r>
      <w:r w:rsidRPr="002D0A00">
        <w:rPr>
          <w:rFonts w:ascii="Oracle Sans" w:eastAsia="Oracle Sans" w:hAnsi="Oracle Sans" w:cs="Oracle Sans"/>
        </w:rPr>
        <w:t>A new AI-native ambulatory EHR built around an AI engine (not layered on top of legacy systems), with integrated RCM. A 10-provider pilot reported saving 14,000 hours per year.</w:t>
      </w:r>
    </w:p>
    <w:p w14:paraId="551455A5" w14:textId="77777777" w:rsidR="00406DF5" w:rsidRPr="002D0A00" w:rsidRDefault="00406DF5" w:rsidP="002D0A00">
      <w:pPr>
        <w:pStyle w:val="ListParagraph"/>
        <w:numPr>
          <w:ilvl w:val="0"/>
          <w:numId w:val="48"/>
        </w:numPr>
        <w:ind w:left="720"/>
        <w:rPr>
          <w:rFonts w:ascii="Oracle Sans" w:eastAsia="Oracle Sans" w:hAnsi="Oracle Sans" w:cs="Oracle Sans"/>
        </w:rPr>
      </w:pPr>
      <w:r w:rsidRPr="002D0A00">
        <w:rPr>
          <w:rFonts w:ascii="Oracle Sans" w:eastAsia="Oracle Sans" w:hAnsi="Oracle Sans" w:cs="Oracle Sans"/>
          <w:b/>
          <w:bCs/>
        </w:rPr>
        <w:t xml:space="preserve">Solventum: </w:t>
      </w:r>
      <w:r w:rsidRPr="002D0A00">
        <w:rPr>
          <w:rFonts w:ascii="Oracle Sans" w:eastAsia="Oracle Sans" w:hAnsi="Oracle Sans" w:cs="Oracle Sans"/>
        </w:rPr>
        <w:t>Heard from multiple independent sources that Solventum remains broadly unpopular despite significant clinical coding market share. Competitors are expected to erode their coding function. Their encoders remain entrenched and difficult to displace – a potential disruption opportunity.</w:t>
      </w:r>
    </w:p>
    <w:p w14:paraId="27128D6A" w14:textId="77777777" w:rsidR="00406DF5" w:rsidRPr="00406DF5" w:rsidRDefault="00406DF5" w:rsidP="00406DF5">
      <w:pPr>
        <w:rPr>
          <w:rFonts w:ascii="Oracle Sans" w:eastAsia="Oracle Sans" w:hAnsi="Oracle Sans" w:cs="Oracle Sans"/>
          <w:b/>
          <w:bCs/>
        </w:rPr>
      </w:pPr>
    </w:p>
    <w:p w14:paraId="4A7290A2" w14:textId="7F151081" w:rsidR="00406DF5" w:rsidRPr="00406DF5" w:rsidRDefault="00274915" w:rsidP="00C35080">
      <w:pPr>
        <w:pStyle w:val="Heading1"/>
        <w:pBdr>
          <w:bottom w:val="single" w:sz="6" w:space="1" w:color="2E75B6"/>
        </w:pBdr>
        <w:spacing w:before="80" w:after="80"/>
        <w:rPr>
          <w:rFonts w:eastAsia="Arial"/>
        </w:rPr>
      </w:pPr>
      <w:r>
        <w:rPr>
          <w:rFonts w:eastAsia="Arial"/>
        </w:rPr>
        <w:t>AI Agent Pricing &amp; Intelligence</w:t>
      </w:r>
    </w:p>
    <w:p w14:paraId="7487125F" w14:textId="76C2EF1C" w:rsidR="00406DF5" w:rsidRPr="00406DF5" w:rsidRDefault="00406DF5" w:rsidP="00406DF5">
      <w:pPr>
        <w:rPr>
          <w:rFonts w:ascii="Oracle Sans" w:eastAsia="Oracle Sans" w:hAnsi="Oracle Sans" w:cs="Oracle Sans"/>
        </w:rPr>
      </w:pPr>
      <w:r w:rsidRPr="00406DF5">
        <w:rPr>
          <w:rFonts w:ascii="Oracle Sans" w:eastAsia="Oracle Sans" w:hAnsi="Oracle Sans" w:cs="Oracle Sans"/>
        </w:rPr>
        <w:t>AI agent pricing remains unsettled across the market. Three models are in play simultaneously, with no clear winner:</w:t>
      </w:r>
    </w:p>
    <w:p w14:paraId="7CD8C895" w14:textId="77777777" w:rsidR="00406DF5" w:rsidRPr="00C35080" w:rsidRDefault="00406DF5" w:rsidP="00C35080">
      <w:pPr>
        <w:pStyle w:val="ListParagraph"/>
        <w:numPr>
          <w:ilvl w:val="0"/>
          <w:numId w:val="43"/>
        </w:numPr>
        <w:rPr>
          <w:rFonts w:ascii="Oracle Sans" w:eastAsia="Oracle Sans" w:hAnsi="Oracle Sans" w:cs="Oracle Sans"/>
        </w:rPr>
      </w:pPr>
      <w:r w:rsidRPr="00C35080">
        <w:rPr>
          <w:rFonts w:ascii="Oracle Sans" w:eastAsia="Oracle Sans" w:hAnsi="Oracle Sans" w:cs="Oracle Sans"/>
        </w:rPr>
        <w:t>Enterprise contracts: Predictable for vendors; health systems worry they won't drive sufficient adoption to justify the cost. Particularly challenging for AMCs and independent provider organizations with limited control over provider behavior.</w:t>
      </w:r>
    </w:p>
    <w:p w14:paraId="239408EC" w14:textId="77777777" w:rsidR="00406DF5" w:rsidRPr="00C35080" w:rsidRDefault="00406DF5" w:rsidP="00C35080">
      <w:pPr>
        <w:pStyle w:val="ListParagraph"/>
        <w:numPr>
          <w:ilvl w:val="0"/>
          <w:numId w:val="43"/>
        </w:numPr>
        <w:rPr>
          <w:rFonts w:ascii="Oracle Sans" w:eastAsia="Oracle Sans" w:hAnsi="Oracle Sans" w:cs="Oracle Sans"/>
        </w:rPr>
      </w:pPr>
      <w:r w:rsidRPr="00C35080">
        <w:rPr>
          <w:rFonts w:ascii="Oracle Sans" w:eastAsia="Oracle Sans" w:hAnsi="Oracle Sans" w:cs="Oracle Sans"/>
        </w:rPr>
        <w:t>Transaction/consumption-based: Scales with usage. Hyperscalers (Microsoft, Salesforce, AWS, Innovaccer) are largely moving this direction – token-based, API call-based, or per-workflow-execution pricing. Unpredictable spend creates a "lose-lose" dynamic: low adoption saves money but generates no value; high adoption generates large bills.</w:t>
      </w:r>
    </w:p>
    <w:p w14:paraId="0C52D32F" w14:textId="1AAF5429" w:rsidR="002D0A00" w:rsidRPr="000957D6" w:rsidRDefault="00406DF5" w:rsidP="002D0A00">
      <w:pPr>
        <w:pStyle w:val="ListParagraph"/>
        <w:numPr>
          <w:ilvl w:val="0"/>
          <w:numId w:val="43"/>
        </w:numPr>
        <w:rPr>
          <w:rFonts w:ascii="Oracle Sans" w:eastAsia="Oracle Sans" w:hAnsi="Oracle Sans" w:cs="Oracle Sans"/>
        </w:rPr>
      </w:pPr>
      <w:r w:rsidRPr="00C35080">
        <w:rPr>
          <w:rFonts w:ascii="Oracle Sans" w:eastAsia="Oracle Sans" w:hAnsi="Oracle Sans" w:cs="Oracle Sans"/>
        </w:rPr>
        <w:t>Value-based: Most desired by health systems; very few vendors offering it. Larger systems are beginning to force it on vendors. Requires strong data infrastructure, baseline measurement, and implementation/change management capability. Complex to execute but represents the highest-trust positioning.</w:t>
      </w:r>
    </w:p>
    <w:p w14:paraId="6C747DDA" w14:textId="211A2135" w:rsidR="002D0A00" w:rsidRPr="002D0A00" w:rsidRDefault="002D0A00" w:rsidP="002D0A00">
      <w:pPr>
        <w:rPr>
          <w:rFonts w:ascii="Oracle Sans" w:eastAsia="Oracle Sans" w:hAnsi="Oracle Sans" w:cs="Oracle Sans"/>
        </w:rPr>
      </w:pPr>
      <w:r>
        <w:rPr>
          <w:rFonts w:ascii="Oracle Sans" w:eastAsia="Oracle Sans" w:hAnsi="Oracle Sans" w:cs="Oracle Sans"/>
        </w:rPr>
        <w:t>A note on Epic: Epic is offering its customers large enterprise packages, in the millions</w:t>
      </w:r>
      <w:r w:rsidR="000957D6">
        <w:rPr>
          <w:rFonts w:ascii="Oracle Sans" w:eastAsia="Oracle Sans" w:hAnsi="Oracle Sans" w:cs="Oracle Sans"/>
        </w:rPr>
        <w:t xml:space="preserve"> if dollars</w:t>
      </w:r>
      <w:r>
        <w:rPr>
          <w:rFonts w:ascii="Oracle Sans" w:eastAsia="Oracle Sans" w:hAnsi="Oracle Sans" w:cs="Oracle Sans"/>
        </w:rPr>
        <w:t>, for a full suite of AI agents.  Those not ready to buy at the enterprise level are given a very long list</w:t>
      </w:r>
      <w:r w:rsidR="000957D6">
        <w:rPr>
          <w:rFonts w:ascii="Oracle Sans" w:eastAsia="Oracle Sans" w:hAnsi="Oracle Sans" w:cs="Oracle Sans"/>
        </w:rPr>
        <w:t xml:space="preserve"> (~50)</w:t>
      </w:r>
      <w:r>
        <w:rPr>
          <w:rFonts w:ascii="Oracle Sans" w:eastAsia="Oracle Sans" w:hAnsi="Oracle Sans" w:cs="Oracle Sans"/>
        </w:rPr>
        <w:t xml:space="preserve"> of </w:t>
      </w:r>
      <w:r w:rsidR="000957D6">
        <w:rPr>
          <w:rFonts w:ascii="Oracle Sans" w:eastAsia="Oracle Sans" w:hAnsi="Oracle Sans" w:cs="Oracle Sans"/>
        </w:rPr>
        <w:t>narrowly-scoped</w:t>
      </w:r>
      <w:r>
        <w:rPr>
          <w:rFonts w:ascii="Oracle Sans" w:eastAsia="Oracle Sans" w:hAnsi="Oracle Sans" w:cs="Oracle Sans"/>
        </w:rPr>
        <w:t xml:space="preserve"> agents to choose a la carte and pay for per transaction.  A person we spoke to guessed Epic made the a la carte option intentionally </w:t>
      </w:r>
      <w:r w:rsidR="000957D6">
        <w:rPr>
          <w:rFonts w:ascii="Oracle Sans" w:eastAsia="Oracle Sans" w:hAnsi="Oracle Sans" w:cs="Oracle Sans"/>
        </w:rPr>
        <w:t>dizzying, to encourage people to choose the enterprise option.  Epic has not invested heavily in proving value, and has even, according to our sources, not significantly invested in KPI tracking and success monitoring.</w:t>
      </w:r>
      <w:r>
        <w:rPr>
          <w:rFonts w:ascii="Oracle Sans" w:eastAsia="Oracle Sans" w:hAnsi="Oracle Sans" w:cs="Oracle Sans"/>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6DF5" w:rsidRPr="00406DF5" w14:paraId="1CE58790" w14:textId="77777777" w:rsidTr="004C24B4">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40A534C0" w14:textId="0A456A3D" w:rsidR="00406DF5" w:rsidRPr="00406DF5" w:rsidRDefault="00406DF5" w:rsidP="001B2942">
            <w:pPr>
              <w:rPr>
                <w:rFonts w:ascii="Oracle Sans" w:eastAsia="Oracle Sans" w:hAnsi="Oracle Sans" w:cs="Oracle Sans"/>
              </w:rPr>
            </w:pPr>
            <w:r w:rsidRPr="00406DF5">
              <w:rPr>
                <w:rFonts w:ascii="Oracle Sans" w:eastAsia="Oracle Sans" w:hAnsi="Oracle Sans" w:cs="Oracle Sans"/>
                <w:b/>
                <w:bCs/>
              </w:rPr>
              <w:t>Market Signal</w:t>
            </w:r>
            <w:r w:rsidR="001B2942" w:rsidRPr="001B2942">
              <w:rPr>
                <w:rFonts w:ascii="Oracle Sans" w:eastAsia="Oracle Sans" w:hAnsi="Oracle Sans" w:cs="Oracle Sans"/>
                <w:b/>
                <w:bCs/>
              </w:rPr>
              <w:t xml:space="preserve">: </w:t>
            </w:r>
            <w:r w:rsidRPr="00406DF5">
              <w:rPr>
                <w:rFonts w:ascii="Oracle Sans" w:eastAsia="Oracle Sans" w:hAnsi="Oracle Sans" w:cs="Oracle Sans"/>
              </w:rPr>
              <w:t>Pricing inconsistency is partly strategic – several vendors</w:t>
            </w:r>
            <w:r w:rsidR="000957D6">
              <w:rPr>
                <w:rFonts w:ascii="Oracle Sans" w:eastAsia="Oracle Sans" w:hAnsi="Oracle Sans" w:cs="Oracle Sans"/>
              </w:rPr>
              <w:t xml:space="preserve"> (particularly new entrants)</w:t>
            </w:r>
            <w:r w:rsidRPr="00406DF5">
              <w:rPr>
                <w:rFonts w:ascii="Oracle Sans" w:eastAsia="Oracle Sans" w:hAnsi="Oracle Sans" w:cs="Oracle Sans"/>
              </w:rPr>
              <w:t xml:space="preserve"> are suspected to be pricing below cost to acquire market share. Value-based pricing is the stated aspiration of health system buyers but requires infrastructure and trust that most vendors cannot yet demonstrate. Health systems that have negotiated value-based arrangements are typically larger systems with leverage and sophisticated analytics teams.</w:t>
            </w:r>
          </w:p>
        </w:tc>
      </w:tr>
    </w:tbl>
    <w:p w14:paraId="2C8E62AD" w14:textId="77777777" w:rsidR="00406DF5" w:rsidRPr="00406DF5" w:rsidRDefault="00406DF5" w:rsidP="00406DF5">
      <w:pPr>
        <w:rPr>
          <w:rFonts w:ascii="Oracle Sans" w:eastAsia="Oracle Sans" w:hAnsi="Oracle Sans" w:cs="Oracle Sans"/>
        </w:rPr>
      </w:pPr>
    </w:p>
    <w:p w14:paraId="55442314" w14:textId="77777777" w:rsidR="00274915" w:rsidRDefault="00274915" w:rsidP="00274915">
      <w:pPr>
        <w:pStyle w:val="Heading1"/>
        <w:pBdr>
          <w:bottom w:val="single" w:sz="6" w:space="1" w:color="2E75B6"/>
        </w:pBdr>
        <w:spacing w:before="80" w:after="80"/>
        <w:rPr>
          <w:rFonts w:eastAsia="Arial"/>
        </w:rPr>
      </w:pPr>
      <w:r w:rsidRPr="12D279DF">
        <w:rPr>
          <w:rFonts w:eastAsia="Arial"/>
        </w:rPr>
        <w:t>Ecosystem &amp; Partnerships</w:t>
      </w:r>
    </w:p>
    <w:p w14:paraId="7B2C160A" w14:textId="612B7F24" w:rsidR="000957D6" w:rsidRPr="000957D6" w:rsidRDefault="000957D6" w:rsidP="000957D6">
      <w:pPr>
        <w:rPr>
          <w:rFonts w:ascii="Oracle Sans" w:eastAsia="Oracle Sans" w:hAnsi="Oracle Sans" w:cs="Oracle Sans"/>
        </w:rPr>
      </w:pPr>
      <w:r w:rsidRPr="000957D6">
        <w:rPr>
          <w:rFonts w:ascii="Oracle Sans" w:eastAsia="Oracle Sans" w:hAnsi="Oracle Sans" w:cs="Oracle Sans"/>
          <w:b/>
          <w:bCs/>
        </w:rPr>
        <w:t>Payer Engagement</w:t>
      </w:r>
      <w:r>
        <w:rPr>
          <w:rFonts w:ascii="Oracle Sans" w:eastAsia="Oracle Sans" w:hAnsi="Oracle Sans" w:cs="Oracle Sans"/>
          <w:b/>
          <w:bCs/>
        </w:rPr>
        <w:t xml:space="preserve">. </w:t>
      </w:r>
      <w:r w:rsidRPr="000957D6">
        <w:rPr>
          <w:rFonts w:ascii="Oracle Sans" w:eastAsia="Oracle Sans" w:hAnsi="Oracle Sans" w:cs="Oracle Sans"/>
        </w:rPr>
        <w:t>Multiple conversations at HIMSS highlighted a growing concern: payers are deploying AI in claims review and prior authorization at the same time providers are deploying AI to manage those same processes.  Several health systems reported more complex prior authorization requirements and increased audit activity that they attribute to payer AI.  Separately, conversations confirmed that selling to payers requires different positioning than selling to providers.  Payer-specific language and product framing are necessary; provider-centric positioning shuts down payer conversations quickly.</w:t>
      </w:r>
    </w:p>
    <w:p w14:paraId="704DF202" w14:textId="4C89C61C" w:rsidR="000957D6" w:rsidRPr="000957D6" w:rsidRDefault="000957D6" w:rsidP="000957D6">
      <w:pPr>
        <w:rPr>
          <w:rFonts w:ascii="Oracle Sans" w:eastAsia="Oracle Sans" w:hAnsi="Oracle Sans" w:cs="Oracle Sans"/>
        </w:rPr>
      </w:pPr>
      <w:r w:rsidRPr="000957D6">
        <w:rPr>
          <w:rFonts w:ascii="Oracle Sans" w:eastAsia="Oracle Sans" w:hAnsi="Oracle Sans" w:cs="Oracle Sans"/>
          <w:b/>
          <w:bCs/>
        </w:rPr>
        <w:lastRenderedPageBreak/>
        <w:t>Interoperability: DaVinci APIs and Payer-Provider Data Exchange</w:t>
      </w:r>
      <w:r>
        <w:rPr>
          <w:rFonts w:ascii="Oracle Sans" w:eastAsia="Oracle Sans" w:hAnsi="Oracle Sans" w:cs="Oracle Sans"/>
          <w:b/>
          <w:bCs/>
        </w:rPr>
        <w:t xml:space="preserve">. </w:t>
      </w:r>
      <w:r w:rsidRPr="000957D6">
        <w:rPr>
          <w:rFonts w:ascii="Oracle Sans" w:eastAsia="Oracle Sans" w:hAnsi="Oracle Sans" w:cs="Oracle Sans"/>
        </w:rPr>
        <w:t>Revenue cycle ISVs are optimistic about new federal API standards (DaVinci APIs) for payer-provider data exchange, but realistic about near-term timelines.  CMS compliance deadlines are driving momentum, but payer FHIR maturity varies widely.  A specific gap cited: Epic</w:t>
      </w:r>
      <w:r w:rsidRPr="000957D6">
        <w:rPr>
          <w:rFonts w:ascii="Oracle Sans" w:eastAsia="Oracle Sans" w:hAnsi="Oracle Sans" w:cs="Oracle Sans" w:hint="cs"/>
        </w:rPr>
        <w:t>’</w:t>
      </w:r>
      <w:r w:rsidRPr="000957D6">
        <w:rPr>
          <w:rFonts w:ascii="Oracle Sans" w:eastAsia="Oracle Sans" w:hAnsi="Oracle Sans" w:cs="Oracle Sans"/>
        </w:rPr>
        <w:t>s Clarity data warehouse requires up to 48 hours to produce population-level data for moderate-sized populations (~600K patients), limiting real-time population health management.</w:t>
      </w:r>
    </w:p>
    <w:p w14:paraId="371099E4" w14:textId="38FEE4A9" w:rsidR="000957D6" w:rsidRPr="000957D6" w:rsidRDefault="000957D6" w:rsidP="000957D6">
      <w:pPr>
        <w:rPr>
          <w:rFonts w:ascii="Oracle Sans" w:eastAsia="Oracle Sans" w:hAnsi="Oracle Sans" w:cs="Oracle Sans"/>
          <w:b/>
          <w:bCs/>
        </w:rPr>
      </w:pPr>
      <w:r w:rsidRPr="000957D6">
        <w:rPr>
          <w:rFonts w:ascii="Oracle Sans" w:eastAsia="Oracle Sans" w:hAnsi="Oracle Sans" w:cs="Oracle Sans"/>
          <w:b/>
          <w:bCs/>
        </w:rPr>
        <w:t>Contract Management</w:t>
      </w:r>
      <w:r>
        <w:rPr>
          <w:rFonts w:ascii="Oracle Sans" w:eastAsia="Oracle Sans" w:hAnsi="Oracle Sans" w:cs="Oracle Sans"/>
          <w:b/>
          <w:bCs/>
        </w:rPr>
        <w:t xml:space="preserve">. </w:t>
      </w:r>
      <w:r w:rsidRPr="000957D6">
        <w:rPr>
          <w:rFonts w:ascii="Oracle Sans" w:eastAsia="Oracle Sans" w:hAnsi="Oracle Sans" w:cs="Oracle Sans"/>
        </w:rPr>
        <w:t xml:space="preserve">Health systems want tools that take a payer contract, apply it at the patient level, and generate real-time dashboards tracking performance against contract terms </w:t>
      </w:r>
      <w:r w:rsidRPr="000957D6">
        <w:rPr>
          <w:rFonts w:ascii="Oracle Sans" w:eastAsia="Oracle Sans" w:hAnsi="Oracle Sans" w:cs="Oracle Sans" w:hint="cs"/>
        </w:rPr>
        <w:t>–</w:t>
      </w:r>
      <w:r w:rsidRPr="000957D6">
        <w:rPr>
          <w:rFonts w:ascii="Oracle Sans" w:eastAsia="Oracle Sans" w:hAnsi="Oracle Sans" w:cs="Oracle Sans"/>
        </w:rPr>
        <w:t xml:space="preserve"> with enough visibility to support renegotiation.  Most vendors, including major RCM platforms that claim contract management capability, are not meeting this need.  Turquoise was cited as a notable exception in quality, but the gap is broadly acknowledged.</w:t>
      </w:r>
    </w:p>
    <w:p w14:paraId="4AE7DD07" w14:textId="6CE690D4" w:rsidR="000957D6" w:rsidRPr="000957D6" w:rsidRDefault="000957D6" w:rsidP="000957D6">
      <w:pPr>
        <w:rPr>
          <w:rFonts w:ascii="Oracle Sans" w:eastAsia="Oracle Sans" w:hAnsi="Oracle Sans" w:cs="Oracle Sans"/>
          <w:b/>
          <w:bCs/>
        </w:rPr>
      </w:pPr>
      <w:r w:rsidRPr="000957D6">
        <w:rPr>
          <w:rFonts w:ascii="Oracle Sans" w:eastAsia="Oracle Sans" w:hAnsi="Oracle Sans" w:cs="Oracle Sans"/>
          <w:b/>
          <w:bCs/>
        </w:rPr>
        <w:t>Samsung / b.well</w:t>
      </w:r>
      <w:r>
        <w:rPr>
          <w:rFonts w:ascii="Oracle Sans" w:eastAsia="Oracle Sans" w:hAnsi="Oracle Sans" w:cs="Oracle Sans"/>
          <w:b/>
          <w:bCs/>
        </w:rPr>
        <w:t xml:space="preserve">. </w:t>
      </w:r>
      <w:r w:rsidRPr="000957D6">
        <w:rPr>
          <w:rFonts w:ascii="Oracle Sans" w:eastAsia="Oracle Sans" w:hAnsi="Oracle Sans" w:cs="Oracle Sans"/>
        </w:rPr>
        <w:t>Samsung and b.well announced a partnership allowing Samsung Galaxy users to share their complete health record with a provider via QR code at check-in.  This is the most concrete live implementation of the CMS Kill the Clipboard initiative to date.  Oracle Health has a pending executive meeting with Samsung to explore partnership opportunities.</w:t>
      </w:r>
    </w:p>
    <w:p w14:paraId="48E00F38" w14:textId="258926D2" w:rsidR="000957D6" w:rsidRPr="000957D6" w:rsidRDefault="000957D6" w:rsidP="000957D6">
      <w:pPr>
        <w:rPr>
          <w:rFonts w:ascii="Oracle Sans" w:eastAsia="Oracle Sans" w:hAnsi="Oracle Sans" w:cs="Oracle Sans"/>
          <w:b/>
          <w:bCs/>
        </w:rPr>
      </w:pPr>
      <w:r w:rsidRPr="000957D6">
        <w:rPr>
          <w:rFonts w:ascii="Oracle Sans" w:eastAsia="Oracle Sans" w:hAnsi="Oracle Sans" w:cs="Oracle Sans"/>
          <w:b/>
          <w:bCs/>
        </w:rPr>
        <w:t>ISV Partner Ecosystem</w:t>
      </w:r>
      <w:r>
        <w:rPr>
          <w:rFonts w:ascii="Oracle Sans" w:eastAsia="Oracle Sans" w:hAnsi="Oracle Sans" w:cs="Oracle Sans"/>
          <w:b/>
          <w:bCs/>
        </w:rPr>
        <w:t xml:space="preserve">.  </w:t>
      </w:r>
      <w:r w:rsidRPr="000957D6">
        <w:rPr>
          <w:rFonts w:ascii="Oracle Sans" w:eastAsia="Oracle Sans" w:hAnsi="Oracle Sans" w:cs="Oracle Sans"/>
        </w:rPr>
        <w:t>ISVs are requesting tools to design, test, and validate AI agents within EHR environments, not just API access.  Demand for large clinical datasets to train agents remains strong, with EHR-derived data as the primary need.  CDS Hooks and real-time orders integration were raised repeatedly as requirements for next-generation clinical AI applications.</w:t>
      </w:r>
    </w:p>
    <w:p w14:paraId="0D0CCA11" w14:textId="3652576D" w:rsidR="00406DF5" w:rsidRPr="00406DF5" w:rsidRDefault="000957D6" w:rsidP="00406DF5">
      <w:pPr>
        <w:rPr>
          <w:rFonts w:ascii="Oracle Sans" w:eastAsia="Oracle Sans" w:hAnsi="Oracle Sans" w:cs="Oracle Sans"/>
        </w:rPr>
      </w:pPr>
      <w:r w:rsidRPr="000957D6">
        <w:rPr>
          <w:rFonts w:ascii="Oracle Sans" w:eastAsia="Oracle Sans" w:hAnsi="Oracle Sans" w:cs="Oracle Sans"/>
          <w:b/>
          <w:bCs/>
        </w:rPr>
        <w:t>Smart Hospital and Virtual Care Technology</w:t>
      </w:r>
      <w:r>
        <w:rPr>
          <w:rFonts w:ascii="Oracle Sans" w:eastAsia="Oracle Sans" w:hAnsi="Oracle Sans" w:cs="Oracle Sans"/>
          <w:b/>
          <w:bCs/>
        </w:rPr>
        <w:t xml:space="preserve">. </w:t>
      </w:r>
      <w:r w:rsidRPr="000957D6">
        <w:rPr>
          <w:rFonts w:ascii="Oracle Sans" w:eastAsia="Oracle Sans" w:hAnsi="Oracle Sans" w:cs="Oracle Sans"/>
        </w:rPr>
        <w:t>Ambient and sensor-based clinical monitoring technologies are advancing.  Vision AI and wearable platforms can now measure vital signs, patient position, fall risk, intake/output, and sleep patterns in clinical settings.  The practical impact is a continued reduction in keyboard-based clinical documentation as smart room technology expands.  Companies active in this space: VirtuSense, ArtiSight, Avasure.</w:t>
      </w:r>
    </w:p>
    <w:p w14:paraId="1872DE23" w14:textId="23151E49" w:rsidR="00406DF5" w:rsidRPr="00406DF5" w:rsidRDefault="00406DF5" w:rsidP="000957D6">
      <w:pPr>
        <w:pStyle w:val="Heading1"/>
        <w:pBdr>
          <w:bottom w:val="single" w:sz="6" w:space="1" w:color="2E75B6"/>
        </w:pBdr>
        <w:rPr>
          <w:rFonts w:eastAsia="Arial"/>
        </w:rPr>
      </w:pPr>
      <w:r>
        <w:rPr>
          <w:rFonts w:eastAsia="Arial"/>
        </w:rPr>
        <w:t>Other Notes</w:t>
      </w:r>
    </w:p>
    <w:p w14:paraId="764CC60E" w14:textId="0CAE442B" w:rsidR="000957D6" w:rsidRPr="000957D6" w:rsidRDefault="000957D6" w:rsidP="000957D6">
      <w:pPr>
        <w:pStyle w:val="ListParagraph"/>
        <w:numPr>
          <w:ilvl w:val="0"/>
          <w:numId w:val="50"/>
        </w:numPr>
        <w:rPr>
          <w:rFonts w:ascii="Oracle Sans" w:eastAsia="Oracle Sans" w:hAnsi="Oracle Sans" w:cs="Oracle Sans"/>
        </w:rPr>
      </w:pPr>
      <w:r w:rsidRPr="000957D6">
        <w:rPr>
          <w:rFonts w:ascii="Oracle Sans" w:eastAsia="Oracle Sans" w:hAnsi="Oracle Sans" w:cs="Oracle Sans"/>
          <w:b/>
          <w:bCs/>
        </w:rPr>
        <w:t xml:space="preserve">Clinician Deskilling. </w:t>
      </w:r>
      <w:r w:rsidRPr="000957D6">
        <w:rPr>
          <w:rFonts w:ascii="Oracle Sans" w:eastAsia="Oracle Sans" w:hAnsi="Oracle Sans" w:cs="Oracle Sans"/>
        </w:rPr>
        <w:t>Concerns about AI eroding clinical skills surfaced across multiple sessions as a design constraint, not just a theoretical risk.  The emerging consensus: AI tools should reduce administrative burden but preserve the clinical reasoning, communication, and procedural skills that require active engagement to maintain.  Platforms that surface AI reasoning and make decisions visible are better positioned with health system clinical leadership, medical educators, and regulators.  Explainability and auditability serve both governance and training purposes.</w:t>
      </w:r>
    </w:p>
    <w:p w14:paraId="221EEF75" w14:textId="5DFF3017" w:rsidR="000957D6" w:rsidRPr="000957D6" w:rsidRDefault="000957D6" w:rsidP="000957D6">
      <w:pPr>
        <w:pStyle w:val="ListParagraph"/>
        <w:numPr>
          <w:ilvl w:val="0"/>
          <w:numId w:val="50"/>
        </w:numPr>
        <w:rPr>
          <w:rFonts w:ascii="Oracle Sans" w:eastAsia="Oracle Sans" w:hAnsi="Oracle Sans" w:cs="Oracle Sans"/>
        </w:rPr>
      </w:pPr>
      <w:r w:rsidRPr="000957D6">
        <w:rPr>
          <w:rFonts w:ascii="Oracle Sans" w:eastAsia="Oracle Sans" w:hAnsi="Oracle Sans" w:cs="Oracle Sans"/>
          <w:b/>
          <w:bCs/>
        </w:rPr>
        <w:t xml:space="preserve">Outcomes Metrics: Shift Toward the Quadruple Aim. </w:t>
      </w:r>
      <w:r w:rsidRPr="000957D6">
        <w:rPr>
          <w:rFonts w:ascii="Oracle Sans" w:eastAsia="Oracle Sans" w:hAnsi="Oracle Sans" w:cs="Oracle Sans"/>
        </w:rPr>
        <w:t>The AI value conversation at HIMSS moved beyond time savings and cost reduction.  Health systems and payers are increasingly evaluating AI investments against four dimensions: clinical outcomes, patient experience, clinician experience, and total cost.  Vendors that can demonstrate improvement across multiple dimensions, with data connecting AI-driven changes to patient-level results, will be better positioned than those measuring only operational efficiency.</w:t>
      </w:r>
    </w:p>
    <w:p w14:paraId="7D51694E" w14:textId="74D3D1D5" w:rsidR="000957D6" w:rsidRPr="000957D6" w:rsidRDefault="000957D6" w:rsidP="000957D6">
      <w:pPr>
        <w:pStyle w:val="ListParagraph"/>
        <w:numPr>
          <w:ilvl w:val="0"/>
          <w:numId w:val="50"/>
        </w:numPr>
        <w:rPr>
          <w:rFonts w:ascii="Oracle Sans" w:eastAsia="Oracle Sans" w:hAnsi="Oracle Sans" w:cs="Oracle Sans"/>
        </w:rPr>
      </w:pPr>
      <w:r w:rsidRPr="000957D6">
        <w:rPr>
          <w:rFonts w:ascii="Oracle Sans" w:eastAsia="Oracle Sans" w:hAnsi="Oracle Sans" w:cs="Oracle Sans"/>
          <w:b/>
          <w:bCs/>
        </w:rPr>
        <w:t xml:space="preserve">Cybersecurity. </w:t>
      </w:r>
      <w:r w:rsidRPr="000957D6">
        <w:rPr>
          <w:rFonts w:ascii="Oracle Sans" w:eastAsia="Oracle Sans" w:hAnsi="Oracle Sans" w:cs="Oracle Sans"/>
        </w:rPr>
        <w:t xml:space="preserve">A Cohesity report presented at the conference found 94% of healthcare organizations have paid a ransom following a cyberattack, with three in four health systems reporting an attack in the last 12 months.  Imprivata launched an AI agent identity management platform at HIMSS </w:t>
      </w:r>
      <w:r w:rsidRPr="000957D6">
        <w:rPr>
          <w:rFonts w:ascii="Oracle Sans" w:eastAsia="Oracle Sans" w:hAnsi="Oracle Sans" w:cs="Oracle Sans" w:hint="cs"/>
        </w:rPr>
        <w:t>–</w:t>
      </w:r>
      <w:r w:rsidRPr="000957D6">
        <w:rPr>
          <w:rFonts w:ascii="Oracle Sans" w:eastAsia="Oracle Sans" w:hAnsi="Oracle Sans" w:cs="Oracle Sans"/>
        </w:rPr>
        <w:t xml:space="preserve"> using short-lived access tokens and real-time shutdown controls </w:t>
      </w:r>
      <w:r w:rsidRPr="000957D6">
        <w:rPr>
          <w:rFonts w:ascii="Oracle Sans" w:eastAsia="Oracle Sans" w:hAnsi="Oracle Sans" w:cs="Oracle Sans" w:hint="cs"/>
        </w:rPr>
        <w:t>–</w:t>
      </w:r>
      <w:r w:rsidRPr="000957D6">
        <w:rPr>
          <w:rFonts w:ascii="Oracle Sans" w:eastAsia="Oracle Sans" w:hAnsi="Oracle Sans" w:cs="Oracle Sans"/>
        </w:rPr>
        <w:t xml:space="preserve"> signaling that AI agent security is emerging as a distinct product category within healthcare cybersecurity.</w:t>
      </w:r>
    </w:p>
    <w:p w14:paraId="33958EA4" w14:textId="71743715" w:rsidR="000957D6" w:rsidRPr="000957D6" w:rsidRDefault="000957D6" w:rsidP="000957D6">
      <w:pPr>
        <w:pStyle w:val="ListParagraph"/>
        <w:numPr>
          <w:ilvl w:val="0"/>
          <w:numId w:val="50"/>
        </w:numPr>
        <w:rPr>
          <w:rFonts w:ascii="Oracle Sans" w:eastAsia="Oracle Sans" w:hAnsi="Oracle Sans" w:cs="Oracle Sans"/>
        </w:rPr>
      </w:pPr>
      <w:r w:rsidRPr="000957D6">
        <w:rPr>
          <w:rFonts w:ascii="Oracle Sans" w:eastAsia="Oracle Sans" w:hAnsi="Oracle Sans" w:cs="Oracle Sans"/>
          <w:b/>
          <w:bCs/>
        </w:rPr>
        <w:t xml:space="preserve">Postmarket AI Surveillance as a Platform Capability. </w:t>
      </w:r>
      <w:r w:rsidRPr="000957D6">
        <w:rPr>
          <w:rFonts w:ascii="Oracle Sans" w:eastAsia="Oracle Sans" w:hAnsi="Oracle Sans" w:cs="Oracle Sans"/>
        </w:rPr>
        <w:t>Federal regulators and ARPA-H are shifting emphasis from premarket AI validation toward monitoring of deployed AI in production.  Concepts under discussion include supervisory AI agents that oversee clinical agents, and federated outcome registries linked to longitudinal patient records.  For integrated platforms with access to data across payers, providers, pharmacies, and life sciences, this creates an opportunity: building telemetry, drift detection, and performance reporting into the platform positions it as the preferred environment for regulatorily-accountable AI deployment.</w:t>
      </w:r>
    </w:p>
    <w:p w14:paraId="687E0303" w14:textId="16DBC215" w:rsidR="000957D6" w:rsidRPr="000957D6" w:rsidRDefault="000957D6" w:rsidP="000957D6">
      <w:pPr>
        <w:pStyle w:val="ListParagraph"/>
        <w:numPr>
          <w:ilvl w:val="0"/>
          <w:numId w:val="50"/>
        </w:numPr>
        <w:rPr>
          <w:rFonts w:ascii="Oracle Sans" w:eastAsia="Oracle Sans" w:hAnsi="Oracle Sans" w:cs="Oracle Sans"/>
        </w:rPr>
      </w:pPr>
      <w:r w:rsidRPr="000957D6">
        <w:rPr>
          <w:rFonts w:ascii="Oracle Sans" w:eastAsia="Oracle Sans" w:hAnsi="Oracle Sans" w:cs="Oracle Sans"/>
          <w:b/>
          <w:bCs/>
        </w:rPr>
        <w:lastRenderedPageBreak/>
        <w:t xml:space="preserve">Life Sciences Macro Signals.  </w:t>
      </w:r>
      <w:r w:rsidRPr="000957D6">
        <w:rPr>
          <w:rFonts w:ascii="Oracle Sans" w:eastAsia="Oracle Sans" w:hAnsi="Oracle Sans" w:cs="Oracle Sans"/>
        </w:rPr>
        <w:t>80% of Bristol Myers Squibb</w:t>
      </w:r>
      <w:r w:rsidRPr="000957D6">
        <w:rPr>
          <w:rFonts w:ascii="Oracle Sans" w:eastAsia="Oracle Sans" w:hAnsi="Oracle Sans" w:cs="Oracle Sans" w:hint="cs"/>
        </w:rPr>
        <w:t>’</w:t>
      </w:r>
      <w:r w:rsidRPr="000957D6">
        <w:rPr>
          <w:rFonts w:ascii="Oracle Sans" w:eastAsia="Oracle Sans" w:hAnsi="Oracle Sans" w:cs="Oracle Sans"/>
        </w:rPr>
        <w:t>s 2020 revenue (by product) will be off-patent by 2030.  GLP drugs represent more than half of Eli Lilly</w:t>
      </w:r>
      <w:r w:rsidRPr="000957D6">
        <w:rPr>
          <w:rFonts w:ascii="Oracle Sans" w:eastAsia="Oracle Sans" w:hAnsi="Oracle Sans" w:cs="Oracle Sans" w:hint="cs"/>
        </w:rPr>
        <w:t>’</w:t>
      </w:r>
      <w:r w:rsidRPr="000957D6">
        <w:rPr>
          <w:rFonts w:ascii="Oracle Sans" w:eastAsia="Oracle Sans" w:hAnsi="Oracle Sans" w:cs="Oracle Sans"/>
        </w:rPr>
        <w:t xml:space="preserve">s current revenue.  The J&amp;J CEO stated that AI will drive more healthcare progress in the next 10 years than the prior 100.  As major pharma portfolios shift, demand for R&amp;D and commercial analytics data will shift with them </w:t>
      </w:r>
      <w:r w:rsidRPr="000957D6">
        <w:rPr>
          <w:rFonts w:ascii="Oracle Sans" w:eastAsia="Oracle Sans" w:hAnsi="Oracle Sans" w:cs="Oracle Sans" w:hint="cs"/>
        </w:rPr>
        <w:t>–</w:t>
      </w:r>
      <w:r w:rsidRPr="000957D6">
        <w:rPr>
          <w:rFonts w:ascii="Oracle Sans" w:eastAsia="Oracle Sans" w:hAnsi="Oracle Sans" w:cs="Oracle Sans"/>
        </w:rPr>
        <w:t xml:space="preserve"> relevant context for Oracle</w:t>
      </w:r>
      <w:r w:rsidRPr="000957D6">
        <w:rPr>
          <w:rFonts w:ascii="Oracle Sans" w:eastAsia="Oracle Sans" w:hAnsi="Oracle Sans" w:cs="Oracle Sans" w:hint="cs"/>
        </w:rPr>
        <w:t>’</w:t>
      </w:r>
      <w:r w:rsidRPr="000957D6">
        <w:rPr>
          <w:rFonts w:ascii="Oracle Sans" w:eastAsia="Oracle Sans" w:hAnsi="Oracle Sans" w:cs="Oracle Sans"/>
        </w:rPr>
        <w:t>s AIDP positioning.</w:t>
      </w:r>
    </w:p>
    <w:p w14:paraId="16D617EF" w14:textId="3A95BD5F" w:rsidR="000957D6" w:rsidRPr="000957D6" w:rsidRDefault="000957D6" w:rsidP="000957D6">
      <w:pPr>
        <w:pStyle w:val="ListParagraph"/>
        <w:numPr>
          <w:ilvl w:val="0"/>
          <w:numId w:val="50"/>
        </w:numPr>
        <w:rPr>
          <w:rFonts w:ascii="Oracle Sans" w:eastAsia="Oracle Sans" w:hAnsi="Oracle Sans" w:cs="Oracle Sans"/>
        </w:rPr>
      </w:pPr>
      <w:r w:rsidRPr="000957D6">
        <w:rPr>
          <w:rFonts w:ascii="Oracle Sans" w:eastAsia="Oracle Sans" w:hAnsi="Oracle Sans" w:cs="Oracle Sans"/>
          <w:b/>
          <w:bCs/>
        </w:rPr>
        <w:t xml:space="preserve">IMO Health. </w:t>
      </w:r>
      <w:r w:rsidRPr="000957D6">
        <w:rPr>
          <w:rFonts w:ascii="Oracle Sans" w:eastAsia="Oracle Sans" w:hAnsi="Oracle Sans" w:cs="Oracle Sans"/>
        </w:rPr>
        <w:t xml:space="preserve">IMO Health is building a life sciences data business based on their ability to interpret clinical intent </w:t>
      </w:r>
      <w:r w:rsidRPr="000957D6">
        <w:rPr>
          <w:rFonts w:ascii="Oracle Sans" w:eastAsia="Oracle Sans" w:hAnsi="Oracle Sans" w:cs="Oracle Sans" w:hint="cs"/>
        </w:rPr>
        <w:t>–</w:t>
      </w:r>
      <w:r w:rsidRPr="000957D6">
        <w:rPr>
          <w:rFonts w:ascii="Oracle Sans" w:eastAsia="Oracle Sans" w:hAnsi="Oracle Sans" w:cs="Oracle Sans"/>
        </w:rPr>
        <w:t xml:space="preserve"> the specific meaning behind physician documentation </w:t>
      </w:r>
      <w:r w:rsidRPr="000957D6">
        <w:rPr>
          <w:rFonts w:ascii="Oracle Sans" w:eastAsia="Oracle Sans" w:hAnsi="Oracle Sans" w:cs="Oracle Sans" w:hint="cs"/>
        </w:rPr>
        <w:t>–</w:t>
      </w:r>
      <w:r w:rsidRPr="000957D6">
        <w:rPr>
          <w:rFonts w:ascii="Oracle Sans" w:eastAsia="Oracle Sans" w:hAnsi="Oracle Sans" w:cs="Oracle Sans"/>
        </w:rPr>
        <w:t xml:space="preserve"> allowing life sciences firms to identify patient cohorts with greater precision than diagnosis or billing codes allow.  Relevant competitive context for Oracle</w:t>
      </w:r>
      <w:r w:rsidRPr="000957D6">
        <w:rPr>
          <w:rFonts w:ascii="Oracle Sans" w:eastAsia="Oracle Sans" w:hAnsi="Oracle Sans" w:cs="Oracle Sans" w:hint="cs"/>
        </w:rPr>
        <w:t>’</w:t>
      </w:r>
      <w:r w:rsidRPr="000957D6">
        <w:rPr>
          <w:rFonts w:ascii="Oracle Sans" w:eastAsia="Oracle Sans" w:hAnsi="Oracle Sans" w:cs="Oracle Sans"/>
        </w:rPr>
        <w:t>s AIDP.</w:t>
      </w:r>
    </w:p>
    <w:p w14:paraId="2C561FA9" w14:textId="762F4015" w:rsidR="00BA4521" w:rsidRPr="00374647" w:rsidRDefault="00BA4521" w:rsidP="00BA4521">
      <w:pPr>
        <w:pStyle w:val="CopyrightsocialURL"/>
      </w:pPr>
    </w:p>
    <w:bookmarkEnd w:id="6" w:displacedByCustomXml="next"/>
    <w:bookmarkEnd w:id="5" w:displacedByCustomXml="next"/>
    <w:bookmarkEnd w:id="4" w:displacedByCustomXml="next"/>
    <w:bookmarkEnd w:id="3" w:displacedByCustomXml="next"/>
    <w:bookmarkEnd w:id="2" w:displacedByCustomXml="next"/>
    <w:bookmarkEnd w:id="1" w:displacedByCustomXml="next"/>
    <w:bookmarkEnd w:id="0" w:displacedByCustomXml="next"/>
    <w:sdt>
      <w:sdtPr>
        <w:id w:val="-404232257"/>
        <w:lock w:val="sdtContentLocked"/>
        <w:placeholder>
          <w:docPart w:val="5F9F6C7C5C924A4F80C6E336609852A1"/>
        </w:placeholder>
      </w:sdtPr>
      <w:sdtContent>
        <w:p w14:paraId="7F096092" w14:textId="2F145B8B" w:rsidR="00910DA0" w:rsidRDefault="00910DA0" w:rsidP="00910DA0">
          <w:pPr>
            <w:pStyle w:val="Copyrightlegal"/>
          </w:pPr>
          <w:r w:rsidRPr="00AE7EF7">
            <w:t>Copyright ©</w:t>
          </w:r>
          <w:r>
            <w:t xml:space="preserve"> </w:t>
          </w:r>
          <w:r>
            <w:fldChar w:fldCharType="begin"/>
          </w:r>
          <w:r>
            <w:instrText xml:space="preserve"> SAVEDATE  \@ "yyyy"  \* MERGEFORMAT </w:instrText>
          </w:r>
          <w:r>
            <w:fldChar w:fldCharType="separate"/>
          </w:r>
          <w:r w:rsidR="00E26C86">
            <w:rPr>
              <w:noProof/>
            </w:rPr>
            <w:t>2026</w:t>
          </w:r>
          <w:r>
            <w:fldChar w:fldCharType="end"/>
          </w:r>
          <w:r w:rsidRPr="00AE7EF7">
            <w:t>, Oracle and/or its affiliates.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25CABA80" w14:textId="77777777" w:rsidR="00910DA0" w:rsidRDefault="00910DA0" w:rsidP="00910DA0">
          <w:pPr>
            <w:pStyle w:val="Copyrightlegal"/>
          </w:pPr>
          <w:r w:rsidRPr="00D37A26">
            <w:t>Oracle, Java, MySQL, and NetSuite are registered trademarks of Oracle and/or its affiliates. Other names may be trademarks of their respective owners.</w:t>
          </w:r>
        </w:p>
        <w:p w14:paraId="6D6184E8" w14:textId="77777777" w:rsidR="00910DA0" w:rsidRDefault="003C3CA2" w:rsidP="00910DA0">
          <w:pPr>
            <w:pStyle w:val="Copyrightlegal"/>
            <w:rPr>
              <w:szCs w:val="18"/>
            </w:rPr>
          </w:pPr>
          <w:bookmarkStart w:id="7" w:name="_Hlk131410603"/>
          <w:r>
            <w:rPr>
              <w:szCs w:val="18"/>
            </w:rPr>
            <w:t>Some regulatory certifications or registrations to products or services referenced on this website are held by Cerner Corporation</w:t>
          </w:r>
          <w:r w:rsidR="00910DA0" w:rsidRPr="00DC4B3C">
            <w:rPr>
              <w:szCs w:val="18"/>
            </w:rPr>
            <w:t>. Cerner Corporation is a wholly-owned subsidiary of Oracle. Cerner Corporation is an ONC-certified health IT developer and a registered medical device manufacturer in the United States and other jurisdictions worldwide.</w:t>
          </w:r>
          <w:bookmarkEnd w:id="7"/>
        </w:p>
        <w:p w14:paraId="5134B244" w14:textId="77777777" w:rsidR="007F4641" w:rsidRDefault="00AA7FB4" w:rsidP="00910DA0">
          <w:pPr>
            <w:pStyle w:val="Copyrightlegal"/>
          </w:pPr>
          <w:r w:rsidRPr="00AA7FB4">
            <w:t>This document may include some forward-looking content for illustrative purposes only. Some products and features discussed are indicative of the products and features of a prospective future launch in the United States only or elsewhere. Not all products and features discussed are currently offered for sale in the United States or elsewhere. Products and features of the actual offering may differ from those discussed in this document and may vary from country to country. Any timelines contained in this document are indicative only. Timelines and product features may depend on regulatory approvals or certification for individual products or features in the applicable country or region.</w:t>
          </w:r>
        </w:p>
      </w:sdtContent>
    </w:sdt>
    <w:sectPr w:rsidR="007F4641" w:rsidSect="00970504">
      <w:headerReference w:type="even" r:id="rId12"/>
      <w:headerReference w:type="default" r:id="rId13"/>
      <w:footerReference w:type="even" r:id="rId14"/>
      <w:footerReference w:type="default" r:id="rId15"/>
      <w:headerReference w:type="first" r:id="rId16"/>
      <w:footerReference w:type="first" r:id="rId17"/>
      <w:pgSz w:w="11906" w:h="16838" w:code="9"/>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DC5AC" w14:textId="77777777" w:rsidR="00123B7A" w:rsidRDefault="00123B7A" w:rsidP="00FD7E8E">
      <w:pPr>
        <w:spacing w:after="0" w:line="240" w:lineRule="auto"/>
      </w:pPr>
      <w:r>
        <w:separator/>
      </w:r>
    </w:p>
  </w:endnote>
  <w:endnote w:type="continuationSeparator" w:id="0">
    <w:p w14:paraId="7465D2A5" w14:textId="77777777" w:rsidR="00123B7A" w:rsidRDefault="00123B7A" w:rsidP="00FD7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altName w:val="Sylfaen"/>
    <w:panose1 w:val="020B0503020204020204"/>
    <w:charset w:val="00"/>
    <w:family w:val="swiss"/>
    <w:pitch w:val="variable"/>
    <w:sig w:usb0="A10006EF" w:usb1="400060FB" w:usb2="00000000" w:usb3="00000000" w:csb0="0000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B482" w14:textId="77777777" w:rsidR="00156B8B" w:rsidRDefault="00156B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DE61" w14:textId="5B31A8C3" w:rsidR="00910DA0" w:rsidRDefault="00640F5D" w:rsidP="00910DA0">
    <w:pPr>
      <w:pStyle w:val="Footer"/>
      <w:tabs>
        <w:tab w:val="left" w:pos="3510"/>
      </w:tabs>
    </w:pPr>
    <w:r>
      <w:rPr>
        <w:noProof/>
        <w14:numSpacing w14:val="default"/>
      </w:rPr>
      <w:drawing>
        <wp:anchor distT="0" distB="0" distL="114300" distR="114300" simplePos="0" relativeHeight="251658240" behindDoc="1" locked="0" layoutInCell="1" allowOverlap="1" wp14:anchorId="11D1E92D" wp14:editId="3CEB2F07">
          <wp:simplePos x="0" y="0"/>
          <wp:positionH relativeFrom="margin">
            <wp:posOffset>-685800</wp:posOffset>
          </wp:positionH>
          <wp:positionV relativeFrom="page">
            <wp:posOffset>10490200</wp:posOffset>
          </wp:positionV>
          <wp:extent cx="13904595" cy="200660"/>
          <wp:effectExtent l="0" t="0" r="1905" b="2540"/>
          <wp:wrapNone/>
          <wp:docPr id="70534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45105" name="Picture 705345105"/>
                  <pic:cNvPicPr/>
                </pic:nvPicPr>
                <pic:blipFill>
                  <a:blip r:embed="rId1">
                    <a:extLst>
                      <a:ext uri="{28A0092B-C50C-407E-A947-70E740481C1C}">
                        <a14:useLocalDpi xmlns:a14="http://schemas.microsoft.com/office/drawing/2010/main" val="0"/>
                      </a:ext>
                    </a:extLst>
                  </a:blip>
                  <a:stretch>
                    <a:fillRect/>
                  </a:stretch>
                </pic:blipFill>
                <pic:spPr>
                  <a:xfrm>
                    <a:off x="0" y="0"/>
                    <a:ext cx="13904595" cy="200660"/>
                  </a:xfrm>
                  <a:prstGeom prst="rect">
                    <a:avLst/>
                  </a:prstGeom>
                </pic:spPr>
              </pic:pic>
            </a:graphicData>
          </a:graphic>
          <wp14:sizeRelH relativeFrom="page">
            <wp14:pctWidth>0</wp14:pctWidth>
          </wp14:sizeRelH>
          <wp14:sizeRelV relativeFrom="page">
            <wp14:pctHeight>0</wp14:pctHeight>
          </wp14:sizeRelV>
        </wp:anchor>
      </w:drawing>
    </w:r>
    <w:r w:rsidR="00910DA0" w:rsidRPr="00B71DD7">
      <w:rPr>
        <w:rStyle w:val="Strong"/>
      </w:rPr>
      <w:fldChar w:fldCharType="begin"/>
    </w:r>
    <w:r w:rsidR="00910DA0" w:rsidRPr="00B71DD7">
      <w:rPr>
        <w:rStyle w:val="Strong"/>
      </w:rPr>
      <w:instrText xml:space="preserve"> PAGE   \* MERGEFORMAT </w:instrText>
    </w:r>
    <w:r w:rsidR="00910DA0" w:rsidRPr="00B71DD7">
      <w:rPr>
        <w:rStyle w:val="Strong"/>
      </w:rPr>
      <w:fldChar w:fldCharType="separate"/>
    </w:r>
    <w:r w:rsidR="00910DA0">
      <w:rPr>
        <w:rStyle w:val="Strong"/>
      </w:rPr>
      <w:t>2</w:t>
    </w:r>
    <w:r w:rsidR="00910DA0" w:rsidRPr="00B71DD7">
      <w:rPr>
        <w:rStyle w:val="Strong"/>
      </w:rPr>
      <w:fldChar w:fldCharType="end"/>
    </w:r>
    <w:r w:rsidR="00910DA0" w:rsidRPr="00B71DD7">
      <w:rPr>
        <w:rStyle w:val="Strong"/>
      </w:rPr>
      <w:tab/>
    </w:r>
    <w:r w:rsidR="00410AF3">
      <w:fldChar w:fldCharType="begin"/>
    </w:r>
    <w:r w:rsidR="00410AF3">
      <w:instrText xml:space="preserve"> STYLEREF  Title  \* MERGEFORMAT </w:instrText>
    </w:r>
    <w:r w:rsidR="00410AF3">
      <w:fldChar w:fldCharType="separate"/>
    </w:r>
    <w:r w:rsidR="00E26C86">
      <w:rPr>
        <w:b/>
        <w:bCs/>
        <w:noProof/>
      </w:rPr>
      <w:t>Error! No text of specified style in document.</w:t>
    </w:r>
    <w:r w:rsidR="00410AF3">
      <w:rPr>
        <w:noProof/>
      </w:rPr>
      <w:fldChar w:fldCharType="end"/>
    </w:r>
    <w:r w:rsidR="00910DA0">
      <w:t xml:space="preserve">   </w:t>
    </w:r>
    <w:r w:rsidR="00910DA0">
      <w:fldChar w:fldCharType="begin"/>
    </w:r>
    <w:r w:rsidR="00910DA0">
      <w:instrText xml:space="preserve"> REF Confidential_Dropdown \h </w:instrText>
    </w:r>
    <w:r w:rsidR="00910DA0">
      <w:fldChar w:fldCharType="separate"/>
    </w:r>
    <w:sdt>
      <w:sdtPr>
        <w:alias w:val="Confidential Dropdown"/>
        <w:tag w:val="Confidential Dropdown"/>
        <w:id w:val="1157804925"/>
        <w:placeholder>
          <w:docPart w:val="D12766F925FB4C9AB8260636ADC25FB0"/>
        </w:placeholder>
        <w:showingPlcHd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410AF3" w:rsidRPr="00214D31">
          <w:rPr>
            <w:highlight w:val="yellow"/>
          </w:rPr>
          <w:t>SELECT FROM DROPDOWN OPTIONS</w:t>
        </w:r>
      </w:sdtContent>
    </w:sdt>
    <w:r w:rsidR="00910DA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02461" w14:textId="77777777" w:rsidR="00FD7E8E" w:rsidRDefault="00FD7E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0F611" w14:textId="77777777" w:rsidR="00123B7A" w:rsidRDefault="00123B7A" w:rsidP="00FD7E8E">
      <w:pPr>
        <w:spacing w:after="0" w:line="240" w:lineRule="auto"/>
      </w:pPr>
      <w:r>
        <w:separator/>
      </w:r>
    </w:p>
  </w:footnote>
  <w:footnote w:type="continuationSeparator" w:id="0">
    <w:p w14:paraId="040E7E14" w14:textId="77777777" w:rsidR="00123B7A" w:rsidRDefault="00123B7A" w:rsidP="00FD7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EE5DA" w14:textId="77777777" w:rsidR="00156B8B" w:rsidRDefault="00156B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046E" w14:textId="77777777" w:rsidR="00CB4C56" w:rsidRDefault="00D169B4">
    <w:pPr>
      <w:pStyle w:val="Header"/>
    </w:pPr>
    <w:r>
      <w:rPr>
        <w:noProof/>
        <w14:numSpacing w14:val="default"/>
      </w:rPr>
      <w:drawing>
        <wp:inline distT="0" distB="0" distL="0" distR="0" wp14:anchorId="6970D2B0" wp14:editId="284FA0A0">
          <wp:extent cx="786384" cy="102787"/>
          <wp:effectExtent l="0" t="0" r="0" b="0"/>
          <wp:docPr id="13" name="Picture 13"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1"/>
                  <a:stretch>
                    <a:fillRect/>
                  </a:stretch>
                </pic:blipFill>
                <pic:spPr>
                  <a:xfrm>
                    <a:off x="0" y="0"/>
                    <a:ext cx="786384" cy="10278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2A84" w14:textId="77777777" w:rsidR="00FD7E8E" w:rsidRDefault="00FD7E8E" w:rsidP="00FC27B1">
    <w:pPr>
      <w:pStyle w:val="Header"/>
      <w:spacing w:after="0"/>
    </w:pPr>
    <w:r>
      <w:rPr>
        <w:noProof/>
        <w14:numSpacing w14:val="default"/>
      </w:rPr>
      <w:drawing>
        <wp:inline distT="0" distB="0" distL="0" distR="0" wp14:anchorId="2577E48E" wp14:editId="0387DA3B">
          <wp:extent cx="1759544" cy="229988"/>
          <wp:effectExtent l="0" t="0" r="0" b="0"/>
          <wp:docPr id="15" name="Picture 15"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racle logo"/>
                  <pic:cNvPicPr/>
                </pic:nvPicPr>
                <pic:blipFill>
                  <a:blip r:embed="rId1">
                    <a:extLst>
                      <a:ext uri="{28A0092B-C50C-407E-A947-70E740481C1C}">
                        <a14:useLocalDpi xmlns:a14="http://schemas.microsoft.com/office/drawing/2010/main" val="0"/>
                      </a:ext>
                    </a:extLst>
                  </a:blip>
                  <a:stretch>
                    <a:fillRect/>
                  </a:stretch>
                </pic:blipFill>
                <pic:spPr>
                  <a:xfrm>
                    <a:off x="0" y="0"/>
                    <a:ext cx="1759544" cy="229988"/>
                  </a:xfrm>
                  <a:prstGeom prst="rect">
                    <a:avLst/>
                  </a:prstGeom>
                </pic:spPr>
              </pic:pic>
            </a:graphicData>
          </a:graphic>
        </wp:inline>
      </w:drawing>
    </w:r>
    <w:r>
      <w:rPr>
        <w:noProof/>
        <w14:numSpacing w14:val="default"/>
      </w:rPr>
      <w:drawing>
        <wp:anchor distT="0" distB="0" distL="114300" distR="114300" simplePos="0" relativeHeight="251658242" behindDoc="0" locked="1" layoutInCell="1" allowOverlap="1" wp14:anchorId="0DCBB738" wp14:editId="5B409225">
          <wp:simplePos x="0" y="0"/>
          <wp:positionH relativeFrom="page">
            <wp:align>left</wp:align>
          </wp:positionH>
          <wp:positionV relativeFrom="page">
            <wp:align>center</wp:align>
          </wp:positionV>
          <wp:extent cx="128016" cy="10058400"/>
          <wp:effectExtent l="0" t="0" r="5715" b="0"/>
          <wp:wrapThrough wrapText="bothSides">
            <wp:wrapPolygon edited="0">
              <wp:start x="0" y="0"/>
              <wp:lineTo x="0" y="21477"/>
              <wp:lineTo x="19343" y="21477"/>
              <wp:lineTo x="19343" y="0"/>
              <wp:lineTo x="0" y="0"/>
            </wp:wrapPolygon>
          </wp:wrapThrough>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a:extLst>
                      <a:ext uri="{28A0092B-C50C-407E-A947-70E740481C1C}">
                        <a14:useLocalDpi xmlns:a14="http://schemas.microsoft.com/office/drawing/2010/main" val="0"/>
                      </a:ext>
                    </a:extLst>
                  </a:blip>
                  <a:stretch>
                    <a:fillRect/>
                  </a:stretch>
                </pic:blipFill>
                <pic:spPr>
                  <a:xfrm>
                    <a:off x="0" y="0"/>
                    <a:ext cx="128016" cy="10058400"/>
                  </a:xfrm>
                  <a:prstGeom prst="rect">
                    <a:avLst/>
                  </a:prstGeom>
                </pic:spPr>
              </pic:pic>
            </a:graphicData>
          </a:graphic>
          <wp14:sizeRelH relativeFrom="page">
            <wp14:pctWidth>0</wp14:pctWidth>
          </wp14:sizeRelH>
          <wp14:sizeRelV relativeFrom="page">
            <wp14:pctHeight>0</wp14:pctHeight>
          </wp14:sizeRelV>
        </wp:anchor>
      </w:drawing>
    </w:r>
    <w:r>
      <w:rPr>
        <w:noProof/>
        <w14:numSpacing w14:val="default"/>
      </w:rPr>
      <mc:AlternateContent>
        <mc:Choice Requires="wps">
          <w:drawing>
            <wp:anchor distT="0" distB="0" distL="114300" distR="114300" simplePos="0" relativeHeight="251658241" behindDoc="1" locked="0" layoutInCell="1" allowOverlap="1" wp14:anchorId="57337520" wp14:editId="6C2124BD">
              <wp:simplePos x="0" y="0"/>
              <wp:positionH relativeFrom="column">
                <wp:posOffset>-459105</wp:posOffset>
              </wp:positionH>
              <wp:positionV relativeFrom="paragraph">
                <wp:posOffset>-685800</wp:posOffset>
              </wp:positionV>
              <wp:extent cx="7772400" cy="10058400"/>
              <wp:effectExtent l="0" t="0" r="0" b="0"/>
              <wp:wrapNone/>
              <wp:docPr id="51" name="Rectangle 5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xmlns:arto="http://schemas.microsoft.com/office/word/2006/arto">
          <w:pict w14:anchorId="65CE23E1">
            <v:rect id="Rectangle 51" style="position:absolute;margin-left:-36.15pt;margin-top:-54pt;width:612pt;height:1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1efed" stroked="f" strokeweight=".25pt" w14:anchorId="404E65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3054C4"/>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B5574C"/>
    <w:multiLevelType w:val="hybridMultilevel"/>
    <w:tmpl w:val="90B6F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2" w15:restartNumberingAfterBreak="0">
    <w:nsid w:val="1930766C"/>
    <w:multiLevelType w:val="hybridMultilevel"/>
    <w:tmpl w:val="D73E0C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2901C7D"/>
    <w:multiLevelType w:val="hybridMultilevel"/>
    <w:tmpl w:val="1C9E3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5"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95F698C"/>
    <w:multiLevelType w:val="hybridMultilevel"/>
    <w:tmpl w:val="346C7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E24692"/>
    <w:multiLevelType w:val="multilevel"/>
    <w:tmpl w:val="CC58F232"/>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18"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9" w15:restartNumberingAfterBreak="0">
    <w:nsid w:val="370909ED"/>
    <w:multiLevelType w:val="hybridMultilevel"/>
    <w:tmpl w:val="113A38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9651F7F"/>
    <w:multiLevelType w:val="hybridMultilevel"/>
    <w:tmpl w:val="2C84309A"/>
    <w:lvl w:ilvl="0" w:tplc="22C06ED8">
      <w:start w:val="1"/>
      <w:numFmt w:val="bullet"/>
      <w:pStyle w:val="Checkboxbullets130pillar"/>
      <w:lvlText w:val=""/>
      <w:lvlJc w:val="left"/>
      <w:pPr>
        <w:ind w:left="1080" w:hanging="360"/>
      </w:pPr>
      <w:rPr>
        <w:rFonts w:ascii="Wingdings" w:hAnsi="Wingdings" w:hint="default"/>
        <w:b/>
        <w:bCs/>
        <w:color w:val="5C5651"/>
        <w:sz w:val="19"/>
        <w:szCs w:val="1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F060FF6"/>
    <w:multiLevelType w:val="hybridMultilevel"/>
    <w:tmpl w:val="E418F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9B7ED9"/>
    <w:multiLevelType w:val="hybridMultilevel"/>
    <w:tmpl w:val="319A5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A07469"/>
    <w:multiLevelType w:val="multilevel"/>
    <w:tmpl w:val="C652C5FC"/>
    <w:lvl w:ilvl="0">
      <w:start w:val="1"/>
      <w:numFmt w:val="bullet"/>
      <w:pStyle w:val="Checkboxbulletsblack"/>
      <w:lvlText w:val=""/>
      <w:lvlJc w:val="left"/>
      <w:pPr>
        <w:ind w:left="1080" w:hanging="360"/>
      </w:pPr>
      <w:rPr>
        <w:rFonts w:ascii="Wingdings" w:hAnsi="Wingdings" w:hint="default"/>
        <w:b/>
        <w:bCs/>
        <w:color w:val="auto"/>
        <w:sz w:val="19"/>
        <w:szCs w:val="19"/>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24" w15:restartNumberingAfterBreak="0">
    <w:nsid w:val="4A723A22"/>
    <w:multiLevelType w:val="hybridMultilevel"/>
    <w:tmpl w:val="D00E44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D5C7F37"/>
    <w:multiLevelType w:val="hybridMultilevel"/>
    <w:tmpl w:val="8EF4BC24"/>
    <w:lvl w:ilvl="0" w:tplc="2138C234">
      <w:start w:val="1"/>
      <w:numFmt w:val="bullet"/>
      <w:pStyle w:val="Checkboxbullets"/>
      <w:lvlText w:val=""/>
      <w:lvlJc w:val="left"/>
      <w:pPr>
        <w:ind w:left="1080" w:hanging="360"/>
      </w:pPr>
      <w:rPr>
        <w:rFonts w:ascii="Wingdings" w:hAnsi="Wingdings" w:hint="default"/>
        <w:b/>
        <w:bCs/>
        <w:color w:val="AE562C"/>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26" w15:restartNumberingAfterBreak="0">
    <w:nsid w:val="548E10C8"/>
    <w:multiLevelType w:val="hybridMultilevel"/>
    <w:tmpl w:val="F956F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2018FF"/>
    <w:multiLevelType w:val="multilevel"/>
    <w:tmpl w:val="441C71A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28" w15:restartNumberingAfterBreak="0">
    <w:nsid w:val="60F846FB"/>
    <w:multiLevelType w:val="multilevel"/>
    <w:tmpl w:val="95BAAA44"/>
    <w:lvl w:ilvl="0">
      <w:start w:val="1"/>
      <w:numFmt w:val="bullet"/>
      <w:pStyle w:val="Checkboxbulletssolidblack"/>
      <w:lvlText w:val=""/>
      <w:lvlJc w:val="left"/>
      <w:pPr>
        <w:ind w:left="1080" w:hanging="360"/>
      </w:pPr>
      <w:rPr>
        <w:rFonts w:ascii="Wingdings" w:hAnsi="Wingdings" w:hint="default"/>
        <w:b/>
        <w:bCs/>
        <w:color w:val="FFFFFF" w:themeColor="background1"/>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29" w15:restartNumberingAfterBreak="0">
    <w:nsid w:val="63EA4EE5"/>
    <w:multiLevelType w:val="hybridMultilevel"/>
    <w:tmpl w:val="B9045600"/>
    <w:lvl w:ilvl="0" w:tplc="FFFFFFFF">
      <w:start w:val="1"/>
      <w:numFmt w:val="bullet"/>
      <w:lvlText w:val=""/>
      <w:lvlJc w:val="left"/>
      <w:pPr>
        <w:ind w:left="720" w:hanging="360"/>
      </w:pPr>
      <w:rPr>
        <w:rFonts w:ascii="Symbol" w:hAnsi="Symbol" w:hint="default"/>
      </w:rPr>
    </w:lvl>
    <w:lvl w:ilvl="1" w:tplc="738ADC7E">
      <w:start w:val="1"/>
      <w:numFmt w:val="bullet"/>
      <w:lvlText w:val="○"/>
      <w:lvlJc w:val="left"/>
      <w:pPr>
        <w:ind w:left="1080" w:hanging="360"/>
      </w:pPr>
    </w:lvl>
    <w:lvl w:ilvl="2" w:tplc="62666C78">
      <w:numFmt w:val="decimal"/>
      <w:lvlText w:val=""/>
      <w:lvlJc w:val="left"/>
      <w:pPr>
        <w:ind w:left="0" w:firstLine="0"/>
      </w:pPr>
    </w:lvl>
    <w:lvl w:ilvl="3" w:tplc="97A64A02">
      <w:numFmt w:val="decimal"/>
      <w:lvlText w:val=""/>
      <w:lvlJc w:val="left"/>
      <w:pPr>
        <w:ind w:left="0" w:firstLine="0"/>
      </w:pPr>
    </w:lvl>
    <w:lvl w:ilvl="4" w:tplc="BD087AC8">
      <w:numFmt w:val="decimal"/>
      <w:lvlText w:val=""/>
      <w:lvlJc w:val="left"/>
      <w:pPr>
        <w:ind w:left="0" w:firstLine="0"/>
      </w:pPr>
    </w:lvl>
    <w:lvl w:ilvl="5" w:tplc="B2249F9A">
      <w:numFmt w:val="decimal"/>
      <w:lvlText w:val=""/>
      <w:lvlJc w:val="left"/>
      <w:pPr>
        <w:ind w:left="0" w:firstLine="0"/>
      </w:pPr>
    </w:lvl>
    <w:lvl w:ilvl="6" w:tplc="682247DC">
      <w:numFmt w:val="decimal"/>
      <w:lvlText w:val=""/>
      <w:lvlJc w:val="left"/>
      <w:pPr>
        <w:ind w:left="0" w:firstLine="0"/>
      </w:pPr>
    </w:lvl>
    <w:lvl w:ilvl="7" w:tplc="1F267C48">
      <w:numFmt w:val="decimal"/>
      <w:lvlText w:val=""/>
      <w:lvlJc w:val="left"/>
      <w:pPr>
        <w:ind w:left="0" w:firstLine="0"/>
      </w:pPr>
    </w:lvl>
    <w:lvl w:ilvl="8" w:tplc="5CD020C8">
      <w:numFmt w:val="decimal"/>
      <w:lvlText w:val=""/>
      <w:lvlJc w:val="left"/>
      <w:pPr>
        <w:ind w:left="0" w:firstLine="0"/>
      </w:pPr>
    </w:lvl>
  </w:abstractNum>
  <w:abstractNum w:abstractNumId="30" w15:restartNumberingAfterBreak="0">
    <w:nsid w:val="6C815BF9"/>
    <w:multiLevelType w:val="hybridMultilevel"/>
    <w:tmpl w:val="51BAB13E"/>
    <w:lvl w:ilvl="0" w:tplc="4E687C9E">
      <w:start w:val="1"/>
      <w:numFmt w:val="bullet"/>
      <w:lvlText w:val="•"/>
      <w:lvlJc w:val="left"/>
      <w:pPr>
        <w:ind w:left="720" w:hanging="360"/>
      </w:pPr>
    </w:lvl>
    <w:lvl w:ilvl="1" w:tplc="1700D558">
      <w:start w:val="1"/>
      <w:numFmt w:val="bullet"/>
      <w:lvlText w:val="–"/>
      <w:lvlJc w:val="left"/>
      <w:pPr>
        <w:ind w:left="1080" w:hanging="360"/>
      </w:pPr>
    </w:lvl>
    <w:lvl w:ilvl="2" w:tplc="35F2151E">
      <w:numFmt w:val="decimal"/>
      <w:lvlText w:val=""/>
      <w:lvlJc w:val="left"/>
    </w:lvl>
    <w:lvl w:ilvl="3" w:tplc="A3824F24">
      <w:numFmt w:val="decimal"/>
      <w:lvlText w:val=""/>
      <w:lvlJc w:val="left"/>
    </w:lvl>
    <w:lvl w:ilvl="4" w:tplc="AA44A116">
      <w:numFmt w:val="decimal"/>
      <w:lvlText w:val=""/>
      <w:lvlJc w:val="left"/>
    </w:lvl>
    <w:lvl w:ilvl="5" w:tplc="4052EDA8">
      <w:numFmt w:val="decimal"/>
      <w:lvlText w:val=""/>
      <w:lvlJc w:val="left"/>
    </w:lvl>
    <w:lvl w:ilvl="6" w:tplc="DBE698F0">
      <w:numFmt w:val="decimal"/>
      <w:lvlText w:val=""/>
      <w:lvlJc w:val="left"/>
    </w:lvl>
    <w:lvl w:ilvl="7" w:tplc="B4CEF508">
      <w:numFmt w:val="decimal"/>
      <w:lvlText w:val=""/>
      <w:lvlJc w:val="left"/>
    </w:lvl>
    <w:lvl w:ilvl="8" w:tplc="D4B6C390">
      <w:numFmt w:val="decimal"/>
      <w:lvlText w:val=""/>
      <w:lvlJc w:val="left"/>
    </w:lvl>
  </w:abstractNum>
  <w:abstractNum w:abstractNumId="31" w15:restartNumberingAfterBreak="0">
    <w:nsid w:val="7176017A"/>
    <w:multiLevelType w:val="multilevel"/>
    <w:tmpl w:val="1BB419A0"/>
    <w:lvl w:ilvl="0">
      <w:start w:val="1"/>
      <w:numFmt w:val="bullet"/>
      <w:pStyle w:val="Referencebullet"/>
      <w:lvlText w:val=""/>
      <w:lvlJc w:val="left"/>
      <w:pPr>
        <w:ind w:left="936" w:hanging="360"/>
      </w:pPr>
      <w:rPr>
        <w:rFonts w:ascii="Wingdings 2" w:hAnsi="Wingdings 2"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1D839FE"/>
    <w:multiLevelType w:val="multilevel"/>
    <w:tmpl w:val="14F4389C"/>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33" w15:restartNumberingAfterBreak="0">
    <w:nsid w:val="78EA02E1"/>
    <w:multiLevelType w:val="hybridMultilevel"/>
    <w:tmpl w:val="4F2CD3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E1F43BA"/>
    <w:multiLevelType w:val="hybridMultilevel"/>
    <w:tmpl w:val="FE7A1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7995116">
    <w:abstractNumId w:val="17"/>
  </w:num>
  <w:num w:numId="2" w16cid:durableId="1700350004">
    <w:abstractNumId w:val="7"/>
  </w:num>
  <w:num w:numId="3" w16cid:durableId="849875870">
    <w:abstractNumId w:val="6"/>
  </w:num>
  <w:num w:numId="4" w16cid:durableId="1503348968">
    <w:abstractNumId w:val="5"/>
  </w:num>
  <w:num w:numId="5" w16cid:durableId="555508712">
    <w:abstractNumId w:val="4"/>
  </w:num>
  <w:num w:numId="6" w16cid:durableId="2145999607">
    <w:abstractNumId w:val="15"/>
  </w:num>
  <w:num w:numId="7" w16cid:durableId="1423182767">
    <w:abstractNumId w:val="15"/>
  </w:num>
  <w:num w:numId="8" w16cid:durableId="2028871990">
    <w:abstractNumId w:val="8"/>
  </w:num>
  <w:num w:numId="9" w16cid:durableId="1000347243">
    <w:abstractNumId w:val="3"/>
  </w:num>
  <w:num w:numId="10" w16cid:durableId="1225792528">
    <w:abstractNumId w:val="2"/>
  </w:num>
  <w:num w:numId="11" w16cid:durableId="1004283809">
    <w:abstractNumId w:val="1"/>
  </w:num>
  <w:num w:numId="12" w16cid:durableId="102263381">
    <w:abstractNumId w:val="0"/>
  </w:num>
  <w:num w:numId="13" w16cid:durableId="1198154439">
    <w:abstractNumId w:val="14"/>
  </w:num>
  <w:num w:numId="14" w16cid:durableId="967668054">
    <w:abstractNumId w:val="9"/>
  </w:num>
  <w:num w:numId="15" w16cid:durableId="969438271">
    <w:abstractNumId w:val="11"/>
  </w:num>
  <w:num w:numId="16" w16cid:durableId="1375812624">
    <w:abstractNumId w:val="23"/>
  </w:num>
  <w:num w:numId="17" w16cid:durableId="948510490">
    <w:abstractNumId w:val="17"/>
  </w:num>
  <w:num w:numId="18" w16cid:durableId="1710572050">
    <w:abstractNumId w:val="27"/>
  </w:num>
  <w:num w:numId="19" w16cid:durableId="1713991367">
    <w:abstractNumId w:val="31"/>
  </w:num>
  <w:num w:numId="20" w16cid:durableId="160396652">
    <w:abstractNumId w:val="25"/>
  </w:num>
  <w:num w:numId="21" w16cid:durableId="832141224">
    <w:abstractNumId w:val="18"/>
  </w:num>
  <w:num w:numId="22" w16cid:durableId="1019890927">
    <w:abstractNumId w:val="32"/>
  </w:num>
  <w:num w:numId="23" w16cid:durableId="1049066874">
    <w:abstractNumId w:val="20"/>
  </w:num>
  <w:num w:numId="24" w16cid:durableId="219637458">
    <w:abstractNumId w:val="28"/>
  </w:num>
  <w:num w:numId="25" w16cid:durableId="118256779">
    <w:abstractNumId w:val="23"/>
  </w:num>
  <w:num w:numId="26" w16cid:durableId="1031108127">
    <w:abstractNumId w:val="28"/>
  </w:num>
  <w:num w:numId="27" w16cid:durableId="1740208270">
    <w:abstractNumId w:val="17"/>
  </w:num>
  <w:num w:numId="28" w16cid:durableId="894973221">
    <w:abstractNumId w:val="17"/>
  </w:num>
  <w:num w:numId="29" w16cid:durableId="492718575">
    <w:abstractNumId w:val="27"/>
  </w:num>
  <w:num w:numId="30" w16cid:durableId="455757384">
    <w:abstractNumId w:val="31"/>
  </w:num>
  <w:num w:numId="31" w16cid:durableId="1468891015">
    <w:abstractNumId w:val="25"/>
  </w:num>
  <w:num w:numId="32" w16cid:durableId="916791674">
    <w:abstractNumId w:val="18"/>
  </w:num>
  <w:num w:numId="33" w16cid:durableId="1866670728">
    <w:abstractNumId w:val="18"/>
  </w:num>
  <w:num w:numId="34" w16cid:durableId="1674259663">
    <w:abstractNumId w:val="32"/>
  </w:num>
  <w:num w:numId="35" w16cid:durableId="924195013">
    <w:abstractNumId w:val="28"/>
  </w:num>
  <w:num w:numId="36" w16cid:durableId="23216860">
    <w:abstractNumId w:val="20"/>
  </w:num>
  <w:num w:numId="37" w16cid:durableId="958758826">
    <w:abstractNumId w:val="28"/>
  </w:num>
  <w:num w:numId="38" w16cid:durableId="2077361507">
    <w:abstractNumId w:val="29"/>
  </w:num>
  <w:num w:numId="39" w16cid:durableId="1985767525">
    <w:abstractNumId w:val="16"/>
  </w:num>
  <w:num w:numId="40" w16cid:durableId="257180286">
    <w:abstractNumId w:val="30"/>
    <w:lvlOverride w:ilvl="0">
      <w:startOverride w:val="1"/>
    </w:lvlOverride>
  </w:num>
  <w:num w:numId="41" w16cid:durableId="1823352100">
    <w:abstractNumId w:val="34"/>
  </w:num>
  <w:num w:numId="42" w16cid:durableId="770390770">
    <w:abstractNumId w:val="10"/>
  </w:num>
  <w:num w:numId="43" w16cid:durableId="425426526">
    <w:abstractNumId w:val="19"/>
  </w:num>
  <w:num w:numId="44" w16cid:durableId="1583371938">
    <w:abstractNumId w:val="26"/>
  </w:num>
  <w:num w:numId="45" w16cid:durableId="147092949">
    <w:abstractNumId w:val="24"/>
  </w:num>
  <w:num w:numId="46" w16cid:durableId="32120935">
    <w:abstractNumId w:val="21"/>
  </w:num>
  <w:num w:numId="47" w16cid:durableId="1756629653">
    <w:abstractNumId w:val="12"/>
  </w:num>
  <w:num w:numId="48" w16cid:durableId="1903173633">
    <w:abstractNumId w:val="33"/>
  </w:num>
  <w:num w:numId="49" w16cid:durableId="1035352395">
    <w:abstractNumId w:val="13"/>
  </w:num>
  <w:num w:numId="50" w16cid:durableId="1867714592">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removePersonalInformation/>
  <w:removeDateAndTime/>
  <w:doNotDisplayPageBoundaries/>
  <w:displayBackgroundShape/>
  <w:attachedTemplate r:id="rId1"/>
  <w:stylePaneSortMethod w:val="000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AF3"/>
    <w:rsid w:val="00003A2F"/>
    <w:rsid w:val="00007474"/>
    <w:rsid w:val="00007556"/>
    <w:rsid w:val="00014373"/>
    <w:rsid w:val="00017455"/>
    <w:rsid w:val="0002195F"/>
    <w:rsid w:val="000229A0"/>
    <w:rsid w:val="0004116D"/>
    <w:rsid w:val="00042BF5"/>
    <w:rsid w:val="00072882"/>
    <w:rsid w:val="00073F9E"/>
    <w:rsid w:val="00077536"/>
    <w:rsid w:val="00083116"/>
    <w:rsid w:val="00087EA3"/>
    <w:rsid w:val="000937F8"/>
    <w:rsid w:val="000942E9"/>
    <w:rsid w:val="000957D6"/>
    <w:rsid w:val="00096A17"/>
    <w:rsid w:val="000A3A44"/>
    <w:rsid w:val="000B13AB"/>
    <w:rsid w:val="000B4CD2"/>
    <w:rsid w:val="000C4073"/>
    <w:rsid w:val="000C591D"/>
    <w:rsid w:val="000D4A55"/>
    <w:rsid w:val="000E49B7"/>
    <w:rsid w:val="000E6EF9"/>
    <w:rsid w:val="000F125C"/>
    <w:rsid w:val="000F21D5"/>
    <w:rsid w:val="000F5AD1"/>
    <w:rsid w:val="00100ABA"/>
    <w:rsid w:val="00103852"/>
    <w:rsid w:val="00107D99"/>
    <w:rsid w:val="001232C7"/>
    <w:rsid w:val="00123B7A"/>
    <w:rsid w:val="00127129"/>
    <w:rsid w:val="001309B8"/>
    <w:rsid w:val="001327E2"/>
    <w:rsid w:val="00133AAB"/>
    <w:rsid w:val="0013444E"/>
    <w:rsid w:val="00136D38"/>
    <w:rsid w:val="00140F53"/>
    <w:rsid w:val="00156B8B"/>
    <w:rsid w:val="00157F21"/>
    <w:rsid w:val="00166835"/>
    <w:rsid w:val="00184DF1"/>
    <w:rsid w:val="00193809"/>
    <w:rsid w:val="00193A11"/>
    <w:rsid w:val="00196A8E"/>
    <w:rsid w:val="001A654F"/>
    <w:rsid w:val="001B0D01"/>
    <w:rsid w:val="001B2942"/>
    <w:rsid w:val="001B29AC"/>
    <w:rsid w:val="001B48A1"/>
    <w:rsid w:val="001B6D09"/>
    <w:rsid w:val="001C2E20"/>
    <w:rsid w:val="001C3722"/>
    <w:rsid w:val="001D0FF8"/>
    <w:rsid w:val="001D1331"/>
    <w:rsid w:val="001D36BA"/>
    <w:rsid w:val="001E694A"/>
    <w:rsid w:val="001F2690"/>
    <w:rsid w:val="001F4250"/>
    <w:rsid w:val="001F6553"/>
    <w:rsid w:val="0020210E"/>
    <w:rsid w:val="002055C5"/>
    <w:rsid w:val="00210226"/>
    <w:rsid w:val="002110CD"/>
    <w:rsid w:val="0021247A"/>
    <w:rsid w:val="002148B1"/>
    <w:rsid w:val="00214D31"/>
    <w:rsid w:val="00225A0F"/>
    <w:rsid w:val="00225D00"/>
    <w:rsid w:val="002319F6"/>
    <w:rsid w:val="00233B1C"/>
    <w:rsid w:val="002454E5"/>
    <w:rsid w:val="00254FA8"/>
    <w:rsid w:val="00262749"/>
    <w:rsid w:val="00262B68"/>
    <w:rsid w:val="00267632"/>
    <w:rsid w:val="00274915"/>
    <w:rsid w:val="002752F7"/>
    <w:rsid w:val="00276AE9"/>
    <w:rsid w:val="00281F62"/>
    <w:rsid w:val="00282C1F"/>
    <w:rsid w:val="0028542C"/>
    <w:rsid w:val="002862B3"/>
    <w:rsid w:val="00286615"/>
    <w:rsid w:val="002A1DB2"/>
    <w:rsid w:val="002A1FB8"/>
    <w:rsid w:val="002B1929"/>
    <w:rsid w:val="002B3CC5"/>
    <w:rsid w:val="002B49D5"/>
    <w:rsid w:val="002B4E4F"/>
    <w:rsid w:val="002C043A"/>
    <w:rsid w:val="002C3110"/>
    <w:rsid w:val="002C549D"/>
    <w:rsid w:val="002C702C"/>
    <w:rsid w:val="002D0A00"/>
    <w:rsid w:val="002D7C48"/>
    <w:rsid w:val="002E0086"/>
    <w:rsid w:val="002E335F"/>
    <w:rsid w:val="002F2C08"/>
    <w:rsid w:val="00300ADA"/>
    <w:rsid w:val="00301EDC"/>
    <w:rsid w:val="00305C36"/>
    <w:rsid w:val="0031117A"/>
    <w:rsid w:val="00317581"/>
    <w:rsid w:val="0032169B"/>
    <w:rsid w:val="00332E6F"/>
    <w:rsid w:val="0033755E"/>
    <w:rsid w:val="003405AD"/>
    <w:rsid w:val="003426B0"/>
    <w:rsid w:val="00366652"/>
    <w:rsid w:val="00373DD5"/>
    <w:rsid w:val="0037760E"/>
    <w:rsid w:val="003932B7"/>
    <w:rsid w:val="003A241C"/>
    <w:rsid w:val="003C3CA2"/>
    <w:rsid w:val="003C5F6D"/>
    <w:rsid w:val="003D14C9"/>
    <w:rsid w:val="003D314D"/>
    <w:rsid w:val="00401CE2"/>
    <w:rsid w:val="00404CF0"/>
    <w:rsid w:val="00406DF5"/>
    <w:rsid w:val="0040731B"/>
    <w:rsid w:val="00410AF3"/>
    <w:rsid w:val="004164B3"/>
    <w:rsid w:val="00422D87"/>
    <w:rsid w:val="00432B24"/>
    <w:rsid w:val="0043382D"/>
    <w:rsid w:val="004378B2"/>
    <w:rsid w:val="004520D7"/>
    <w:rsid w:val="00470D93"/>
    <w:rsid w:val="004776A8"/>
    <w:rsid w:val="00485F82"/>
    <w:rsid w:val="00497325"/>
    <w:rsid w:val="004A2948"/>
    <w:rsid w:val="004A6B02"/>
    <w:rsid w:val="004C0965"/>
    <w:rsid w:val="004D1B86"/>
    <w:rsid w:val="004D54ED"/>
    <w:rsid w:val="004E7CAA"/>
    <w:rsid w:val="004F5001"/>
    <w:rsid w:val="004F6494"/>
    <w:rsid w:val="004F6AB9"/>
    <w:rsid w:val="00502458"/>
    <w:rsid w:val="00503540"/>
    <w:rsid w:val="005074F5"/>
    <w:rsid w:val="00507E0B"/>
    <w:rsid w:val="005121BC"/>
    <w:rsid w:val="0052231F"/>
    <w:rsid w:val="005240D2"/>
    <w:rsid w:val="00535373"/>
    <w:rsid w:val="00542D65"/>
    <w:rsid w:val="00560D0D"/>
    <w:rsid w:val="005617A1"/>
    <w:rsid w:val="00566FB8"/>
    <w:rsid w:val="005813C7"/>
    <w:rsid w:val="005852DD"/>
    <w:rsid w:val="00593CF7"/>
    <w:rsid w:val="00593DC0"/>
    <w:rsid w:val="005A0F74"/>
    <w:rsid w:val="005B1838"/>
    <w:rsid w:val="005C1255"/>
    <w:rsid w:val="005D55AE"/>
    <w:rsid w:val="005D57D4"/>
    <w:rsid w:val="005E25D7"/>
    <w:rsid w:val="006018A1"/>
    <w:rsid w:val="0060361E"/>
    <w:rsid w:val="00611325"/>
    <w:rsid w:val="00613473"/>
    <w:rsid w:val="00621BC3"/>
    <w:rsid w:val="006257D4"/>
    <w:rsid w:val="006272EA"/>
    <w:rsid w:val="00640F5D"/>
    <w:rsid w:val="00641336"/>
    <w:rsid w:val="00643CC0"/>
    <w:rsid w:val="00644213"/>
    <w:rsid w:val="006452BB"/>
    <w:rsid w:val="00647DAA"/>
    <w:rsid w:val="00650768"/>
    <w:rsid w:val="00654DA5"/>
    <w:rsid w:val="00656B2D"/>
    <w:rsid w:val="0067483D"/>
    <w:rsid w:val="00681A58"/>
    <w:rsid w:val="00686742"/>
    <w:rsid w:val="00687D61"/>
    <w:rsid w:val="00693327"/>
    <w:rsid w:val="006A6555"/>
    <w:rsid w:val="006B005F"/>
    <w:rsid w:val="006B17D3"/>
    <w:rsid w:val="006B3906"/>
    <w:rsid w:val="006B6995"/>
    <w:rsid w:val="006B6E93"/>
    <w:rsid w:val="006C01F1"/>
    <w:rsid w:val="006C705C"/>
    <w:rsid w:val="006D2620"/>
    <w:rsid w:val="006E0BF8"/>
    <w:rsid w:val="006F193D"/>
    <w:rsid w:val="006F25D1"/>
    <w:rsid w:val="00703539"/>
    <w:rsid w:val="00704C4C"/>
    <w:rsid w:val="00714B31"/>
    <w:rsid w:val="007205DC"/>
    <w:rsid w:val="00727B8B"/>
    <w:rsid w:val="0073126C"/>
    <w:rsid w:val="00732DF7"/>
    <w:rsid w:val="00736037"/>
    <w:rsid w:val="007413CF"/>
    <w:rsid w:val="00742A1E"/>
    <w:rsid w:val="00763EAF"/>
    <w:rsid w:val="00772F0F"/>
    <w:rsid w:val="00782C31"/>
    <w:rsid w:val="00783EC1"/>
    <w:rsid w:val="00786F8D"/>
    <w:rsid w:val="007901B2"/>
    <w:rsid w:val="007A4F11"/>
    <w:rsid w:val="007A64AF"/>
    <w:rsid w:val="007C4870"/>
    <w:rsid w:val="007C5325"/>
    <w:rsid w:val="007C6156"/>
    <w:rsid w:val="007D041E"/>
    <w:rsid w:val="007D576D"/>
    <w:rsid w:val="007E586A"/>
    <w:rsid w:val="007E7BD3"/>
    <w:rsid w:val="007F4641"/>
    <w:rsid w:val="00800A46"/>
    <w:rsid w:val="00804E2A"/>
    <w:rsid w:val="00830C2D"/>
    <w:rsid w:val="008409F4"/>
    <w:rsid w:val="008446B1"/>
    <w:rsid w:val="00845DFB"/>
    <w:rsid w:val="00863B7E"/>
    <w:rsid w:val="00877473"/>
    <w:rsid w:val="00882A9A"/>
    <w:rsid w:val="00885250"/>
    <w:rsid w:val="00887EEB"/>
    <w:rsid w:val="00890A2C"/>
    <w:rsid w:val="008B45C4"/>
    <w:rsid w:val="008B48B3"/>
    <w:rsid w:val="008B5EE3"/>
    <w:rsid w:val="008B5EFA"/>
    <w:rsid w:val="008B6724"/>
    <w:rsid w:val="008B7232"/>
    <w:rsid w:val="008C401F"/>
    <w:rsid w:val="008C562D"/>
    <w:rsid w:val="008C6334"/>
    <w:rsid w:val="008D56F5"/>
    <w:rsid w:val="008E0FD1"/>
    <w:rsid w:val="008E76A0"/>
    <w:rsid w:val="008F1F98"/>
    <w:rsid w:val="008F254C"/>
    <w:rsid w:val="008F3240"/>
    <w:rsid w:val="00900576"/>
    <w:rsid w:val="009026AD"/>
    <w:rsid w:val="0090404A"/>
    <w:rsid w:val="00907DAE"/>
    <w:rsid w:val="00910DA0"/>
    <w:rsid w:val="00921496"/>
    <w:rsid w:val="00935DAD"/>
    <w:rsid w:val="00936F6C"/>
    <w:rsid w:val="00950F82"/>
    <w:rsid w:val="00952AA1"/>
    <w:rsid w:val="00954710"/>
    <w:rsid w:val="00955E01"/>
    <w:rsid w:val="00963A50"/>
    <w:rsid w:val="009674E3"/>
    <w:rsid w:val="0097030B"/>
    <w:rsid w:val="00970504"/>
    <w:rsid w:val="00973FF1"/>
    <w:rsid w:val="00976291"/>
    <w:rsid w:val="00985F08"/>
    <w:rsid w:val="009A0809"/>
    <w:rsid w:val="009A4090"/>
    <w:rsid w:val="009A4F61"/>
    <w:rsid w:val="009C51BB"/>
    <w:rsid w:val="009D6DF2"/>
    <w:rsid w:val="009E361F"/>
    <w:rsid w:val="009E4867"/>
    <w:rsid w:val="009E5261"/>
    <w:rsid w:val="009F39E2"/>
    <w:rsid w:val="009F3F22"/>
    <w:rsid w:val="009F6C7E"/>
    <w:rsid w:val="00A029A0"/>
    <w:rsid w:val="00A06743"/>
    <w:rsid w:val="00A0779D"/>
    <w:rsid w:val="00A12E39"/>
    <w:rsid w:val="00A301A4"/>
    <w:rsid w:val="00A45601"/>
    <w:rsid w:val="00A52674"/>
    <w:rsid w:val="00A6042A"/>
    <w:rsid w:val="00A614F6"/>
    <w:rsid w:val="00A6165D"/>
    <w:rsid w:val="00A63B84"/>
    <w:rsid w:val="00A6528F"/>
    <w:rsid w:val="00A67D13"/>
    <w:rsid w:val="00A960E5"/>
    <w:rsid w:val="00AA1699"/>
    <w:rsid w:val="00AA6E92"/>
    <w:rsid w:val="00AA7FB4"/>
    <w:rsid w:val="00AB445A"/>
    <w:rsid w:val="00AB564E"/>
    <w:rsid w:val="00AB66E6"/>
    <w:rsid w:val="00AC4154"/>
    <w:rsid w:val="00AD0CF0"/>
    <w:rsid w:val="00AD201A"/>
    <w:rsid w:val="00AD4165"/>
    <w:rsid w:val="00AE3DA4"/>
    <w:rsid w:val="00AE733D"/>
    <w:rsid w:val="00AE7EF7"/>
    <w:rsid w:val="00AF5725"/>
    <w:rsid w:val="00B01D89"/>
    <w:rsid w:val="00B07894"/>
    <w:rsid w:val="00B142E7"/>
    <w:rsid w:val="00B32087"/>
    <w:rsid w:val="00B41EAE"/>
    <w:rsid w:val="00B47F73"/>
    <w:rsid w:val="00B53145"/>
    <w:rsid w:val="00B60EAF"/>
    <w:rsid w:val="00B620A9"/>
    <w:rsid w:val="00B677A9"/>
    <w:rsid w:val="00B67F2E"/>
    <w:rsid w:val="00B73408"/>
    <w:rsid w:val="00B76394"/>
    <w:rsid w:val="00B843DD"/>
    <w:rsid w:val="00B86983"/>
    <w:rsid w:val="00B95496"/>
    <w:rsid w:val="00BA4521"/>
    <w:rsid w:val="00BA5D0F"/>
    <w:rsid w:val="00BB2FA9"/>
    <w:rsid w:val="00BB4DFB"/>
    <w:rsid w:val="00BC5A16"/>
    <w:rsid w:val="00BE28E8"/>
    <w:rsid w:val="00BE5680"/>
    <w:rsid w:val="00BE5FFD"/>
    <w:rsid w:val="00BF3E1D"/>
    <w:rsid w:val="00C0207B"/>
    <w:rsid w:val="00C16475"/>
    <w:rsid w:val="00C1762E"/>
    <w:rsid w:val="00C35080"/>
    <w:rsid w:val="00C36AFF"/>
    <w:rsid w:val="00C579E6"/>
    <w:rsid w:val="00C63E82"/>
    <w:rsid w:val="00C646EC"/>
    <w:rsid w:val="00C807C3"/>
    <w:rsid w:val="00C92BB3"/>
    <w:rsid w:val="00CB3277"/>
    <w:rsid w:val="00CB4C56"/>
    <w:rsid w:val="00CB6739"/>
    <w:rsid w:val="00CB6A17"/>
    <w:rsid w:val="00CC05D9"/>
    <w:rsid w:val="00CC0C39"/>
    <w:rsid w:val="00CC1B45"/>
    <w:rsid w:val="00CC1DD8"/>
    <w:rsid w:val="00CC52FD"/>
    <w:rsid w:val="00CD3F14"/>
    <w:rsid w:val="00CD5A4F"/>
    <w:rsid w:val="00CE5172"/>
    <w:rsid w:val="00CF0AE5"/>
    <w:rsid w:val="00CF0BA2"/>
    <w:rsid w:val="00D02A1B"/>
    <w:rsid w:val="00D06E11"/>
    <w:rsid w:val="00D12A0C"/>
    <w:rsid w:val="00D169B4"/>
    <w:rsid w:val="00D175C8"/>
    <w:rsid w:val="00D25AC0"/>
    <w:rsid w:val="00D3410E"/>
    <w:rsid w:val="00D40469"/>
    <w:rsid w:val="00D433C6"/>
    <w:rsid w:val="00D56158"/>
    <w:rsid w:val="00D709D3"/>
    <w:rsid w:val="00D76731"/>
    <w:rsid w:val="00D9314E"/>
    <w:rsid w:val="00DA021E"/>
    <w:rsid w:val="00DA7307"/>
    <w:rsid w:val="00DB0D6F"/>
    <w:rsid w:val="00DD006C"/>
    <w:rsid w:val="00DD15B5"/>
    <w:rsid w:val="00DD232F"/>
    <w:rsid w:val="00DD4DD0"/>
    <w:rsid w:val="00DE14AA"/>
    <w:rsid w:val="00DE485C"/>
    <w:rsid w:val="00DE4CE3"/>
    <w:rsid w:val="00DE6D5C"/>
    <w:rsid w:val="00DF11E0"/>
    <w:rsid w:val="00DF42BC"/>
    <w:rsid w:val="00E01289"/>
    <w:rsid w:val="00E14A60"/>
    <w:rsid w:val="00E20643"/>
    <w:rsid w:val="00E260ED"/>
    <w:rsid w:val="00E26C86"/>
    <w:rsid w:val="00E275B1"/>
    <w:rsid w:val="00E32B33"/>
    <w:rsid w:val="00E439C3"/>
    <w:rsid w:val="00E507D0"/>
    <w:rsid w:val="00E518FC"/>
    <w:rsid w:val="00E61354"/>
    <w:rsid w:val="00E66BA3"/>
    <w:rsid w:val="00E727B6"/>
    <w:rsid w:val="00E77DD1"/>
    <w:rsid w:val="00E8040D"/>
    <w:rsid w:val="00E81318"/>
    <w:rsid w:val="00E8516B"/>
    <w:rsid w:val="00EA284F"/>
    <w:rsid w:val="00EB07F6"/>
    <w:rsid w:val="00EB32C6"/>
    <w:rsid w:val="00EB6C11"/>
    <w:rsid w:val="00ED36D3"/>
    <w:rsid w:val="00ED7FD1"/>
    <w:rsid w:val="00EE0A19"/>
    <w:rsid w:val="00EE4CFD"/>
    <w:rsid w:val="00EE7801"/>
    <w:rsid w:val="00EF6833"/>
    <w:rsid w:val="00F17ABA"/>
    <w:rsid w:val="00F23CFC"/>
    <w:rsid w:val="00F32F09"/>
    <w:rsid w:val="00F33C5B"/>
    <w:rsid w:val="00F431A3"/>
    <w:rsid w:val="00F56A46"/>
    <w:rsid w:val="00F6455D"/>
    <w:rsid w:val="00F93CBD"/>
    <w:rsid w:val="00F95AA2"/>
    <w:rsid w:val="00F9731D"/>
    <w:rsid w:val="00FC27B1"/>
    <w:rsid w:val="00FC6879"/>
    <w:rsid w:val="00FD76D6"/>
    <w:rsid w:val="00FD7E8E"/>
    <w:rsid w:val="00FE5201"/>
    <w:rsid w:val="00FE53B3"/>
    <w:rsid w:val="00FF5131"/>
    <w:rsid w:val="00FF7118"/>
    <w:rsid w:val="02305A53"/>
    <w:rsid w:val="02BA3826"/>
    <w:rsid w:val="02D48CF9"/>
    <w:rsid w:val="0561393A"/>
    <w:rsid w:val="0667D91B"/>
    <w:rsid w:val="082E38CF"/>
    <w:rsid w:val="085D36D9"/>
    <w:rsid w:val="0890FDFE"/>
    <w:rsid w:val="09EA46B8"/>
    <w:rsid w:val="0E170472"/>
    <w:rsid w:val="0ECAACE8"/>
    <w:rsid w:val="11A0BCDF"/>
    <w:rsid w:val="12D279DF"/>
    <w:rsid w:val="13D7079A"/>
    <w:rsid w:val="14035B0B"/>
    <w:rsid w:val="14DCC91F"/>
    <w:rsid w:val="16988EE2"/>
    <w:rsid w:val="190FB79E"/>
    <w:rsid w:val="1944862B"/>
    <w:rsid w:val="1B82F262"/>
    <w:rsid w:val="1C8F592C"/>
    <w:rsid w:val="2225696A"/>
    <w:rsid w:val="28E2AB43"/>
    <w:rsid w:val="2DC5F296"/>
    <w:rsid w:val="2F22E0A9"/>
    <w:rsid w:val="307E98E0"/>
    <w:rsid w:val="30B9C494"/>
    <w:rsid w:val="327F62ED"/>
    <w:rsid w:val="3293DF3E"/>
    <w:rsid w:val="359C271E"/>
    <w:rsid w:val="36189E97"/>
    <w:rsid w:val="3828A141"/>
    <w:rsid w:val="39AB5853"/>
    <w:rsid w:val="3AB80B2F"/>
    <w:rsid w:val="3B4CDBE4"/>
    <w:rsid w:val="3D265551"/>
    <w:rsid w:val="3DAC45BB"/>
    <w:rsid w:val="3E492FD9"/>
    <w:rsid w:val="434C3245"/>
    <w:rsid w:val="46734BD8"/>
    <w:rsid w:val="4A90DC15"/>
    <w:rsid w:val="4B640866"/>
    <w:rsid w:val="4CE88029"/>
    <w:rsid w:val="4D2983A4"/>
    <w:rsid w:val="4F160B68"/>
    <w:rsid w:val="51857909"/>
    <w:rsid w:val="5192150C"/>
    <w:rsid w:val="52547A4F"/>
    <w:rsid w:val="53356131"/>
    <w:rsid w:val="5B76C03A"/>
    <w:rsid w:val="5C180BD6"/>
    <w:rsid w:val="5D9F7124"/>
    <w:rsid w:val="6146A88A"/>
    <w:rsid w:val="62B8A222"/>
    <w:rsid w:val="636159B1"/>
    <w:rsid w:val="64773C83"/>
    <w:rsid w:val="6478E3BE"/>
    <w:rsid w:val="66AAEC10"/>
    <w:rsid w:val="670DB6B8"/>
    <w:rsid w:val="682B72AC"/>
    <w:rsid w:val="6884ADBA"/>
    <w:rsid w:val="6C82D090"/>
    <w:rsid w:val="6D1C765E"/>
    <w:rsid w:val="6DFFA42A"/>
    <w:rsid w:val="6E2639AD"/>
    <w:rsid w:val="6EBA57B1"/>
    <w:rsid w:val="6F0B4983"/>
    <w:rsid w:val="700C83EF"/>
    <w:rsid w:val="709BEEBB"/>
    <w:rsid w:val="737BB90C"/>
    <w:rsid w:val="782EA45F"/>
    <w:rsid w:val="7CE48CD6"/>
    <w:rsid w:val="7F709365"/>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717E5"/>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en-GB" w:eastAsia="en-GB"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lsdException w:name="heading 5" w:semiHidden="1" w:uiPriority="4"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1"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F11"/>
    <w:rPr>
      <w:lang w:val="en-US"/>
      <w14:numSpacing w14:val="tabular"/>
    </w:rPr>
  </w:style>
  <w:style w:type="paragraph" w:styleId="Heading1">
    <w:name w:val="heading 1"/>
    <w:basedOn w:val="Normal"/>
    <w:next w:val="Normal"/>
    <w:link w:val="Heading1Char"/>
    <w:uiPriority w:val="4"/>
    <w:qFormat/>
    <w:rsid w:val="007A4F11"/>
    <w:pPr>
      <w:keepNext/>
      <w:keepLines/>
      <w:spacing w:before="240" w:line="240" w:lineRule="auto"/>
      <w:ind w:right="1440"/>
      <w:outlineLvl w:val="0"/>
    </w:pPr>
    <w:rPr>
      <w:rFonts w:ascii="Oracle Sans Extra Bold" w:hAnsi="Oracle Sans Extra Bold"/>
      <w:bCs/>
      <w:sz w:val="29"/>
      <w:szCs w:val="29"/>
    </w:rPr>
  </w:style>
  <w:style w:type="paragraph" w:styleId="Heading2">
    <w:name w:val="heading 2"/>
    <w:basedOn w:val="Normal"/>
    <w:next w:val="Normal"/>
    <w:link w:val="Heading2Char"/>
    <w:uiPriority w:val="4"/>
    <w:qFormat/>
    <w:rsid w:val="007A4F11"/>
    <w:pPr>
      <w:keepNext/>
      <w:keepLines/>
      <w:spacing w:before="240" w:after="60" w:line="240" w:lineRule="auto"/>
      <w:ind w:right="1440"/>
      <w:outlineLvl w:val="1"/>
    </w:pPr>
    <w:rPr>
      <w:rFonts w:ascii="Oracle Sans Extra Bold" w:hAnsi="Oracle Sans Extra Bold"/>
      <w:bCs/>
      <w:sz w:val="27"/>
      <w:szCs w:val="27"/>
    </w:rPr>
  </w:style>
  <w:style w:type="paragraph" w:styleId="Heading3">
    <w:name w:val="heading 3"/>
    <w:basedOn w:val="Normal"/>
    <w:next w:val="Normal"/>
    <w:link w:val="Heading3Char"/>
    <w:uiPriority w:val="4"/>
    <w:qFormat/>
    <w:rsid w:val="007A4F11"/>
    <w:pPr>
      <w:keepNext/>
      <w:keepLines/>
      <w:spacing w:before="180" w:after="60" w:line="240" w:lineRule="auto"/>
      <w:outlineLvl w:val="2"/>
    </w:pPr>
    <w:rPr>
      <w:rFonts w:ascii="Oracle Sans Extra Bold" w:hAnsi="Oracle Sans Extra Bold"/>
      <w:sz w:val="25"/>
      <w:szCs w:val="25"/>
    </w:rPr>
  </w:style>
  <w:style w:type="paragraph" w:styleId="Heading4">
    <w:name w:val="heading 4"/>
    <w:basedOn w:val="Normal"/>
    <w:next w:val="Normal"/>
    <w:link w:val="Heading4Char"/>
    <w:uiPriority w:val="4"/>
    <w:rsid w:val="0037760E"/>
    <w:pPr>
      <w:keepNext/>
      <w:keepLines/>
      <w:spacing w:before="60" w:after="0" w:line="240" w:lineRule="auto"/>
      <w:outlineLvl w:val="3"/>
    </w:pPr>
    <w:rPr>
      <w:rFonts w:ascii="Oracle Sans Semi Bold" w:hAnsi="Oracle Sans Semi Bold"/>
      <w:b/>
      <w:sz w:val="23"/>
      <w:szCs w:val="23"/>
    </w:rPr>
  </w:style>
  <w:style w:type="paragraph" w:styleId="Heading5">
    <w:name w:val="heading 5"/>
    <w:basedOn w:val="Normal"/>
    <w:next w:val="Normal"/>
    <w:link w:val="Heading5Char"/>
    <w:uiPriority w:val="4"/>
    <w:rsid w:val="0037760E"/>
    <w:pPr>
      <w:keepNext/>
      <w:keepLines/>
      <w:spacing w:before="60" w:after="0" w:line="240" w:lineRule="auto"/>
      <w:outlineLvl w:val="4"/>
    </w:pPr>
    <w:rPr>
      <w:b/>
      <w:sz w:val="21"/>
      <w:szCs w:val="21"/>
    </w:rPr>
  </w:style>
  <w:style w:type="paragraph" w:styleId="Heading6">
    <w:name w:val="heading 6"/>
    <w:basedOn w:val="Normal"/>
    <w:next w:val="Normal"/>
    <w:link w:val="Heading6Char"/>
    <w:uiPriority w:val="99"/>
    <w:semiHidden/>
    <w:qFormat/>
    <w:rsid w:val="007A4F11"/>
    <w:pPr>
      <w:keepNext/>
      <w:keepLines/>
      <w:spacing w:before="40"/>
      <w:outlineLvl w:val="5"/>
    </w:pPr>
    <w:rPr>
      <w:rFonts w:asciiTheme="majorHAnsi" w:eastAsiaTheme="majorEastAsia" w:hAnsiTheme="majorHAnsi" w:cstheme="majorBidi"/>
      <w:color w:val="385251" w:themeColor="accent1" w:themeShade="7F"/>
    </w:rPr>
  </w:style>
  <w:style w:type="paragraph" w:styleId="Heading7">
    <w:name w:val="heading 7"/>
    <w:basedOn w:val="Normal"/>
    <w:next w:val="Normal"/>
    <w:link w:val="Heading7Char"/>
    <w:uiPriority w:val="99"/>
    <w:semiHidden/>
    <w:qFormat/>
    <w:rsid w:val="007A4F11"/>
    <w:pPr>
      <w:keepNext/>
      <w:keepLines/>
      <w:spacing w:before="40"/>
      <w:outlineLvl w:val="6"/>
    </w:pPr>
    <w:rPr>
      <w:rFonts w:asciiTheme="majorHAnsi" w:eastAsiaTheme="majorEastAsia" w:hAnsiTheme="majorHAnsi" w:cstheme="majorBidi"/>
      <w:i/>
      <w:iCs/>
      <w:color w:val="385251" w:themeColor="accent1" w:themeShade="7F"/>
    </w:rPr>
  </w:style>
  <w:style w:type="paragraph" w:styleId="Heading8">
    <w:name w:val="heading 8"/>
    <w:basedOn w:val="Normal"/>
    <w:next w:val="Normal"/>
    <w:link w:val="Heading8Char"/>
    <w:uiPriority w:val="99"/>
    <w:semiHidden/>
    <w:qFormat/>
    <w:rsid w:val="007A4F1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7A4F1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7A4F11"/>
    <w:rPr>
      <w:rFonts w:ascii="Oracle Sans Extra Bold" w:hAnsi="Oracle Sans Extra Bold"/>
      <w:bCs/>
      <w:sz w:val="29"/>
      <w:szCs w:val="29"/>
      <w14:numSpacing w14:val="tabular"/>
    </w:rPr>
  </w:style>
  <w:style w:type="character" w:customStyle="1" w:styleId="Heading2Char">
    <w:name w:val="Heading 2 Char"/>
    <w:basedOn w:val="DefaultParagraphFont"/>
    <w:link w:val="Heading2"/>
    <w:uiPriority w:val="4"/>
    <w:rsid w:val="007A4F11"/>
    <w:rPr>
      <w:rFonts w:ascii="Oracle Sans Extra Bold" w:hAnsi="Oracle Sans Extra Bold"/>
      <w:bCs/>
      <w:sz w:val="27"/>
      <w:szCs w:val="27"/>
      <w14:numSpacing w14:val="tabular"/>
    </w:rPr>
  </w:style>
  <w:style w:type="character" w:styleId="CommentReference">
    <w:name w:val="annotation reference"/>
    <w:basedOn w:val="DefaultParagraphFont"/>
    <w:uiPriority w:val="99"/>
    <w:semiHidden/>
    <w:rsid w:val="00DE6D5C"/>
    <w:rPr>
      <w:sz w:val="16"/>
      <w:szCs w:val="16"/>
    </w:rPr>
  </w:style>
  <w:style w:type="paragraph" w:styleId="CommentText">
    <w:name w:val="annotation text"/>
    <w:basedOn w:val="Normal"/>
    <w:link w:val="CommentTextChar"/>
    <w:uiPriority w:val="99"/>
    <w:rsid w:val="00DE6D5C"/>
    <w:pPr>
      <w:spacing w:after="200"/>
    </w:pPr>
    <w:rPr>
      <w:rFonts w:eastAsiaTheme="minorEastAsia"/>
      <w:sz w:val="20"/>
      <w:szCs w:val="20"/>
    </w:rPr>
  </w:style>
  <w:style w:type="character" w:customStyle="1" w:styleId="CommentTextChar">
    <w:name w:val="Comment Text Char"/>
    <w:basedOn w:val="DefaultParagraphFont"/>
    <w:link w:val="CommentText"/>
    <w:uiPriority w:val="99"/>
    <w:rsid w:val="00DE6D5C"/>
    <w:rPr>
      <w:rFonts w:eastAsiaTheme="minorEastAsia"/>
      <w:sz w:val="20"/>
      <w:szCs w:val="20"/>
      <w14:numSpacing w14:val="tabular"/>
    </w:rPr>
  </w:style>
  <w:style w:type="paragraph" w:customStyle="1" w:styleId="Copyrightcontact">
    <w:name w:val="Copyright contact"/>
    <w:basedOn w:val="Normal"/>
    <w:link w:val="CopyrightcontactChar"/>
    <w:uiPriority w:val="13"/>
    <w:rsid w:val="00DE6D5C"/>
    <w:pPr>
      <w:widowControl w:val="0"/>
      <w:autoSpaceDE w:val="0"/>
      <w:autoSpaceDN w:val="0"/>
      <w:spacing w:line="240" w:lineRule="atLeast"/>
    </w:pPr>
    <w:rPr>
      <w:rFonts w:eastAsia="Oracle Sans" w:cs="Oracle Sans"/>
      <w:sz w:val="18"/>
      <w:szCs w:val="22"/>
      <w:lang w:bidi="en-GB"/>
    </w:rPr>
  </w:style>
  <w:style w:type="character" w:customStyle="1" w:styleId="CopyrightcontactChar">
    <w:name w:val="Copyright contact Char"/>
    <w:basedOn w:val="DefaultParagraphFont"/>
    <w:link w:val="Copyrightcontact"/>
    <w:uiPriority w:val="13"/>
    <w:rsid w:val="00DE6D5C"/>
    <w:rPr>
      <w:rFonts w:eastAsia="Oracle Sans" w:cs="Oracle Sans"/>
      <w:sz w:val="18"/>
      <w:szCs w:val="22"/>
      <w:lang w:bidi="en-GB"/>
      <w14:numSpacing w14:val="tabular"/>
    </w:rPr>
  </w:style>
  <w:style w:type="paragraph" w:customStyle="1" w:styleId="Copyrightlegal">
    <w:name w:val="Copyright legal"/>
    <w:basedOn w:val="Normal"/>
    <w:link w:val="CopyrightlegalChar"/>
    <w:uiPriority w:val="13"/>
    <w:rsid w:val="00DE6D5C"/>
    <w:pPr>
      <w:widowControl w:val="0"/>
      <w:autoSpaceDE w:val="0"/>
      <w:autoSpaceDN w:val="0"/>
      <w:spacing w:after="80" w:line="160" w:lineRule="atLeast"/>
      <w:ind w:right="86"/>
      <w:jc w:val="both"/>
    </w:pPr>
    <w:rPr>
      <w:rFonts w:eastAsia="Oracle Sans" w:cs="Oracle Sans"/>
      <w:sz w:val="12"/>
      <w:szCs w:val="22"/>
      <w:lang w:bidi="en-GB"/>
    </w:rPr>
  </w:style>
  <w:style w:type="character" w:customStyle="1" w:styleId="CopyrightlegalChar">
    <w:name w:val="Copyright legal Char"/>
    <w:basedOn w:val="DefaultParagraphFont"/>
    <w:link w:val="Copyrightlegal"/>
    <w:uiPriority w:val="13"/>
    <w:rsid w:val="00DE6D5C"/>
    <w:rPr>
      <w:rFonts w:eastAsia="Oracle Sans" w:cs="Oracle Sans"/>
      <w:sz w:val="12"/>
      <w:szCs w:val="22"/>
      <w:lang w:bidi="en-GB"/>
      <w14:numSpacing w14:val="tabular"/>
    </w:rPr>
  </w:style>
  <w:style w:type="paragraph" w:customStyle="1" w:styleId="CopyrightsocialURL">
    <w:name w:val="Copyright social URL"/>
    <w:basedOn w:val="Copyrightcontact"/>
    <w:uiPriority w:val="13"/>
    <w:rsid w:val="00DE6D5C"/>
    <w:pPr>
      <w:tabs>
        <w:tab w:val="left" w:pos="315"/>
        <w:tab w:val="left" w:pos="2466"/>
        <w:tab w:val="left" w:pos="4995"/>
      </w:tabs>
      <w:spacing w:after="220"/>
    </w:pPr>
    <w:rPr>
      <w:sz w:val="16"/>
      <w:szCs w:val="16"/>
    </w:rPr>
  </w:style>
  <w:style w:type="paragraph" w:styleId="NoSpacing">
    <w:name w:val="No Spacing"/>
    <w:basedOn w:val="Normal"/>
    <w:link w:val="NoSpacingChar"/>
    <w:uiPriority w:val="1"/>
    <w:qFormat/>
    <w:rsid w:val="007A4F11"/>
    <w:pPr>
      <w:spacing w:after="0"/>
    </w:pPr>
    <w:rPr>
      <w:rFonts w:eastAsiaTheme="minorEastAsia"/>
    </w:rPr>
  </w:style>
  <w:style w:type="character" w:customStyle="1" w:styleId="NoSpacingChar">
    <w:name w:val="No Spacing Char"/>
    <w:basedOn w:val="DefaultParagraphFont"/>
    <w:link w:val="NoSpacing"/>
    <w:uiPriority w:val="1"/>
    <w:rsid w:val="007A4F11"/>
    <w:rPr>
      <w:rFonts w:eastAsiaTheme="minorEastAsia"/>
      <w14:numSpacing w14:val="tabular"/>
    </w:rPr>
  </w:style>
  <w:style w:type="paragraph" w:customStyle="1" w:styleId="CoverdateandInfo">
    <w:name w:val="Cover date and Info"/>
    <w:basedOn w:val="NoSpacing"/>
    <w:link w:val="CoverdateandInfoChar"/>
    <w:uiPriority w:val="99"/>
    <w:rsid w:val="0020210E"/>
    <w:pPr>
      <w:spacing w:line="240" w:lineRule="atLeast"/>
      <w:ind w:right="5040"/>
      <w:contextualSpacing/>
    </w:pPr>
    <w:rPr>
      <w:sz w:val="18"/>
    </w:rPr>
  </w:style>
  <w:style w:type="character" w:customStyle="1" w:styleId="CoverdateandInfoChar">
    <w:name w:val="Cover date and Info Char"/>
    <w:basedOn w:val="NoSpacingChar"/>
    <w:link w:val="CoverdateandInfo"/>
    <w:uiPriority w:val="99"/>
    <w:rsid w:val="0020210E"/>
    <w:rPr>
      <w:rFonts w:eastAsiaTheme="minorEastAsia"/>
      <w:sz w:val="18"/>
      <w14:numSpacing w14:val="tabular"/>
    </w:rPr>
  </w:style>
  <w:style w:type="paragraph" w:styleId="Footer">
    <w:name w:val="footer"/>
    <w:aliases w:val="Footer 7pt"/>
    <w:basedOn w:val="Normal"/>
    <w:link w:val="FooterChar"/>
    <w:uiPriority w:val="99"/>
    <w:unhideWhenUsed/>
    <w:rsid w:val="00DE6D5C"/>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DE6D5C"/>
    <w:rPr>
      <w:sz w:val="14"/>
      <w14:numSpacing w14:val="tabular"/>
    </w:rPr>
  </w:style>
  <w:style w:type="paragraph" w:customStyle="1" w:styleId="Footerline26pt">
    <w:name w:val="Footer line 2 6pt"/>
    <w:basedOn w:val="Footer"/>
    <w:uiPriority w:val="14"/>
    <w:rsid w:val="00DE6D5C"/>
    <w:pPr>
      <w:spacing w:after="0"/>
    </w:pPr>
    <w:rPr>
      <w:sz w:val="12"/>
    </w:rPr>
  </w:style>
  <w:style w:type="character" w:styleId="FootnoteReference">
    <w:name w:val="footnote reference"/>
    <w:basedOn w:val="DefaultParagraphFont"/>
    <w:uiPriority w:val="99"/>
    <w:rsid w:val="00DE6D5C"/>
    <w:rPr>
      <w:vertAlign w:val="superscript"/>
    </w:rPr>
  </w:style>
  <w:style w:type="paragraph" w:styleId="FootnoteText">
    <w:name w:val="footnote text"/>
    <w:basedOn w:val="Normal"/>
    <w:link w:val="FootnoteTextChar"/>
    <w:uiPriority w:val="99"/>
    <w:rsid w:val="00DE6D5C"/>
    <w:pPr>
      <w:spacing w:after="0" w:line="240" w:lineRule="auto"/>
    </w:pPr>
    <w:rPr>
      <w:rFonts w:eastAsiaTheme="minorEastAsia"/>
      <w:sz w:val="14"/>
      <w:szCs w:val="20"/>
    </w:rPr>
  </w:style>
  <w:style w:type="character" w:customStyle="1" w:styleId="FootnoteTextChar">
    <w:name w:val="Footnote Text Char"/>
    <w:basedOn w:val="DefaultParagraphFont"/>
    <w:link w:val="FootnoteText"/>
    <w:uiPriority w:val="99"/>
    <w:rsid w:val="00DE6D5C"/>
    <w:rPr>
      <w:rFonts w:eastAsiaTheme="minorEastAsia"/>
      <w:sz w:val="14"/>
      <w:szCs w:val="20"/>
      <w14:numSpacing w14:val="tabular"/>
    </w:rPr>
  </w:style>
  <w:style w:type="paragraph" w:styleId="Header">
    <w:name w:val="header"/>
    <w:basedOn w:val="Normal"/>
    <w:link w:val="HeaderChar"/>
    <w:uiPriority w:val="99"/>
    <w:unhideWhenUsed/>
    <w:rsid w:val="00DE6D5C"/>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DE6D5C"/>
    <w:rPr>
      <w:rFonts w:eastAsiaTheme="minorEastAsia"/>
      <w14:numSpacing w14:val="tabular"/>
    </w:rPr>
  </w:style>
  <w:style w:type="character" w:styleId="Hyperlink">
    <w:name w:val="Hyperlink"/>
    <w:basedOn w:val="DefaultParagraphFont"/>
    <w:uiPriority w:val="99"/>
    <w:unhideWhenUsed/>
    <w:rsid w:val="00DE6D5C"/>
    <w:rPr>
      <w:color w:val="2C5967"/>
      <w:u w:val="single"/>
    </w:rPr>
  </w:style>
  <w:style w:type="paragraph" w:customStyle="1" w:styleId="Instructions">
    <w:name w:val="Instructions"/>
    <w:basedOn w:val="Normal"/>
    <w:uiPriority w:val="99"/>
    <w:rsid w:val="00DE6D5C"/>
    <w:pPr>
      <w:spacing w:after="0" w:line="160" w:lineRule="atLeast"/>
      <w:ind w:right="3154"/>
      <w:jc w:val="both"/>
    </w:pPr>
    <w:rPr>
      <w:sz w:val="12"/>
      <w:szCs w:val="12"/>
    </w:rPr>
  </w:style>
  <w:style w:type="paragraph" w:styleId="TOCHeading">
    <w:name w:val="TOC Heading"/>
    <w:basedOn w:val="Heading1"/>
    <w:next w:val="Normal"/>
    <w:uiPriority w:val="39"/>
    <w:unhideWhenUsed/>
    <w:rsid w:val="00281F62"/>
    <w:pPr>
      <w:pBdr>
        <w:bottom w:val="single" w:sz="4" w:space="15" w:color="auto"/>
      </w:pBdr>
      <w:spacing w:before="0"/>
      <w:ind w:right="2822"/>
      <w:outlineLvl w:val="9"/>
    </w:pPr>
    <w:rPr>
      <w:rFonts w:eastAsiaTheme="majorEastAsia" w:cstheme="majorBidi"/>
      <w:bCs w:val="0"/>
      <w:sz w:val="26"/>
      <w:szCs w:val="26"/>
    </w:rPr>
  </w:style>
  <w:style w:type="paragraph" w:customStyle="1" w:styleId="Listofimagestables">
    <w:name w:val="List of images+tables"/>
    <w:basedOn w:val="TOCHeading"/>
    <w:uiPriority w:val="99"/>
    <w:rsid w:val="00DE6D5C"/>
    <w:pPr>
      <w:pBdr>
        <w:top w:val="single" w:sz="2" w:space="7" w:color="auto"/>
        <w:bottom w:val="none" w:sz="0" w:space="0" w:color="auto"/>
      </w:pBdr>
      <w:spacing w:after="65" w:line="320" w:lineRule="atLeast"/>
    </w:pPr>
    <w:rPr>
      <w:sz w:val="19"/>
    </w:rPr>
  </w:style>
  <w:style w:type="character" w:styleId="PlaceholderText">
    <w:name w:val="Placeholder Text"/>
    <w:basedOn w:val="DefaultParagraphFont"/>
    <w:uiPriority w:val="99"/>
    <w:rsid w:val="00535373"/>
    <w:rPr>
      <w:color w:val="AE562C"/>
    </w:rPr>
  </w:style>
  <w:style w:type="paragraph" w:customStyle="1" w:styleId="Referencebody">
    <w:name w:val="Reference body"/>
    <w:basedOn w:val="Normal"/>
    <w:link w:val="ReferencebodyChar"/>
    <w:uiPriority w:val="12"/>
    <w:qFormat/>
    <w:rsid w:val="007A4F11"/>
    <w:pPr>
      <w:keepNext/>
      <w:keepLines/>
      <w:pBdr>
        <w:top w:val="single" w:sz="36" w:space="4" w:color="F1EFED"/>
        <w:left w:val="single" w:sz="36" w:space="4" w:color="F1EFED"/>
        <w:bottom w:val="single" w:sz="36" w:space="4" w:color="F1EFED"/>
        <w:right w:val="single" w:sz="36" w:space="4" w:color="F1EFED"/>
      </w:pBdr>
      <w:shd w:val="clear" w:color="auto" w:fill="F1EFED"/>
      <w:spacing w:after="110" w:line="220" w:lineRule="atLeast"/>
      <w:ind w:left="576" w:right="576"/>
    </w:pPr>
    <w:rPr>
      <w:rFonts w:asciiTheme="majorHAnsi" w:hAnsiTheme="majorHAnsi"/>
      <w:sz w:val="18"/>
      <w:szCs w:val="18"/>
    </w:rPr>
  </w:style>
  <w:style w:type="character" w:customStyle="1" w:styleId="ReferencebodyChar">
    <w:name w:val="Reference body Char"/>
    <w:basedOn w:val="DefaultParagraphFont"/>
    <w:link w:val="Referencebody"/>
    <w:uiPriority w:val="12"/>
    <w:rsid w:val="007A4F11"/>
    <w:rPr>
      <w:rFonts w:asciiTheme="majorHAnsi" w:hAnsiTheme="majorHAnsi"/>
      <w:sz w:val="18"/>
      <w:szCs w:val="18"/>
      <w:shd w:val="clear" w:color="auto" w:fill="F1EFED"/>
      <w14:numSpacing w14:val="tabular"/>
    </w:rPr>
  </w:style>
  <w:style w:type="paragraph" w:customStyle="1" w:styleId="Referenceheading">
    <w:name w:val="Reference heading"/>
    <w:basedOn w:val="Referencebody"/>
    <w:next w:val="Referencebody"/>
    <w:link w:val="ReferenceheadingChar"/>
    <w:uiPriority w:val="12"/>
    <w:qFormat/>
    <w:rsid w:val="007A4F11"/>
    <w:pPr>
      <w:spacing w:after="120"/>
    </w:pPr>
    <w:rPr>
      <w:bCs/>
      <w:color w:val="161513"/>
      <w:sz w:val="28"/>
    </w:rPr>
  </w:style>
  <w:style w:type="character" w:customStyle="1" w:styleId="ReferenceheadingChar">
    <w:name w:val="Reference heading Char"/>
    <w:basedOn w:val="ReferencebodyChar"/>
    <w:link w:val="Referenceheading"/>
    <w:uiPriority w:val="12"/>
    <w:rsid w:val="007A4F11"/>
    <w:rPr>
      <w:rFonts w:asciiTheme="majorHAnsi" w:hAnsiTheme="majorHAnsi"/>
      <w:bCs/>
      <w:color w:val="161513"/>
      <w:sz w:val="28"/>
      <w:szCs w:val="18"/>
      <w:shd w:val="clear" w:color="auto" w:fill="F1EFED"/>
      <w14:numSpacing w14:val="tabular"/>
    </w:rPr>
  </w:style>
  <w:style w:type="paragraph" w:customStyle="1" w:styleId="Referencequotecredit">
    <w:name w:val="Reference quote credit"/>
    <w:basedOn w:val="Normal"/>
    <w:next w:val="Referencequotedetails"/>
    <w:link w:val="ReferencequotecreditChar"/>
    <w:uiPriority w:val="12"/>
    <w:qFormat/>
    <w:rsid w:val="007A4F11"/>
    <w:pPr>
      <w:keepNext/>
      <w:keepLines/>
      <w:spacing w:before="170" w:after="0" w:line="220" w:lineRule="atLeast"/>
    </w:pPr>
    <w:rPr>
      <w:rFonts w:asciiTheme="majorHAnsi" w:hAnsiTheme="majorHAnsi"/>
      <w:b/>
      <w:sz w:val="16"/>
      <w:szCs w:val="16"/>
    </w:rPr>
  </w:style>
  <w:style w:type="character" w:customStyle="1" w:styleId="ReferencequotecreditChar">
    <w:name w:val="Reference quote credit Char"/>
    <w:basedOn w:val="ReferencebodyChar"/>
    <w:link w:val="Referencequotecredit"/>
    <w:uiPriority w:val="12"/>
    <w:rsid w:val="007A4F11"/>
    <w:rPr>
      <w:rFonts w:asciiTheme="majorHAnsi" w:hAnsiTheme="majorHAnsi"/>
      <w:b/>
      <w:sz w:val="16"/>
      <w:szCs w:val="16"/>
      <w:shd w:val="clear" w:color="auto" w:fill="F1EFED"/>
      <w14:numSpacing w14:val="tabular"/>
    </w:rPr>
  </w:style>
  <w:style w:type="character" w:styleId="Strong">
    <w:name w:val="Strong"/>
    <w:uiPriority w:val="1"/>
    <w:qFormat/>
    <w:rsid w:val="007A4F11"/>
    <w:rPr>
      <w:b/>
      <w:bCs/>
    </w:rPr>
  </w:style>
  <w:style w:type="paragraph" w:styleId="Subtitle">
    <w:name w:val="Subtitle"/>
    <w:basedOn w:val="Normal"/>
    <w:next w:val="Normal"/>
    <w:link w:val="SubtitleChar"/>
    <w:uiPriority w:val="99"/>
    <w:qFormat/>
    <w:rsid w:val="007A4F11"/>
    <w:pPr>
      <w:numPr>
        <w:ilvl w:val="1"/>
      </w:numPr>
      <w:spacing w:after="340" w:line="320" w:lineRule="atLeast"/>
      <w:ind w:right="1440"/>
    </w:pPr>
    <w:rPr>
      <w:rFonts w:eastAsiaTheme="majorEastAsia" w:cstheme="majorBidi"/>
      <w:iCs/>
      <w:sz w:val="22"/>
      <w:szCs w:val="24"/>
    </w:rPr>
  </w:style>
  <w:style w:type="character" w:customStyle="1" w:styleId="SubtitleChar">
    <w:name w:val="Subtitle Char"/>
    <w:basedOn w:val="DefaultParagraphFont"/>
    <w:link w:val="Subtitle"/>
    <w:uiPriority w:val="99"/>
    <w:rsid w:val="007A4F11"/>
    <w:rPr>
      <w:rFonts w:eastAsiaTheme="majorEastAsia" w:cstheme="majorBidi"/>
      <w:iCs/>
      <w:sz w:val="22"/>
      <w:szCs w:val="24"/>
      <w14:numSpacing w14:val="tabular"/>
    </w:rPr>
  </w:style>
  <w:style w:type="paragraph" w:styleId="TOC2">
    <w:name w:val="toc 2"/>
    <w:basedOn w:val="Normal"/>
    <w:next w:val="Normal"/>
    <w:autoRedefine/>
    <w:uiPriority w:val="39"/>
    <w:rsid w:val="00B76394"/>
    <w:pPr>
      <w:tabs>
        <w:tab w:val="right" w:pos="6926"/>
      </w:tabs>
      <w:spacing w:after="65"/>
      <w:ind w:left="216" w:right="3427"/>
    </w:pPr>
    <w:rPr>
      <w:noProof/>
      <w:szCs w:val="15"/>
    </w:rPr>
  </w:style>
  <w:style w:type="paragraph" w:styleId="TableofFigures">
    <w:name w:val="table of figures"/>
    <w:basedOn w:val="TOC2"/>
    <w:next w:val="Normal"/>
    <w:uiPriority w:val="99"/>
    <w:rsid w:val="00A6165D"/>
    <w:pPr>
      <w:keepNext/>
      <w:keepLines/>
    </w:pPr>
    <w:rPr>
      <w:rFonts w:eastAsiaTheme="minorEastAsia"/>
    </w:rPr>
  </w:style>
  <w:style w:type="paragraph" w:styleId="Title">
    <w:name w:val="Title"/>
    <w:basedOn w:val="Normal"/>
    <w:link w:val="TitleChar"/>
    <w:uiPriority w:val="99"/>
    <w:qFormat/>
    <w:rsid w:val="007A4F11"/>
    <w:pPr>
      <w:spacing w:before="4000" w:after="300" w:line="640" w:lineRule="atLeast"/>
      <w:ind w:right="1440"/>
      <w:contextualSpacing/>
    </w:pPr>
    <w:rPr>
      <w:rFonts w:ascii="Oracle Sans Light" w:eastAsiaTheme="majorEastAsia" w:hAnsi="Oracle Sans Light" w:cstheme="majorBidi"/>
      <w:kern w:val="28"/>
      <w:sz w:val="72"/>
      <w:szCs w:val="72"/>
    </w:rPr>
  </w:style>
  <w:style w:type="character" w:customStyle="1" w:styleId="TitleChar">
    <w:name w:val="Title Char"/>
    <w:basedOn w:val="DefaultParagraphFont"/>
    <w:link w:val="Title"/>
    <w:uiPriority w:val="99"/>
    <w:rsid w:val="007A4F11"/>
    <w:rPr>
      <w:rFonts w:ascii="Oracle Sans Light" w:eastAsiaTheme="majorEastAsia" w:hAnsi="Oracle Sans Light" w:cstheme="majorBidi"/>
      <w:kern w:val="28"/>
      <w:sz w:val="72"/>
      <w:szCs w:val="72"/>
      <w14:numSpacing w14:val="tabular"/>
    </w:rPr>
  </w:style>
  <w:style w:type="paragraph" w:styleId="TOC1">
    <w:name w:val="toc 1"/>
    <w:basedOn w:val="Normal"/>
    <w:next w:val="Normal"/>
    <w:autoRedefine/>
    <w:uiPriority w:val="39"/>
    <w:rsid w:val="00B76394"/>
    <w:pPr>
      <w:tabs>
        <w:tab w:val="right" w:pos="6930"/>
      </w:tabs>
      <w:spacing w:after="65"/>
      <w:ind w:right="3420"/>
    </w:pPr>
    <w:rPr>
      <w:b/>
      <w:bCs/>
      <w:noProof/>
      <w:szCs w:val="16"/>
    </w:rPr>
  </w:style>
  <w:style w:type="paragraph" w:customStyle="1" w:styleId="Connectwithuslastpage">
    <w:name w:val="Connect with us (last page)"/>
    <w:basedOn w:val="Normal"/>
    <w:qFormat/>
    <w:rsid w:val="007F4641"/>
    <w:pPr>
      <w:widowControl w:val="0"/>
      <w:autoSpaceDE w:val="0"/>
      <w:autoSpaceDN w:val="0"/>
      <w:spacing w:before="10800" w:after="180" w:line="240" w:lineRule="atLeast"/>
    </w:pPr>
    <w:rPr>
      <w:rFonts w:eastAsia="Oracle Sans" w:cs="Oracle Sans"/>
      <w:b/>
      <w:bCs/>
      <w:lang w:bidi="en-GB"/>
    </w:rPr>
  </w:style>
  <w:style w:type="paragraph" w:customStyle="1" w:styleId="Checkboxbulletsblack">
    <w:name w:val="Checkbox bullets black"/>
    <w:basedOn w:val="Normal"/>
    <w:qFormat/>
    <w:rsid w:val="007A4F11"/>
    <w:pPr>
      <w:keepNext/>
      <w:keepLines/>
      <w:numPr>
        <w:numId w:val="25"/>
      </w:numPr>
      <w:pBdr>
        <w:top w:val="single" w:sz="18" w:space="9" w:color="auto"/>
        <w:left w:val="single" w:sz="18" w:space="9" w:color="auto"/>
        <w:bottom w:val="single" w:sz="18" w:space="9" w:color="auto"/>
        <w:right w:val="single" w:sz="18" w:space="9" w:color="auto"/>
      </w:pBdr>
      <w:spacing w:before="120"/>
      <w:ind w:right="720"/>
    </w:pPr>
    <w:rPr>
      <w:b/>
    </w:rPr>
  </w:style>
  <w:style w:type="paragraph" w:customStyle="1" w:styleId="Checkboxbulletssolidblack">
    <w:name w:val="Checkbox bullets solid black"/>
    <w:basedOn w:val="Checkboxbulletsblack"/>
    <w:qFormat/>
    <w:rsid w:val="007A4F11"/>
    <w:pPr>
      <w:numPr>
        <w:numId w:val="37"/>
      </w:numPr>
      <w:pBdr>
        <w:top w:val="single" w:sz="36" w:space="9" w:color="auto"/>
        <w:left w:val="single" w:sz="36" w:space="9" w:color="auto"/>
        <w:bottom w:val="single" w:sz="36" w:space="9" w:color="auto"/>
        <w:right w:val="single" w:sz="36" w:space="9" w:color="auto"/>
      </w:pBdr>
      <w:shd w:val="clear" w:color="auto" w:fill="000000" w:themeFill="text1"/>
      <w:spacing w:before="180" w:after="180" w:line="240" w:lineRule="auto"/>
    </w:pPr>
    <w:rPr>
      <w:color w:val="FFFFFF" w:themeColor="background1"/>
      <w:spacing w:val="10"/>
      <w:sz w:val="20"/>
    </w:rPr>
  </w:style>
  <w:style w:type="paragraph" w:customStyle="1" w:styleId="Referencegraphic6width">
    <w:name w:val="Reference graphic (6&quot; width)"/>
    <w:basedOn w:val="Referencebody"/>
    <w:next w:val="NoSpacing"/>
    <w:qFormat/>
    <w:rsid w:val="007A4F11"/>
    <w:pPr>
      <w:keepNext w:val="0"/>
      <w:keepLines w:val="0"/>
      <w:spacing w:before="240"/>
      <w:jc w:val="center"/>
    </w:pPr>
  </w:style>
  <w:style w:type="paragraph" w:customStyle="1" w:styleId="Graphicright">
    <w:name w:val="Graphic right"/>
    <w:basedOn w:val="Normal"/>
    <w:qFormat/>
    <w:rsid w:val="007A4F11"/>
    <w:pPr>
      <w:spacing w:before="240" w:after="240"/>
      <w:jc w:val="right"/>
    </w:pPr>
  </w:style>
  <w:style w:type="paragraph" w:customStyle="1" w:styleId="Graphicleft">
    <w:name w:val="Graphic left"/>
    <w:basedOn w:val="Graphicright"/>
    <w:qFormat/>
    <w:rsid w:val="007A4F11"/>
    <w:pPr>
      <w:jc w:val="left"/>
    </w:pPr>
    <w:rPr>
      <w:noProof/>
    </w:rPr>
  </w:style>
  <w:style w:type="paragraph" w:customStyle="1" w:styleId="Referencequoteindent">
    <w:name w:val="Reference quote indent"/>
    <w:basedOn w:val="Normal"/>
    <w:qFormat/>
    <w:rsid w:val="007A4F11"/>
    <w:pPr>
      <w:keepNext/>
      <w:keepLines/>
      <w:shd w:val="clear" w:color="auto" w:fill="FFFFFF" w:themeFill="background1"/>
      <w:spacing w:before="400" w:after="0" w:line="240" w:lineRule="auto"/>
      <w:ind w:left="1440" w:right="1440"/>
    </w:pPr>
    <w:rPr>
      <w:rFonts w:asciiTheme="majorHAnsi" w:eastAsia="Times New Roman" w:hAnsiTheme="majorHAnsi" w:cs="Times New Roman"/>
      <w:color w:val="AE562C"/>
      <w:sz w:val="32"/>
      <w:szCs w:val="32"/>
      <w14:numSpacing w14:val="default"/>
    </w:rPr>
  </w:style>
  <w:style w:type="paragraph" w:customStyle="1" w:styleId="Coverdropdown">
    <w:name w:val="Cover dropdown"/>
    <w:basedOn w:val="Normal"/>
    <w:qFormat/>
    <w:rsid w:val="007A4F11"/>
    <w:pPr>
      <w:spacing w:after="720" w:line="240" w:lineRule="atLeast"/>
      <w:ind w:right="5040"/>
    </w:pPr>
    <w:rPr>
      <w:rFonts w:eastAsiaTheme="minorEastAsia"/>
      <w:sz w:val="18"/>
    </w:rPr>
  </w:style>
  <w:style w:type="character" w:customStyle="1" w:styleId="Heading3Char">
    <w:name w:val="Heading 3 Char"/>
    <w:basedOn w:val="DefaultParagraphFont"/>
    <w:link w:val="Heading3"/>
    <w:uiPriority w:val="4"/>
    <w:rsid w:val="007A4F11"/>
    <w:rPr>
      <w:rFonts w:ascii="Oracle Sans Extra Bold" w:hAnsi="Oracle Sans Extra Bold"/>
      <w:sz w:val="25"/>
      <w:szCs w:val="25"/>
      <w14:numSpacing w14:val="tabular"/>
    </w:rPr>
  </w:style>
  <w:style w:type="character" w:customStyle="1" w:styleId="Heading4Char">
    <w:name w:val="Heading 4 Char"/>
    <w:basedOn w:val="DefaultParagraphFont"/>
    <w:link w:val="Heading4"/>
    <w:uiPriority w:val="4"/>
    <w:rsid w:val="0037760E"/>
    <w:rPr>
      <w:rFonts w:ascii="Oracle Sans Semi Bold" w:hAnsi="Oracle Sans Semi Bold"/>
      <w:b/>
      <w:sz w:val="23"/>
      <w:szCs w:val="23"/>
      <w14:numSpacing w14:val="tabular"/>
    </w:rPr>
  </w:style>
  <w:style w:type="character" w:customStyle="1" w:styleId="Heading5Char">
    <w:name w:val="Heading 5 Char"/>
    <w:basedOn w:val="DefaultParagraphFont"/>
    <w:link w:val="Heading5"/>
    <w:uiPriority w:val="4"/>
    <w:rsid w:val="0037760E"/>
    <w:rPr>
      <w:b/>
      <w:sz w:val="21"/>
      <w:szCs w:val="21"/>
      <w14:numSpacing w14:val="tabular"/>
    </w:rPr>
  </w:style>
  <w:style w:type="paragraph" w:styleId="TOC3">
    <w:name w:val="toc 3"/>
    <w:basedOn w:val="Normal"/>
    <w:next w:val="Normal"/>
    <w:autoRedefine/>
    <w:uiPriority w:val="39"/>
    <w:rsid w:val="00B76394"/>
    <w:pPr>
      <w:tabs>
        <w:tab w:val="right" w:pos="6926"/>
      </w:tabs>
      <w:spacing w:after="65"/>
      <w:ind w:left="432" w:right="3427"/>
    </w:pPr>
    <w:rPr>
      <w:noProof/>
      <w:szCs w:val="15"/>
    </w:rPr>
  </w:style>
  <w:style w:type="paragraph" w:styleId="Caption">
    <w:name w:val="caption"/>
    <w:basedOn w:val="Normal"/>
    <w:next w:val="Normal"/>
    <w:link w:val="CaptionChar"/>
    <w:uiPriority w:val="99"/>
    <w:rsid w:val="00DE6D5C"/>
    <w:pPr>
      <w:keepNext/>
      <w:keepLines/>
      <w:spacing w:before="240"/>
    </w:pPr>
    <w:rPr>
      <w:rFonts w:eastAsiaTheme="minorEastAsia"/>
      <w:bCs/>
      <w:sz w:val="15"/>
    </w:rPr>
  </w:style>
  <w:style w:type="character" w:customStyle="1" w:styleId="CaptionChar">
    <w:name w:val="Caption Char"/>
    <w:basedOn w:val="DefaultParagraphFont"/>
    <w:link w:val="Caption"/>
    <w:uiPriority w:val="99"/>
    <w:rsid w:val="00DE6D5C"/>
    <w:rPr>
      <w:rFonts w:eastAsiaTheme="minorEastAsia"/>
      <w:bCs/>
      <w:sz w:val="15"/>
      <w14:numSpacing w14:val="tabular"/>
    </w:rPr>
  </w:style>
  <w:style w:type="paragraph" w:customStyle="1" w:styleId="Referencequote">
    <w:name w:val="Reference quote"/>
    <w:basedOn w:val="Normal"/>
    <w:qFormat/>
    <w:rsid w:val="007A4F11"/>
    <w:pPr>
      <w:spacing w:after="0" w:line="240" w:lineRule="auto"/>
    </w:pPr>
    <w:rPr>
      <w:rFonts w:asciiTheme="majorHAnsi" w:hAnsiTheme="majorHAnsi"/>
      <w:color w:val="AE562C"/>
      <w:sz w:val="24"/>
    </w:rPr>
  </w:style>
  <w:style w:type="paragraph" w:customStyle="1" w:styleId="Referencequoteblack">
    <w:name w:val="Reference quote black"/>
    <w:basedOn w:val="Normal"/>
    <w:qFormat/>
    <w:rsid w:val="007A4F11"/>
    <w:pPr>
      <w:spacing w:before="400" w:after="0" w:line="240" w:lineRule="auto"/>
    </w:pPr>
    <w:rPr>
      <w:rFonts w:asciiTheme="majorHAnsi" w:hAnsiTheme="majorHAnsi"/>
      <w:color w:val="000000" w:themeColor="text1"/>
      <w:sz w:val="24"/>
    </w:rPr>
  </w:style>
  <w:style w:type="paragraph" w:customStyle="1" w:styleId="Referencequote130pillar">
    <w:name w:val="Reference quote 130 pillar"/>
    <w:basedOn w:val="Referencequoteblack"/>
    <w:qFormat/>
    <w:rsid w:val="007A4F11"/>
    <w:pPr>
      <w:keepNext/>
      <w:keepLines/>
    </w:pPr>
    <w:rPr>
      <w:color w:val="5C5651"/>
    </w:rPr>
  </w:style>
  <w:style w:type="paragraph" w:customStyle="1" w:styleId="Referencequoteindentcredit">
    <w:name w:val="Reference quote indent credit"/>
    <w:basedOn w:val="Referencequotecredit"/>
    <w:qFormat/>
    <w:rsid w:val="007A4F11"/>
    <w:pPr>
      <w:ind w:left="1440" w:right="1440"/>
    </w:pPr>
    <w:rPr>
      <w:rFonts w:asciiTheme="minorHAnsi" w:hAnsiTheme="minorHAnsi"/>
    </w:rPr>
  </w:style>
  <w:style w:type="paragraph" w:customStyle="1" w:styleId="Code">
    <w:name w:val="Code"/>
    <w:basedOn w:val="Normal"/>
    <w:next w:val="Normal"/>
    <w:link w:val="CodeChar"/>
    <w:uiPriority w:val="3"/>
    <w:qFormat/>
    <w:rsid w:val="007A4F11"/>
    <w:pPr>
      <w:keepNext/>
      <w:keepLines/>
    </w:pPr>
    <w:rPr>
      <w:rFonts w:ascii="Consolas" w:hAnsi="Consolas"/>
      <w:noProof/>
    </w:rPr>
  </w:style>
  <w:style w:type="character" w:customStyle="1" w:styleId="CodeChar">
    <w:name w:val="Code Char"/>
    <w:basedOn w:val="DefaultParagraphFont"/>
    <w:link w:val="Code"/>
    <w:uiPriority w:val="3"/>
    <w:rsid w:val="007A4F11"/>
    <w:rPr>
      <w:rFonts w:ascii="Consolas" w:hAnsi="Consolas"/>
      <w:noProof/>
      <w14:numSpacing w14:val="tabular"/>
    </w:rPr>
  </w:style>
  <w:style w:type="paragraph" w:customStyle="1" w:styleId="CopyrightH1">
    <w:name w:val="Copyright H1"/>
    <w:basedOn w:val="Normal"/>
    <w:uiPriority w:val="13"/>
    <w:rsid w:val="00DE6D5C"/>
    <w:pPr>
      <w:widowControl w:val="0"/>
      <w:autoSpaceDE w:val="0"/>
      <w:autoSpaceDN w:val="0"/>
      <w:spacing w:before="80" w:after="180" w:line="240" w:lineRule="atLeast"/>
    </w:pPr>
    <w:rPr>
      <w:rFonts w:asciiTheme="majorHAnsi" w:eastAsia="Oracle Sans" w:hAnsiTheme="majorHAnsi" w:cs="Oracle Sans"/>
      <w:bCs/>
      <w:lang w:bidi="en-GB"/>
    </w:rPr>
  </w:style>
  <w:style w:type="paragraph" w:customStyle="1" w:styleId="Coverinfo">
    <w:name w:val="Cover info"/>
    <w:basedOn w:val="CoverdateandInfo"/>
    <w:link w:val="CoverinfoChar"/>
    <w:uiPriority w:val="99"/>
    <w:rsid w:val="00DE6D5C"/>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DE6D5C"/>
    <w:rPr>
      <w:rFonts w:ascii="Oracle Sans Extra Bold" w:eastAsiaTheme="minorEastAsia" w:hAnsi="Oracle Sans Extra Bold"/>
      <w:sz w:val="18"/>
      <w14:numSpacing w14:val="tabular"/>
    </w:rPr>
  </w:style>
  <w:style w:type="character" w:styleId="Emphasis">
    <w:name w:val="Emphasis"/>
    <w:uiPriority w:val="99"/>
    <w:rsid w:val="00DE6D5C"/>
    <w:rPr>
      <w:i/>
      <w:iCs/>
    </w:rPr>
  </w:style>
  <w:style w:type="character" w:styleId="FollowedHyperlink">
    <w:name w:val="FollowedHyperlink"/>
    <w:basedOn w:val="DefaultParagraphFont"/>
    <w:uiPriority w:val="39"/>
    <w:unhideWhenUsed/>
    <w:rsid w:val="00DE6D5C"/>
    <w:rPr>
      <w:color w:val="2C5967" w:themeColor="followedHyperlink"/>
      <w:u w:val="single"/>
    </w:rPr>
  </w:style>
  <w:style w:type="paragraph" w:customStyle="1" w:styleId="Footerinformation">
    <w:name w:val="Footer information"/>
    <w:basedOn w:val="Normal"/>
    <w:link w:val="FooterinformationChar"/>
    <w:uiPriority w:val="14"/>
    <w:rsid w:val="00DE6D5C"/>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DE6D5C"/>
    <w:rPr>
      <w:sz w:val="12"/>
      <w:szCs w:val="12"/>
      <w14:numSpacing w14:val="tabular"/>
    </w:rPr>
  </w:style>
  <w:style w:type="paragraph" w:styleId="ListNumber">
    <w:name w:val="List Number"/>
    <w:basedOn w:val="Normal"/>
    <w:uiPriority w:val="99"/>
    <w:rsid w:val="00DE6D5C"/>
    <w:pPr>
      <w:numPr>
        <w:numId w:val="8"/>
      </w:numPr>
    </w:pPr>
    <w:rPr>
      <w:rFonts w:eastAsiaTheme="minorEastAsia"/>
    </w:rPr>
  </w:style>
  <w:style w:type="paragraph" w:customStyle="1" w:styleId="Normalbullet">
    <w:name w:val="Normal bullet"/>
    <w:basedOn w:val="Normal"/>
    <w:uiPriority w:val="2"/>
    <w:qFormat/>
    <w:rsid w:val="007A4F11"/>
    <w:pPr>
      <w:numPr>
        <w:numId w:val="28"/>
      </w:numPr>
    </w:pPr>
  </w:style>
  <w:style w:type="paragraph" w:customStyle="1" w:styleId="Normalbullet1">
    <w:name w:val="Normal bullet 1"/>
    <w:basedOn w:val="Normalbullet"/>
    <w:uiPriority w:val="2"/>
    <w:qFormat/>
    <w:rsid w:val="007A4F11"/>
    <w:pPr>
      <w:numPr>
        <w:ilvl w:val="1"/>
      </w:numPr>
    </w:pPr>
  </w:style>
  <w:style w:type="paragraph" w:customStyle="1" w:styleId="Normalbullet2">
    <w:name w:val="Normal bullet 2"/>
    <w:basedOn w:val="Normalbullet"/>
    <w:uiPriority w:val="99"/>
    <w:rsid w:val="00DE6D5C"/>
    <w:pPr>
      <w:numPr>
        <w:ilvl w:val="2"/>
      </w:numPr>
    </w:pPr>
  </w:style>
  <w:style w:type="paragraph" w:customStyle="1" w:styleId="Normalbullet3">
    <w:name w:val="Normal bullet 3"/>
    <w:basedOn w:val="Normalbullet"/>
    <w:uiPriority w:val="99"/>
    <w:rsid w:val="00DE6D5C"/>
    <w:pPr>
      <w:numPr>
        <w:ilvl w:val="3"/>
      </w:numPr>
    </w:pPr>
  </w:style>
  <w:style w:type="paragraph" w:customStyle="1" w:styleId="Normalbullet4">
    <w:name w:val="Normal bullet 4"/>
    <w:basedOn w:val="Normalbullet"/>
    <w:uiPriority w:val="99"/>
    <w:rsid w:val="00DE6D5C"/>
    <w:pPr>
      <w:numPr>
        <w:ilvl w:val="4"/>
      </w:numPr>
    </w:pPr>
  </w:style>
  <w:style w:type="paragraph" w:customStyle="1" w:styleId="Normalbullet5">
    <w:name w:val="Normal bullet 5"/>
    <w:basedOn w:val="Normalbullet4"/>
    <w:uiPriority w:val="99"/>
    <w:rsid w:val="00DE6D5C"/>
    <w:pPr>
      <w:numPr>
        <w:ilvl w:val="5"/>
      </w:numPr>
    </w:pPr>
  </w:style>
  <w:style w:type="paragraph" w:customStyle="1" w:styleId="Normalbullet6">
    <w:name w:val="Normal bullet 6"/>
    <w:basedOn w:val="Normalbullet5"/>
    <w:uiPriority w:val="99"/>
    <w:rsid w:val="00DE6D5C"/>
    <w:pPr>
      <w:numPr>
        <w:ilvl w:val="6"/>
      </w:numPr>
    </w:pPr>
  </w:style>
  <w:style w:type="paragraph" w:customStyle="1" w:styleId="Normaloutline1">
    <w:name w:val="Normal outline 1"/>
    <w:basedOn w:val="Normal"/>
    <w:uiPriority w:val="2"/>
    <w:qFormat/>
    <w:rsid w:val="007A4F11"/>
    <w:pPr>
      <w:numPr>
        <w:numId w:val="29"/>
      </w:numPr>
    </w:pPr>
  </w:style>
  <w:style w:type="paragraph" w:customStyle="1" w:styleId="Normaloutline2">
    <w:name w:val="Normal outline 2"/>
    <w:basedOn w:val="Normal"/>
    <w:uiPriority w:val="99"/>
    <w:rsid w:val="00DE6D5C"/>
    <w:pPr>
      <w:numPr>
        <w:ilvl w:val="1"/>
        <w:numId w:val="29"/>
      </w:numPr>
    </w:pPr>
  </w:style>
  <w:style w:type="paragraph" w:customStyle="1" w:styleId="Normaloutline3">
    <w:name w:val="Normal outline 3"/>
    <w:basedOn w:val="Normaloutline1"/>
    <w:uiPriority w:val="99"/>
    <w:rsid w:val="00DE6D5C"/>
    <w:pPr>
      <w:numPr>
        <w:ilvl w:val="2"/>
      </w:numPr>
    </w:pPr>
  </w:style>
  <w:style w:type="paragraph" w:customStyle="1" w:styleId="Normaloutline4">
    <w:name w:val="Normal outline 4"/>
    <w:basedOn w:val="Normaloutline1"/>
    <w:uiPriority w:val="99"/>
    <w:rsid w:val="00DE6D5C"/>
    <w:pPr>
      <w:numPr>
        <w:ilvl w:val="3"/>
      </w:numPr>
    </w:pPr>
  </w:style>
  <w:style w:type="paragraph" w:customStyle="1" w:styleId="Normaloutline5">
    <w:name w:val="Normal outline 5"/>
    <w:basedOn w:val="Normaloutline1"/>
    <w:uiPriority w:val="99"/>
    <w:rsid w:val="00DE6D5C"/>
    <w:pPr>
      <w:numPr>
        <w:ilvl w:val="4"/>
      </w:numPr>
    </w:pPr>
  </w:style>
  <w:style w:type="paragraph" w:customStyle="1" w:styleId="Normaloutline6">
    <w:name w:val="Normal outline 6"/>
    <w:basedOn w:val="Normaloutline1"/>
    <w:uiPriority w:val="99"/>
    <w:rsid w:val="00DE6D5C"/>
    <w:pPr>
      <w:numPr>
        <w:ilvl w:val="5"/>
      </w:numPr>
    </w:pPr>
  </w:style>
  <w:style w:type="paragraph" w:customStyle="1" w:styleId="Referencebullet">
    <w:name w:val="Reference bullet"/>
    <w:basedOn w:val="Referencebody"/>
    <w:link w:val="ReferencebulletChar"/>
    <w:uiPriority w:val="12"/>
    <w:qFormat/>
    <w:rsid w:val="007A4F11"/>
    <w:pPr>
      <w:numPr>
        <w:numId w:val="30"/>
      </w:numPr>
      <w:tabs>
        <w:tab w:val="left" w:pos="216"/>
      </w:tabs>
    </w:pPr>
  </w:style>
  <w:style w:type="character" w:customStyle="1" w:styleId="ReferencebulletChar">
    <w:name w:val="Reference bullet Char"/>
    <w:basedOn w:val="ReferencebodyChar"/>
    <w:link w:val="Referencebullet"/>
    <w:uiPriority w:val="12"/>
    <w:rsid w:val="007A4F11"/>
    <w:rPr>
      <w:rFonts w:asciiTheme="majorHAnsi" w:hAnsiTheme="majorHAnsi"/>
      <w:sz w:val="18"/>
      <w:szCs w:val="18"/>
      <w:shd w:val="clear" w:color="auto" w:fill="F1EFED"/>
      <w14:numSpacing w14:val="tabular"/>
    </w:rPr>
  </w:style>
  <w:style w:type="paragraph" w:customStyle="1" w:styleId="Referencequoteindentdetails">
    <w:name w:val="Reference quote indent details"/>
    <w:basedOn w:val="Referencequotedetails"/>
    <w:qFormat/>
    <w:rsid w:val="007A4F11"/>
    <w:pPr>
      <w:ind w:left="1440" w:right="1440"/>
    </w:pPr>
  </w:style>
  <w:style w:type="paragraph" w:customStyle="1" w:styleId="Checkboxbullets">
    <w:name w:val="Checkbox bullets"/>
    <w:basedOn w:val="Checkboxbulletsblack"/>
    <w:qFormat/>
    <w:rsid w:val="007A4F11"/>
    <w:pPr>
      <w:numPr>
        <w:numId w:val="31"/>
      </w:numPr>
      <w:pBdr>
        <w:top w:val="single" w:sz="18" w:space="9" w:color="AE562C"/>
        <w:left w:val="single" w:sz="18" w:space="9" w:color="AE562C"/>
        <w:bottom w:val="single" w:sz="18" w:space="9" w:color="AE562C"/>
        <w:right w:val="single" w:sz="18" w:space="9" w:color="AE562C"/>
      </w:pBdr>
    </w:pPr>
    <w:rPr>
      <w:color w:val="AE562C"/>
    </w:rPr>
  </w:style>
  <w:style w:type="paragraph" w:customStyle="1" w:styleId="Referencequoteindent130pillar">
    <w:name w:val="Reference quote indent 130 pillar"/>
    <w:basedOn w:val="Referencequoteindent"/>
    <w:qFormat/>
    <w:rsid w:val="007A4F11"/>
    <w:rPr>
      <w:color w:val="5C5651"/>
    </w:rPr>
  </w:style>
  <w:style w:type="paragraph" w:customStyle="1" w:styleId="Referencequotedetails">
    <w:name w:val="Reference quote details"/>
    <w:basedOn w:val="Normal"/>
    <w:link w:val="ReferencequotedetailsChar"/>
    <w:uiPriority w:val="12"/>
    <w:qFormat/>
    <w:rsid w:val="007A4F11"/>
    <w:pPr>
      <w:spacing w:line="240" w:lineRule="auto"/>
    </w:pPr>
    <w:rPr>
      <w:rFonts w:asciiTheme="majorHAnsi" w:hAnsiTheme="majorHAnsi"/>
      <w:sz w:val="16"/>
      <w:szCs w:val="16"/>
    </w:rPr>
  </w:style>
  <w:style w:type="character" w:customStyle="1" w:styleId="ReferencequotedetailsChar">
    <w:name w:val="Reference quote details Char"/>
    <w:basedOn w:val="ReferencebodyChar"/>
    <w:link w:val="Referencequotedetails"/>
    <w:uiPriority w:val="12"/>
    <w:rsid w:val="007A4F11"/>
    <w:rPr>
      <w:rFonts w:asciiTheme="majorHAnsi" w:hAnsiTheme="majorHAnsi"/>
      <w:sz w:val="16"/>
      <w:szCs w:val="16"/>
      <w:shd w:val="clear" w:color="auto" w:fill="F1EFED"/>
      <w14:numSpacing w14:val="tabular"/>
    </w:rPr>
  </w:style>
  <w:style w:type="paragraph" w:customStyle="1" w:styleId="Smalltext">
    <w:name w:val="Small text"/>
    <w:basedOn w:val="Normal"/>
    <w:link w:val="SmalltextChar"/>
    <w:uiPriority w:val="1"/>
    <w:qFormat/>
    <w:rsid w:val="007A4F1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7A4F11"/>
    <w:rPr>
      <w:sz w:val="15"/>
      <w14:numSpacing w14:val="tabular"/>
    </w:rPr>
  </w:style>
  <w:style w:type="paragraph" w:customStyle="1" w:styleId="Smallbullet">
    <w:name w:val="Small bullet"/>
    <w:basedOn w:val="Smalltext"/>
    <w:uiPriority w:val="2"/>
    <w:qFormat/>
    <w:rsid w:val="007A4F11"/>
    <w:pPr>
      <w:numPr>
        <w:numId w:val="33"/>
      </w:numPr>
      <w:tabs>
        <w:tab w:val="clear" w:pos="288"/>
      </w:tabs>
    </w:pPr>
  </w:style>
  <w:style w:type="paragraph" w:customStyle="1" w:styleId="Smallbullet1">
    <w:name w:val="Small bullet 1"/>
    <w:basedOn w:val="Smallbullet"/>
    <w:uiPriority w:val="2"/>
    <w:qFormat/>
    <w:rsid w:val="007A4F11"/>
    <w:pPr>
      <w:numPr>
        <w:ilvl w:val="1"/>
      </w:numPr>
    </w:pPr>
  </w:style>
  <w:style w:type="paragraph" w:customStyle="1" w:styleId="Smallbullet2">
    <w:name w:val="Small bullet 2"/>
    <w:basedOn w:val="Smallbullet"/>
    <w:uiPriority w:val="99"/>
    <w:rsid w:val="00DE6D5C"/>
    <w:pPr>
      <w:numPr>
        <w:ilvl w:val="2"/>
      </w:numPr>
    </w:pPr>
  </w:style>
  <w:style w:type="paragraph" w:customStyle="1" w:styleId="Smallbullet3">
    <w:name w:val="Small bullet 3"/>
    <w:basedOn w:val="Smallbullet"/>
    <w:uiPriority w:val="99"/>
    <w:rsid w:val="00DE6D5C"/>
    <w:pPr>
      <w:numPr>
        <w:ilvl w:val="3"/>
      </w:numPr>
    </w:pPr>
  </w:style>
  <w:style w:type="paragraph" w:customStyle="1" w:styleId="Smallbullet4">
    <w:name w:val="Small bullet 4"/>
    <w:basedOn w:val="Smallbullet"/>
    <w:uiPriority w:val="99"/>
    <w:rsid w:val="00DE6D5C"/>
    <w:pPr>
      <w:numPr>
        <w:ilvl w:val="4"/>
      </w:numPr>
    </w:pPr>
  </w:style>
  <w:style w:type="paragraph" w:customStyle="1" w:styleId="Smallbullet5">
    <w:name w:val="Small bullet 5"/>
    <w:basedOn w:val="Smallbullet"/>
    <w:uiPriority w:val="99"/>
    <w:rsid w:val="00DE6D5C"/>
    <w:pPr>
      <w:numPr>
        <w:ilvl w:val="5"/>
      </w:numPr>
    </w:pPr>
  </w:style>
  <w:style w:type="paragraph" w:customStyle="1" w:styleId="Smallbullet6">
    <w:name w:val="Small bullet 6"/>
    <w:basedOn w:val="Smallbullet"/>
    <w:uiPriority w:val="99"/>
    <w:rsid w:val="00DE6D5C"/>
    <w:pPr>
      <w:numPr>
        <w:ilvl w:val="6"/>
      </w:numPr>
    </w:pPr>
  </w:style>
  <w:style w:type="paragraph" w:customStyle="1" w:styleId="Smalloutline1">
    <w:name w:val="Small outline 1"/>
    <w:basedOn w:val="Smalltext"/>
    <w:uiPriority w:val="2"/>
    <w:qFormat/>
    <w:rsid w:val="007A4F11"/>
    <w:pPr>
      <w:numPr>
        <w:numId w:val="34"/>
      </w:numPr>
    </w:pPr>
  </w:style>
  <w:style w:type="paragraph" w:customStyle="1" w:styleId="Smalloutline2">
    <w:name w:val="Small outline 2"/>
    <w:basedOn w:val="Smalloutline1"/>
    <w:uiPriority w:val="99"/>
    <w:rsid w:val="00DE6D5C"/>
    <w:pPr>
      <w:numPr>
        <w:ilvl w:val="1"/>
      </w:numPr>
    </w:pPr>
  </w:style>
  <w:style w:type="paragraph" w:customStyle="1" w:styleId="Smalloutline3">
    <w:name w:val="Small outline 3"/>
    <w:basedOn w:val="Smalloutline1"/>
    <w:uiPriority w:val="99"/>
    <w:rsid w:val="00DE6D5C"/>
    <w:pPr>
      <w:numPr>
        <w:ilvl w:val="2"/>
      </w:numPr>
    </w:pPr>
  </w:style>
  <w:style w:type="paragraph" w:customStyle="1" w:styleId="Smalloutline4">
    <w:name w:val="Small outline 4"/>
    <w:basedOn w:val="Smalloutline1"/>
    <w:uiPriority w:val="99"/>
    <w:rsid w:val="00DE6D5C"/>
    <w:pPr>
      <w:numPr>
        <w:ilvl w:val="3"/>
      </w:numPr>
    </w:pPr>
  </w:style>
  <w:style w:type="paragraph" w:customStyle="1" w:styleId="Smalloutline5">
    <w:name w:val="Small outline 5"/>
    <w:basedOn w:val="Smalloutline1"/>
    <w:uiPriority w:val="99"/>
    <w:rsid w:val="00DE6D5C"/>
    <w:pPr>
      <w:numPr>
        <w:ilvl w:val="4"/>
      </w:numPr>
    </w:pPr>
  </w:style>
  <w:style w:type="paragraph" w:customStyle="1" w:styleId="Smalloutline6">
    <w:name w:val="Small outline 6"/>
    <w:basedOn w:val="Smalloutline1"/>
    <w:uiPriority w:val="99"/>
    <w:rsid w:val="00DE6D5C"/>
    <w:pPr>
      <w:numPr>
        <w:ilvl w:val="5"/>
      </w:numPr>
    </w:pPr>
  </w:style>
  <w:style w:type="character" w:customStyle="1" w:styleId="Heading6Char">
    <w:name w:val="Heading 6 Char"/>
    <w:basedOn w:val="DefaultParagraphFont"/>
    <w:link w:val="Heading6"/>
    <w:uiPriority w:val="99"/>
    <w:semiHidden/>
    <w:rsid w:val="007A4F11"/>
    <w:rPr>
      <w:rFonts w:asciiTheme="majorHAnsi" w:eastAsiaTheme="majorEastAsia" w:hAnsiTheme="majorHAnsi" w:cstheme="majorBidi"/>
      <w:color w:val="385251" w:themeColor="accent1" w:themeShade="7F"/>
      <w14:numSpacing w14:val="tabular"/>
    </w:rPr>
  </w:style>
  <w:style w:type="character" w:customStyle="1" w:styleId="Heading7Char">
    <w:name w:val="Heading 7 Char"/>
    <w:basedOn w:val="DefaultParagraphFont"/>
    <w:link w:val="Heading7"/>
    <w:uiPriority w:val="99"/>
    <w:semiHidden/>
    <w:rsid w:val="007A4F11"/>
    <w:rPr>
      <w:rFonts w:asciiTheme="majorHAnsi" w:eastAsiaTheme="majorEastAsia" w:hAnsiTheme="majorHAnsi" w:cstheme="majorBidi"/>
      <w:i/>
      <w:iCs/>
      <w:color w:val="385251" w:themeColor="accent1" w:themeShade="7F"/>
      <w14:numSpacing w14:val="tabular"/>
    </w:rPr>
  </w:style>
  <w:style w:type="character" w:customStyle="1" w:styleId="Tableheadingcharacter">
    <w:name w:val="Table heading character"/>
    <w:basedOn w:val="DefaultParagraphFont"/>
    <w:uiPriority w:val="6"/>
    <w:qFormat/>
    <w:rsid w:val="007A4F11"/>
    <w:rPr>
      <w:b/>
      <w:color w:val="AE562C"/>
      <w:lang w:val="en-GB"/>
    </w:rPr>
  </w:style>
  <w:style w:type="paragraph" w:customStyle="1" w:styleId="Tableofimages">
    <w:name w:val="Table of images"/>
    <w:basedOn w:val="TableofFigures"/>
    <w:uiPriority w:val="99"/>
    <w:qFormat/>
    <w:rsid w:val="007A4F11"/>
  </w:style>
  <w:style w:type="paragraph" w:customStyle="1" w:styleId="Tabletitle">
    <w:name w:val="Table title"/>
    <w:basedOn w:val="Tableheading"/>
    <w:next w:val="Normal"/>
    <w:uiPriority w:val="5"/>
    <w:qFormat/>
    <w:rsid w:val="007A4F11"/>
  </w:style>
  <w:style w:type="table" w:styleId="GridTable2">
    <w:name w:val="Grid Table 2"/>
    <w:basedOn w:val="TableNormal"/>
    <w:uiPriority w:val="47"/>
    <w:rsid w:val="008C633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List-Accent3">
    <w:name w:val="Light List Accent 3"/>
    <w:basedOn w:val="TableNormal"/>
    <w:uiPriority w:val="61"/>
    <w:rsid w:val="008E76A0"/>
    <w:pPr>
      <w:spacing w:after="0" w:line="240" w:lineRule="auto"/>
    </w:pPr>
    <w:rPr>
      <w:rFonts w:eastAsiaTheme="minorEastAsia"/>
      <w:sz w:val="22"/>
      <w:szCs w:val="22"/>
    </w:rPr>
    <w:tblPr>
      <w:tblStyleRowBandSize w:val="1"/>
      <w:tblStyleColBandSize w:val="1"/>
      <w:tblBorders>
        <w:top w:val="single" w:sz="8" w:space="0" w:color="C28897" w:themeColor="accent3"/>
        <w:left w:val="single" w:sz="8" w:space="0" w:color="C28897" w:themeColor="accent3"/>
        <w:bottom w:val="single" w:sz="8" w:space="0" w:color="C28897" w:themeColor="accent3"/>
        <w:right w:val="single" w:sz="8" w:space="0" w:color="C28897" w:themeColor="accent3"/>
      </w:tblBorders>
    </w:tblPr>
    <w:tblStylePr w:type="firstRow">
      <w:pPr>
        <w:spacing w:before="0" w:after="0" w:line="240" w:lineRule="auto"/>
      </w:pPr>
      <w:rPr>
        <w:b/>
        <w:bCs/>
        <w:color w:val="FFFFFF" w:themeColor="background1"/>
      </w:rPr>
      <w:tblPr/>
      <w:tcPr>
        <w:shd w:val="clear" w:color="auto" w:fill="C28897" w:themeFill="accent3"/>
      </w:tcPr>
    </w:tblStylePr>
    <w:tblStylePr w:type="lastRow">
      <w:pPr>
        <w:spacing w:before="0" w:after="0" w:line="240" w:lineRule="auto"/>
      </w:pPr>
      <w:rPr>
        <w:b/>
        <w:bCs/>
      </w:rPr>
      <w:tblPr/>
      <w:tcPr>
        <w:tcBorders>
          <w:top w:val="double" w:sz="6" w:space="0" w:color="C28897" w:themeColor="accent3"/>
          <w:left w:val="single" w:sz="8" w:space="0" w:color="C28897" w:themeColor="accent3"/>
          <w:bottom w:val="single" w:sz="8" w:space="0" w:color="C28897" w:themeColor="accent3"/>
          <w:right w:val="single" w:sz="8" w:space="0" w:color="C28897" w:themeColor="accent3"/>
        </w:tcBorders>
      </w:tcPr>
    </w:tblStylePr>
    <w:tblStylePr w:type="firstCol">
      <w:rPr>
        <w:b/>
        <w:bCs/>
      </w:rPr>
    </w:tblStylePr>
    <w:tblStylePr w:type="lastCol">
      <w:rPr>
        <w:b/>
        <w:bCs/>
      </w:rPr>
    </w:tblStylePr>
    <w:tblStylePr w:type="band1Vert">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tblStylePr w:type="band1Horz">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style>
  <w:style w:type="table" w:styleId="ListTable3-Accent1">
    <w:name w:val="List Table 3 Accent 1"/>
    <w:basedOn w:val="ListTable3"/>
    <w:uiPriority w:val="48"/>
    <w:rsid w:val="00DE6D5C"/>
    <w:tblPr>
      <w:tblBorders>
        <w:top w:val="single" w:sz="4" w:space="0" w:color="76A2A0" w:themeColor="accent1"/>
        <w:left w:val="single" w:sz="4" w:space="0" w:color="76A2A0" w:themeColor="accent1"/>
        <w:bottom w:val="single" w:sz="4" w:space="0" w:color="76A2A0" w:themeColor="accent1"/>
        <w:right w:val="single" w:sz="4" w:space="0" w:color="76A2A0" w:themeColor="accent1"/>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6A2A0" w:themeFill="accent1"/>
        <w:noWrap/>
      </w:tcPr>
    </w:tblStylePr>
    <w:tblStylePr w:type="lastRow">
      <w:rPr>
        <w:b/>
        <w:bCs/>
      </w:rPr>
      <w:tblPr/>
      <w:tcPr>
        <w:tcBorders>
          <w:top w:val="double" w:sz="4" w:space="0" w:color="76A2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6A2A0" w:themeColor="accent1"/>
          <w:right w:val="single" w:sz="4" w:space="0" w:color="76A2A0" w:themeColor="accent1"/>
        </w:tcBorders>
      </w:tcPr>
    </w:tblStylePr>
    <w:tblStylePr w:type="band1Horz">
      <w:tblPr/>
      <w:tcPr>
        <w:tcBorders>
          <w:top w:val="single" w:sz="4" w:space="0" w:color="76A2A0" w:themeColor="accent1"/>
          <w:bottom w:val="single" w:sz="4" w:space="0" w:color="76A2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6A2A0" w:themeColor="accent1"/>
          <w:left w:val="nil"/>
        </w:tcBorders>
      </w:tcPr>
    </w:tblStylePr>
    <w:tblStylePr w:type="swCell">
      <w:tblPr/>
      <w:tcPr>
        <w:tcBorders>
          <w:top w:val="double" w:sz="4" w:space="0" w:color="76A2A0" w:themeColor="accent1"/>
          <w:right w:val="nil"/>
        </w:tcBorders>
      </w:tcPr>
    </w:tblStylePr>
  </w:style>
  <w:style w:type="paragraph" w:customStyle="1" w:styleId="Referencequoteindentblack">
    <w:name w:val="Reference quote indent black"/>
    <w:basedOn w:val="Referencequoteindent"/>
    <w:qFormat/>
    <w:rsid w:val="007A4F11"/>
    <w:rPr>
      <w:color w:val="000000" w:themeColor="text1"/>
    </w:rPr>
  </w:style>
  <w:style w:type="table" w:styleId="ListTable3-Accent2">
    <w:name w:val="List Table 3 Accent 2"/>
    <w:basedOn w:val="ListTable3"/>
    <w:uiPriority w:val="48"/>
    <w:rsid w:val="00DE6D5C"/>
    <w:tblPr>
      <w:tblBorders>
        <w:top w:val="single" w:sz="4" w:space="0" w:color="796087" w:themeColor="accent2"/>
        <w:left w:val="single" w:sz="4" w:space="0" w:color="796087" w:themeColor="accent2"/>
        <w:bottom w:val="single" w:sz="4" w:space="0" w:color="796087" w:themeColor="accent2"/>
        <w:right w:val="single" w:sz="4" w:space="0" w:color="796087" w:themeColor="accent2"/>
      </w:tblBorders>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96087" w:themeFill="accent2"/>
      </w:tcPr>
    </w:tblStylePr>
    <w:tblStylePr w:type="lastRow">
      <w:rPr>
        <w:b/>
        <w:bCs/>
      </w:rPr>
      <w:tblPr/>
      <w:tcPr>
        <w:tcBorders>
          <w:top w:val="double" w:sz="4" w:space="0" w:color="79608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6087" w:themeColor="accent2"/>
          <w:right w:val="single" w:sz="4" w:space="0" w:color="796087" w:themeColor="accent2"/>
        </w:tcBorders>
      </w:tcPr>
    </w:tblStylePr>
    <w:tblStylePr w:type="band1Horz">
      <w:tblPr/>
      <w:tcPr>
        <w:tcBorders>
          <w:top w:val="single" w:sz="4" w:space="0" w:color="796087" w:themeColor="accent2"/>
          <w:bottom w:val="single" w:sz="4" w:space="0" w:color="79608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6087" w:themeColor="accent2"/>
          <w:left w:val="nil"/>
        </w:tcBorders>
      </w:tcPr>
    </w:tblStylePr>
    <w:tblStylePr w:type="swCell">
      <w:tblPr/>
      <w:tcPr>
        <w:tcBorders>
          <w:top w:val="double" w:sz="4" w:space="0" w:color="796087" w:themeColor="accent2"/>
          <w:right w:val="nil"/>
        </w:tcBorders>
      </w:tcPr>
    </w:tblStylePr>
  </w:style>
  <w:style w:type="table" w:styleId="ListTable3-Accent3">
    <w:name w:val="List Table 3 Accent 3"/>
    <w:basedOn w:val="ListTable3"/>
    <w:uiPriority w:val="48"/>
    <w:rsid w:val="00DE6D5C"/>
    <w:tblPr>
      <w:tblBorders>
        <w:top w:val="single" w:sz="4" w:space="0" w:color="C28897" w:themeColor="accent3"/>
        <w:left w:val="single" w:sz="4" w:space="0" w:color="C28897" w:themeColor="accent3"/>
        <w:bottom w:val="single" w:sz="4" w:space="0" w:color="C28897" w:themeColor="accent3"/>
        <w:right w:val="single" w:sz="4" w:space="0" w:color="C28897" w:themeColor="accent3"/>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28897" w:themeFill="accent3"/>
      </w:tcPr>
    </w:tblStylePr>
    <w:tblStylePr w:type="lastRow">
      <w:rPr>
        <w:b/>
        <w:bCs/>
      </w:rPr>
      <w:tblPr/>
      <w:tcPr>
        <w:tcBorders>
          <w:top w:val="double" w:sz="4" w:space="0" w:color="C2889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8897" w:themeColor="accent3"/>
          <w:right w:val="single" w:sz="4" w:space="0" w:color="C28897" w:themeColor="accent3"/>
        </w:tcBorders>
      </w:tcPr>
    </w:tblStylePr>
    <w:tblStylePr w:type="band1Horz">
      <w:tblPr/>
      <w:tcPr>
        <w:tcBorders>
          <w:top w:val="single" w:sz="4" w:space="0" w:color="C28897" w:themeColor="accent3"/>
          <w:bottom w:val="single" w:sz="4" w:space="0" w:color="C2889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8897" w:themeColor="accent3"/>
          <w:left w:val="nil"/>
        </w:tcBorders>
      </w:tcPr>
    </w:tblStylePr>
    <w:tblStylePr w:type="swCell">
      <w:tblPr/>
      <w:tcPr>
        <w:tcBorders>
          <w:top w:val="double" w:sz="4" w:space="0" w:color="C28897" w:themeColor="accent3"/>
          <w:right w:val="nil"/>
        </w:tcBorders>
      </w:tcPr>
    </w:tblStylePr>
  </w:style>
  <w:style w:type="table" w:styleId="ListTable3-Accent4">
    <w:name w:val="List Table 3 Accent 4"/>
    <w:basedOn w:val="ListTable3"/>
    <w:uiPriority w:val="48"/>
    <w:rsid w:val="00DE6D5C"/>
    <w:tblPr>
      <w:tblBorders>
        <w:top w:val="single" w:sz="4" w:space="0" w:color="315357" w:themeColor="accent4"/>
        <w:left w:val="single" w:sz="4" w:space="0" w:color="315357" w:themeColor="accent4"/>
        <w:bottom w:val="single" w:sz="4" w:space="0" w:color="315357" w:themeColor="accent4"/>
        <w:right w:val="single" w:sz="4" w:space="0" w:color="315357" w:themeColor="accent4"/>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315357" w:themeFill="accent4"/>
      </w:tcPr>
    </w:tblStylePr>
    <w:tblStylePr w:type="lastRow">
      <w:rPr>
        <w:b/>
        <w:bCs/>
      </w:rPr>
      <w:tblPr/>
      <w:tcPr>
        <w:tcBorders>
          <w:top w:val="double" w:sz="4" w:space="0" w:color="31535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357" w:themeColor="accent4"/>
          <w:right w:val="single" w:sz="4" w:space="0" w:color="315357" w:themeColor="accent4"/>
        </w:tcBorders>
      </w:tcPr>
    </w:tblStylePr>
    <w:tblStylePr w:type="band1Horz">
      <w:tblPr/>
      <w:tcPr>
        <w:tcBorders>
          <w:top w:val="single" w:sz="4" w:space="0" w:color="315357" w:themeColor="accent4"/>
          <w:bottom w:val="single" w:sz="4" w:space="0" w:color="31535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357" w:themeColor="accent4"/>
          <w:left w:val="nil"/>
        </w:tcBorders>
      </w:tcPr>
    </w:tblStylePr>
    <w:tblStylePr w:type="swCell">
      <w:tblPr/>
      <w:tcPr>
        <w:tcBorders>
          <w:top w:val="double" w:sz="4" w:space="0" w:color="315357" w:themeColor="accent4"/>
          <w:right w:val="nil"/>
        </w:tcBorders>
      </w:tcPr>
    </w:tblStylePr>
  </w:style>
  <w:style w:type="table" w:styleId="ListTable3-Accent5">
    <w:name w:val="List Table 3 Accent 5"/>
    <w:basedOn w:val="ListTable3"/>
    <w:uiPriority w:val="48"/>
    <w:rsid w:val="00DE6D5C"/>
    <w:tblPr>
      <w:tblBorders>
        <w:top w:val="single" w:sz="4" w:space="0" w:color="C58C52" w:themeColor="accent5"/>
        <w:left w:val="single" w:sz="4" w:space="0" w:color="C58C52" w:themeColor="accent5"/>
        <w:bottom w:val="single" w:sz="4" w:space="0" w:color="C58C52" w:themeColor="accent5"/>
        <w:right w:val="single" w:sz="4" w:space="0" w:color="C58C52" w:themeColor="accent5"/>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58C52" w:themeFill="accent5"/>
      </w:tcPr>
    </w:tblStylePr>
    <w:tblStylePr w:type="lastRow">
      <w:rPr>
        <w:b/>
        <w:bCs/>
      </w:rPr>
      <w:tblPr/>
      <w:tcPr>
        <w:tcBorders>
          <w:top w:val="double" w:sz="4" w:space="0" w:color="C58C5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58C52" w:themeColor="accent5"/>
          <w:right w:val="single" w:sz="4" w:space="0" w:color="C58C52" w:themeColor="accent5"/>
        </w:tcBorders>
      </w:tcPr>
    </w:tblStylePr>
    <w:tblStylePr w:type="band1Horz">
      <w:tblPr/>
      <w:tcPr>
        <w:tcBorders>
          <w:top w:val="single" w:sz="4" w:space="0" w:color="C58C52" w:themeColor="accent5"/>
          <w:bottom w:val="single" w:sz="4" w:space="0" w:color="C58C5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58C52" w:themeColor="accent5"/>
          <w:left w:val="nil"/>
        </w:tcBorders>
      </w:tcPr>
    </w:tblStylePr>
    <w:tblStylePr w:type="swCell">
      <w:tblPr/>
      <w:tcPr>
        <w:tcBorders>
          <w:top w:val="double" w:sz="4" w:space="0" w:color="C58C52" w:themeColor="accent5"/>
          <w:right w:val="nil"/>
        </w:tcBorders>
      </w:tcPr>
    </w:tblStylePr>
  </w:style>
  <w:style w:type="table" w:styleId="ListTable3-Accent6">
    <w:name w:val="List Table 3 Accent 6"/>
    <w:basedOn w:val="ListTable3"/>
    <w:uiPriority w:val="48"/>
    <w:rsid w:val="00DE6D5C"/>
    <w:tblPr>
      <w:tblBorders>
        <w:top w:val="single" w:sz="4" w:space="0" w:color="925865" w:themeColor="accent6"/>
        <w:left w:val="single" w:sz="4" w:space="0" w:color="925865" w:themeColor="accent6"/>
        <w:bottom w:val="single" w:sz="4" w:space="0" w:color="925865" w:themeColor="accent6"/>
        <w:right w:val="single" w:sz="4" w:space="0" w:color="925865" w:themeColor="accent6"/>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925865" w:themeFill="accent6"/>
      </w:tcPr>
    </w:tblStylePr>
    <w:tblStylePr w:type="lastRow">
      <w:rPr>
        <w:b/>
        <w:bCs/>
      </w:rPr>
      <w:tblPr/>
      <w:tcPr>
        <w:tcBorders>
          <w:top w:val="double" w:sz="4" w:space="0" w:color="92586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5865" w:themeColor="accent6"/>
          <w:right w:val="single" w:sz="4" w:space="0" w:color="925865" w:themeColor="accent6"/>
        </w:tcBorders>
      </w:tcPr>
    </w:tblStylePr>
    <w:tblStylePr w:type="band1Horz">
      <w:tblPr/>
      <w:tcPr>
        <w:tcBorders>
          <w:top w:val="single" w:sz="4" w:space="0" w:color="925865" w:themeColor="accent6"/>
          <w:bottom w:val="single" w:sz="4" w:space="0" w:color="92586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5865" w:themeColor="accent6"/>
          <w:left w:val="nil"/>
        </w:tcBorders>
      </w:tcPr>
    </w:tblStylePr>
    <w:tblStylePr w:type="swCell">
      <w:tblPr/>
      <w:tcPr>
        <w:tcBorders>
          <w:top w:val="double" w:sz="4" w:space="0" w:color="925865" w:themeColor="accent6"/>
          <w:right w:val="nil"/>
        </w:tcBorders>
      </w:tcPr>
    </w:tblStylePr>
  </w:style>
  <w:style w:type="table" w:styleId="ListTable3">
    <w:name w:val="List Table 3"/>
    <w:basedOn w:val="TableNormal"/>
    <w:uiPriority w:val="48"/>
    <w:rsid w:val="00DE6D5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8" w:type="dxa"/>
        <w:bottom w:w="58" w:type="dxa"/>
      </w:tblCellMar>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Checkboxbulletssolid">
    <w:name w:val="Checkbox bullets solid"/>
    <w:basedOn w:val="Checkboxbulletssolidblack"/>
    <w:qFormat/>
    <w:rsid w:val="007A4F11"/>
    <w:pPr>
      <w:pBdr>
        <w:top w:val="single" w:sz="36" w:space="9" w:color="AE562C"/>
        <w:left w:val="single" w:sz="36" w:space="9" w:color="AE562C"/>
        <w:bottom w:val="single" w:sz="36" w:space="9" w:color="AE562C"/>
        <w:right w:val="single" w:sz="36" w:space="9" w:color="AE562C"/>
      </w:pBdr>
      <w:shd w:val="clear" w:color="auto" w:fill="AE562C"/>
    </w:pPr>
  </w:style>
  <w:style w:type="character" w:customStyle="1" w:styleId="Heading8Char">
    <w:name w:val="Heading 8 Char"/>
    <w:basedOn w:val="DefaultParagraphFont"/>
    <w:link w:val="Heading8"/>
    <w:uiPriority w:val="99"/>
    <w:semiHidden/>
    <w:rsid w:val="007A4F11"/>
    <w:rPr>
      <w:rFonts w:asciiTheme="majorHAnsi" w:eastAsiaTheme="majorEastAsia" w:hAnsiTheme="majorHAnsi" w:cstheme="majorBidi"/>
      <w:color w:val="272727" w:themeColor="text1" w:themeTint="D8"/>
      <w:sz w:val="21"/>
      <w:szCs w:val="21"/>
      <w14:numSpacing w14:val="tabular"/>
    </w:rPr>
  </w:style>
  <w:style w:type="character" w:customStyle="1" w:styleId="Heading9Char">
    <w:name w:val="Heading 9 Char"/>
    <w:basedOn w:val="DefaultParagraphFont"/>
    <w:link w:val="Heading9"/>
    <w:uiPriority w:val="99"/>
    <w:semiHidden/>
    <w:rsid w:val="007A4F11"/>
    <w:rPr>
      <w:rFonts w:asciiTheme="majorHAnsi" w:eastAsiaTheme="majorEastAsia" w:hAnsiTheme="majorHAnsi" w:cstheme="majorBidi"/>
      <w:i/>
      <w:iCs/>
      <w:color w:val="272727" w:themeColor="text1" w:themeTint="D8"/>
      <w:sz w:val="21"/>
      <w:szCs w:val="21"/>
      <w14:numSpacing w14:val="tabular"/>
    </w:rPr>
  </w:style>
  <w:style w:type="paragraph" w:styleId="BalloonText">
    <w:name w:val="Balloon Text"/>
    <w:basedOn w:val="Normal"/>
    <w:link w:val="BalloonTextChar"/>
    <w:uiPriority w:val="99"/>
    <w:semiHidden/>
    <w:unhideWhenUsed/>
    <w:rsid w:val="00DE6D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D5C"/>
    <w:rPr>
      <w:rFonts w:ascii="Segoe UI" w:hAnsi="Segoe UI" w:cs="Segoe UI"/>
      <w:sz w:val="18"/>
      <w:szCs w:val="18"/>
      <w14:numSpacing w14:val="tabular"/>
    </w:rPr>
  </w:style>
  <w:style w:type="paragraph" w:styleId="Bibliography">
    <w:name w:val="Bibliography"/>
    <w:basedOn w:val="Normal"/>
    <w:next w:val="Normal"/>
    <w:uiPriority w:val="37"/>
    <w:semiHidden/>
    <w:rsid w:val="00DE6D5C"/>
    <w:pPr>
      <w:spacing w:after="200" w:line="276" w:lineRule="auto"/>
    </w:pPr>
    <w:rPr>
      <w:rFonts w:eastAsiaTheme="minorEastAsia"/>
    </w:rPr>
  </w:style>
  <w:style w:type="paragraph" w:styleId="BlockText">
    <w:name w:val="Block Text"/>
    <w:basedOn w:val="Normal"/>
    <w:uiPriority w:val="99"/>
    <w:semiHidden/>
    <w:rsid w:val="00DE6D5C"/>
    <w:pPr>
      <w:pBdr>
        <w:top w:val="single" w:sz="2" w:space="10" w:color="76A2A0" w:themeColor="accent1"/>
        <w:left w:val="single" w:sz="2" w:space="10" w:color="76A2A0" w:themeColor="accent1"/>
        <w:bottom w:val="single" w:sz="2" w:space="10" w:color="76A2A0" w:themeColor="accent1"/>
        <w:right w:val="single" w:sz="2" w:space="10" w:color="76A2A0" w:themeColor="accent1"/>
      </w:pBdr>
      <w:spacing w:after="200" w:line="276" w:lineRule="auto"/>
      <w:ind w:left="1152" w:right="1152"/>
    </w:pPr>
    <w:rPr>
      <w:rFonts w:eastAsiaTheme="minorEastAsia"/>
      <w:i/>
      <w:iCs/>
      <w:color w:val="76A2A0" w:themeColor="accent1"/>
    </w:rPr>
  </w:style>
  <w:style w:type="paragraph" w:styleId="BodyText">
    <w:name w:val="Body Text"/>
    <w:basedOn w:val="Normal"/>
    <w:link w:val="BodyTextChar"/>
    <w:uiPriority w:val="99"/>
    <w:semiHidden/>
    <w:unhideWhenUsed/>
    <w:rsid w:val="00DE6D5C"/>
  </w:style>
  <w:style w:type="character" w:customStyle="1" w:styleId="BodyTextChar">
    <w:name w:val="Body Text Char"/>
    <w:basedOn w:val="DefaultParagraphFont"/>
    <w:link w:val="BodyText"/>
    <w:uiPriority w:val="99"/>
    <w:semiHidden/>
    <w:rsid w:val="00DE6D5C"/>
    <w:rPr>
      <w14:numSpacing w14:val="tabular"/>
    </w:rPr>
  </w:style>
  <w:style w:type="paragraph" w:styleId="BodyText2">
    <w:name w:val="Body Text 2"/>
    <w:basedOn w:val="Normal"/>
    <w:link w:val="BodyText2Char"/>
    <w:uiPriority w:val="99"/>
    <w:semiHidden/>
    <w:unhideWhenUsed/>
    <w:rsid w:val="00DE6D5C"/>
    <w:pPr>
      <w:spacing w:line="480" w:lineRule="auto"/>
    </w:pPr>
  </w:style>
  <w:style w:type="character" w:customStyle="1" w:styleId="BodyText2Char">
    <w:name w:val="Body Text 2 Char"/>
    <w:basedOn w:val="DefaultParagraphFont"/>
    <w:link w:val="BodyText2"/>
    <w:uiPriority w:val="99"/>
    <w:semiHidden/>
    <w:rsid w:val="00DE6D5C"/>
    <w:rPr>
      <w14:numSpacing w14:val="tabular"/>
    </w:rPr>
  </w:style>
  <w:style w:type="paragraph" w:styleId="BodyText3">
    <w:name w:val="Body Text 3"/>
    <w:basedOn w:val="Normal"/>
    <w:link w:val="BodyText3Char"/>
    <w:uiPriority w:val="99"/>
    <w:semiHidden/>
    <w:unhideWhenUsed/>
    <w:rsid w:val="00DE6D5C"/>
    <w:rPr>
      <w:sz w:val="16"/>
      <w:szCs w:val="16"/>
    </w:rPr>
  </w:style>
  <w:style w:type="character" w:customStyle="1" w:styleId="BodyText3Char">
    <w:name w:val="Body Text 3 Char"/>
    <w:basedOn w:val="DefaultParagraphFont"/>
    <w:link w:val="BodyText3"/>
    <w:uiPriority w:val="99"/>
    <w:semiHidden/>
    <w:rsid w:val="00DE6D5C"/>
    <w:rPr>
      <w:sz w:val="16"/>
      <w:szCs w:val="16"/>
      <w14:numSpacing w14:val="tabular"/>
    </w:rPr>
  </w:style>
  <w:style w:type="paragraph" w:styleId="BodyTextFirstIndent">
    <w:name w:val="Body Text First Indent"/>
    <w:basedOn w:val="BodyText"/>
    <w:link w:val="BodyTextFirstIndentChar"/>
    <w:uiPriority w:val="99"/>
    <w:semiHidden/>
    <w:unhideWhenUsed/>
    <w:rsid w:val="00DE6D5C"/>
    <w:pPr>
      <w:ind w:firstLine="360"/>
    </w:pPr>
  </w:style>
  <w:style w:type="character" w:customStyle="1" w:styleId="BodyTextFirstIndentChar">
    <w:name w:val="Body Text First Indent Char"/>
    <w:basedOn w:val="BodyTextChar"/>
    <w:link w:val="BodyTextFirstIndent"/>
    <w:uiPriority w:val="99"/>
    <w:semiHidden/>
    <w:rsid w:val="00DE6D5C"/>
    <w:rPr>
      <w14:numSpacing w14:val="tabular"/>
    </w:rPr>
  </w:style>
  <w:style w:type="paragraph" w:styleId="BodyTextIndent">
    <w:name w:val="Body Text Indent"/>
    <w:basedOn w:val="Normal"/>
    <w:link w:val="BodyTextIndentChar"/>
    <w:uiPriority w:val="99"/>
    <w:semiHidden/>
    <w:unhideWhenUsed/>
    <w:rsid w:val="00DE6D5C"/>
    <w:pPr>
      <w:ind w:left="360"/>
    </w:pPr>
  </w:style>
  <w:style w:type="character" w:customStyle="1" w:styleId="BodyTextIndentChar">
    <w:name w:val="Body Text Indent Char"/>
    <w:basedOn w:val="DefaultParagraphFont"/>
    <w:link w:val="BodyTextIndent"/>
    <w:uiPriority w:val="99"/>
    <w:semiHidden/>
    <w:rsid w:val="00DE6D5C"/>
    <w:rPr>
      <w14:numSpacing w14:val="tabular"/>
    </w:rPr>
  </w:style>
  <w:style w:type="paragraph" w:styleId="BodyTextFirstIndent2">
    <w:name w:val="Body Text First Indent 2"/>
    <w:basedOn w:val="BodyTextIndent"/>
    <w:link w:val="BodyTextFirstIndent2Char"/>
    <w:uiPriority w:val="99"/>
    <w:semiHidden/>
    <w:unhideWhenUsed/>
    <w:rsid w:val="00DE6D5C"/>
    <w:pPr>
      <w:ind w:firstLine="360"/>
    </w:pPr>
  </w:style>
  <w:style w:type="character" w:customStyle="1" w:styleId="BodyTextFirstIndent2Char">
    <w:name w:val="Body Text First Indent 2 Char"/>
    <w:basedOn w:val="BodyTextIndentChar"/>
    <w:link w:val="BodyTextFirstIndent2"/>
    <w:uiPriority w:val="99"/>
    <w:semiHidden/>
    <w:rsid w:val="00DE6D5C"/>
    <w:rPr>
      <w14:numSpacing w14:val="tabular"/>
    </w:rPr>
  </w:style>
  <w:style w:type="paragraph" w:styleId="BodyTextIndent2">
    <w:name w:val="Body Text Indent 2"/>
    <w:basedOn w:val="Normal"/>
    <w:link w:val="BodyTextIndent2Char"/>
    <w:uiPriority w:val="99"/>
    <w:semiHidden/>
    <w:unhideWhenUsed/>
    <w:rsid w:val="00DE6D5C"/>
    <w:pPr>
      <w:spacing w:line="480" w:lineRule="auto"/>
      <w:ind w:left="360"/>
    </w:pPr>
  </w:style>
  <w:style w:type="character" w:customStyle="1" w:styleId="BodyTextIndent2Char">
    <w:name w:val="Body Text Indent 2 Char"/>
    <w:basedOn w:val="DefaultParagraphFont"/>
    <w:link w:val="BodyTextIndent2"/>
    <w:uiPriority w:val="99"/>
    <w:semiHidden/>
    <w:rsid w:val="00DE6D5C"/>
    <w:rPr>
      <w14:numSpacing w14:val="tabular"/>
    </w:rPr>
  </w:style>
  <w:style w:type="paragraph" w:styleId="BodyTextIndent3">
    <w:name w:val="Body Text Indent 3"/>
    <w:basedOn w:val="Normal"/>
    <w:link w:val="BodyTextIndent3Char"/>
    <w:uiPriority w:val="99"/>
    <w:semiHidden/>
    <w:unhideWhenUsed/>
    <w:rsid w:val="00DE6D5C"/>
    <w:pPr>
      <w:ind w:left="360"/>
    </w:pPr>
    <w:rPr>
      <w:sz w:val="16"/>
      <w:szCs w:val="16"/>
    </w:rPr>
  </w:style>
  <w:style w:type="character" w:customStyle="1" w:styleId="BodyTextIndent3Char">
    <w:name w:val="Body Text Indent 3 Char"/>
    <w:basedOn w:val="DefaultParagraphFont"/>
    <w:link w:val="BodyTextIndent3"/>
    <w:uiPriority w:val="99"/>
    <w:semiHidden/>
    <w:rsid w:val="00DE6D5C"/>
    <w:rPr>
      <w:sz w:val="16"/>
      <w:szCs w:val="16"/>
      <w14:numSpacing w14:val="tabular"/>
    </w:rPr>
  </w:style>
  <w:style w:type="paragraph" w:styleId="Closing">
    <w:name w:val="Closing"/>
    <w:basedOn w:val="Normal"/>
    <w:link w:val="ClosingChar"/>
    <w:uiPriority w:val="99"/>
    <w:semiHidden/>
    <w:rsid w:val="00DE6D5C"/>
    <w:pPr>
      <w:ind w:left="4320"/>
    </w:pPr>
    <w:rPr>
      <w:rFonts w:eastAsiaTheme="minorEastAsia"/>
    </w:rPr>
  </w:style>
  <w:style w:type="character" w:customStyle="1" w:styleId="ClosingChar">
    <w:name w:val="Closing Char"/>
    <w:basedOn w:val="DefaultParagraphFont"/>
    <w:link w:val="Closing"/>
    <w:uiPriority w:val="99"/>
    <w:semiHidden/>
    <w:rsid w:val="00DE6D5C"/>
    <w:rPr>
      <w:rFonts w:eastAsiaTheme="minorEastAsia"/>
      <w14:numSpacing w14:val="tabular"/>
    </w:rPr>
  </w:style>
  <w:style w:type="paragraph" w:styleId="CommentSubject">
    <w:name w:val="annotation subject"/>
    <w:basedOn w:val="CommentText"/>
    <w:next w:val="CommentText"/>
    <w:link w:val="CommentSubjectChar"/>
    <w:uiPriority w:val="99"/>
    <w:semiHidden/>
    <w:rsid w:val="00DE6D5C"/>
    <w:rPr>
      <w:b/>
      <w:bCs/>
    </w:rPr>
  </w:style>
  <w:style w:type="character" w:customStyle="1" w:styleId="CommentSubjectChar">
    <w:name w:val="Comment Subject Char"/>
    <w:basedOn w:val="CommentTextChar"/>
    <w:link w:val="CommentSubject"/>
    <w:uiPriority w:val="99"/>
    <w:semiHidden/>
    <w:rsid w:val="00DE6D5C"/>
    <w:rPr>
      <w:rFonts w:eastAsiaTheme="minorEastAsia"/>
      <w:b/>
      <w:bCs/>
      <w:sz w:val="20"/>
      <w:szCs w:val="20"/>
      <w14:numSpacing w14:val="tabular"/>
    </w:rPr>
  </w:style>
  <w:style w:type="paragraph" w:styleId="Date">
    <w:name w:val="Date"/>
    <w:basedOn w:val="Normal"/>
    <w:next w:val="Normal"/>
    <w:link w:val="DateChar"/>
    <w:uiPriority w:val="99"/>
    <w:semiHidden/>
    <w:rsid w:val="00DE6D5C"/>
    <w:pPr>
      <w:spacing w:after="200" w:line="276" w:lineRule="auto"/>
    </w:pPr>
    <w:rPr>
      <w:rFonts w:eastAsiaTheme="minorEastAsia"/>
    </w:rPr>
  </w:style>
  <w:style w:type="character" w:customStyle="1" w:styleId="DateChar">
    <w:name w:val="Date Char"/>
    <w:basedOn w:val="DefaultParagraphFont"/>
    <w:link w:val="Date"/>
    <w:uiPriority w:val="99"/>
    <w:semiHidden/>
    <w:rsid w:val="00DE6D5C"/>
    <w:rPr>
      <w:rFonts w:eastAsiaTheme="minorEastAsia"/>
      <w14:numSpacing w14:val="tabular"/>
    </w:rPr>
  </w:style>
  <w:style w:type="paragraph" w:styleId="DocumentMap">
    <w:name w:val="Document Map"/>
    <w:basedOn w:val="Normal"/>
    <w:link w:val="DocumentMapChar"/>
    <w:uiPriority w:val="99"/>
    <w:semiHidden/>
    <w:rsid w:val="00DE6D5C"/>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DE6D5C"/>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DE6D5C"/>
    <w:rPr>
      <w:rFonts w:eastAsiaTheme="minorEastAsia"/>
    </w:rPr>
  </w:style>
  <w:style w:type="character" w:customStyle="1" w:styleId="E-mailSignatureChar">
    <w:name w:val="E-mail Signature Char"/>
    <w:basedOn w:val="DefaultParagraphFont"/>
    <w:link w:val="E-mailSignature"/>
    <w:uiPriority w:val="99"/>
    <w:semiHidden/>
    <w:rsid w:val="00DE6D5C"/>
    <w:rPr>
      <w:rFonts w:eastAsiaTheme="minorEastAsia"/>
      <w14:numSpacing w14:val="tabular"/>
    </w:rPr>
  </w:style>
  <w:style w:type="character" w:styleId="EndnoteReference">
    <w:name w:val="endnote reference"/>
    <w:basedOn w:val="DefaultParagraphFont"/>
    <w:uiPriority w:val="99"/>
    <w:semiHidden/>
    <w:rsid w:val="00DE6D5C"/>
    <w:rPr>
      <w:vertAlign w:val="superscript"/>
    </w:rPr>
  </w:style>
  <w:style w:type="paragraph" w:styleId="EndnoteText">
    <w:name w:val="endnote text"/>
    <w:basedOn w:val="Normal"/>
    <w:link w:val="EndnoteTextChar"/>
    <w:uiPriority w:val="99"/>
    <w:semiHidden/>
    <w:rsid w:val="00DE6D5C"/>
    <w:rPr>
      <w:rFonts w:eastAsiaTheme="minorEastAsia"/>
      <w:sz w:val="20"/>
      <w:szCs w:val="20"/>
    </w:rPr>
  </w:style>
  <w:style w:type="character" w:customStyle="1" w:styleId="EndnoteTextChar">
    <w:name w:val="Endnote Text Char"/>
    <w:basedOn w:val="DefaultParagraphFont"/>
    <w:link w:val="EndnoteText"/>
    <w:uiPriority w:val="99"/>
    <w:semiHidden/>
    <w:rsid w:val="00DE6D5C"/>
    <w:rPr>
      <w:rFonts w:eastAsiaTheme="minorEastAsia"/>
      <w:sz w:val="20"/>
      <w:szCs w:val="20"/>
      <w14:numSpacing w14:val="tabular"/>
    </w:rPr>
  </w:style>
  <w:style w:type="paragraph" w:styleId="EnvelopeAddress">
    <w:name w:val="envelope address"/>
    <w:basedOn w:val="Normal"/>
    <w:uiPriority w:val="99"/>
    <w:semiHidden/>
    <w:unhideWhenUsed/>
    <w:rsid w:val="00DE6D5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E6D5C"/>
    <w:pPr>
      <w:spacing w:after="0" w:line="240" w:lineRule="auto"/>
    </w:pPr>
    <w:rPr>
      <w:rFonts w:asciiTheme="majorHAnsi" w:eastAsiaTheme="majorEastAsia" w:hAnsiTheme="majorHAnsi" w:cstheme="majorBidi"/>
      <w:sz w:val="20"/>
      <w:szCs w:val="20"/>
    </w:rPr>
  </w:style>
  <w:style w:type="table" w:styleId="GridTable1Light-Accent6">
    <w:name w:val="Grid Table 1 Light Accent 6"/>
    <w:basedOn w:val="TableNormal"/>
    <w:uiPriority w:val="46"/>
    <w:rsid w:val="00DE6D5C"/>
    <w:pPr>
      <w:spacing w:after="0" w:line="240" w:lineRule="auto"/>
    </w:pPr>
    <w:tblPr>
      <w:tblStyleRowBandSize w:val="1"/>
      <w:tblStyleColBandSize w:val="1"/>
      <w:tblBorders>
        <w:top w:val="single" w:sz="4" w:space="0" w:color="D5B9C0" w:themeColor="accent6" w:themeTint="66"/>
        <w:left w:val="single" w:sz="4" w:space="0" w:color="D5B9C0" w:themeColor="accent6" w:themeTint="66"/>
        <w:bottom w:val="single" w:sz="4" w:space="0" w:color="D5B9C0" w:themeColor="accent6" w:themeTint="66"/>
        <w:right w:val="single" w:sz="4" w:space="0" w:color="D5B9C0" w:themeColor="accent6" w:themeTint="66"/>
        <w:insideH w:val="single" w:sz="4" w:space="0" w:color="D5B9C0" w:themeColor="accent6" w:themeTint="66"/>
        <w:insideV w:val="single" w:sz="4" w:space="0" w:color="D5B9C0" w:themeColor="accent6" w:themeTint="66"/>
      </w:tblBorders>
    </w:tblPr>
    <w:tblStylePr w:type="firstRow">
      <w:rPr>
        <w:b/>
        <w:bCs/>
      </w:rPr>
      <w:tblPr/>
      <w:tcPr>
        <w:tcBorders>
          <w:bottom w:val="single" w:sz="12" w:space="0" w:color="C097A0" w:themeColor="accent6" w:themeTint="99"/>
        </w:tcBorders>
      </w:tcPr>
    </w:tblStylePr>
    <w:tblStylePr w:type="lastRow">
      <w:rPr>
        <w:b/>
        <w:bCs/>
      </w:rPr>
      <w:tblPr/>
      <w:tcPr>
        <w:tcBorders>
          <w:top w:val="double" w:sz="2" w:space="0" w:color="C097A0" w:themeColor="accent6" w:themeTint="99"/>
        </w:tcBorders>
      </w:tcPr>
    </w:tblStylePr>
    <w:tblStylePr w:type="firstCol">
      <w:rPr>
        <w:b/>
        <w:bCs/>
      </w:rPr>
    </w:tblStylePr>
    <w:tblStylePr w:type="lastCol">
      <w:rPr>
        <w:b/>
        <w:bCs/>
      </w:rPr>
    </w:tblStylePr>
  </w:style>
  <w:style w:type="paragraph" w:styleId="HTMLAddress">
    <w:name w:val="HTML Address"/>
    <w:basedOn w:val="Normal"/>
    <w:link w:val="HTMLAddressChar"/>
    <w:uiPriority w:val="99"/>
    <w:semiHidden/>
    <w:unhideWhenUsed/>
    <w:rsid w:val="00DE6D5C"/>
    <w:pPr>
      <w:spacing w:after="0" w:line="240" w:lineRule="auto"/>
    </w:pPr>
    <w:rPr>
      <w:i/>
      <w:iCs/>
    </w:rPr>
  </w:style>
  <w:style w:type="character" w:customStyle="1" w:styleId="HTMLAddressChar">
    <w:name w:val="HTML Address Char"/>
    <w:basedOn w:val="DefaultParagraphFont"/>
    <w:link w:val="HTMLAddress"/>
    <w:uiPriority w:val="99"/>
    <w:semiHidden/>
    <w:rsid w:val="00DE6D5C"/>
    <w:rPr>
      <w:i/>
      <w:iCs/>
      <w14:numSpacing w14:val="tabular"/>
    </w:rPr>
  </w:style>
  <w:style w:type="paragraph" w:styleId="HTMLPreformatted">
    <w:name w:val="HTML Preformatted"/>
    <w:basedOn w:val="Normal"/>
    <w:link w:val="HTMLPreformattedChar"/>
    <w:uiPriority w:val="99"/>
    <w:semiHidden/>
    <w:unhideWhenUsed/>
    <w:rsid w:val="00DE6D5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6D5C"/>
    <w:rPr>
      <w:rFonts w:ascii="Consolas" w:hAnsi="Consolas"/>
      <w:sz w:val="20"/>
      <w:szCs w:val="20"/>
      <w14:numSpacing w14:val="tabular"/>
    </w:rPr>
  </w:style>
  <w:style w:type="paragraph" w:styleId="Index1">
    <w:name w:val="index 1"/>
    <w:basedOn w:val="Normal"/>
    <w:next w:val="Normal"/>
    <w:autoRedefine/>
    <w:uiPriority w:val="99"/>
    <w:semiHidden/>
    <w:rsid w:val="00DE6D5C"/>
    <w:pPr>
      <w:ind w:left="220" w:hanging="220"/>
    </w:pPr>
    <w:rPr>
      <w:rFonts w:eastAsiaTheme="minorEastAsia"/>
    </w:rPr>
  </w:style>
  <w:style w:type="paragraph" w:styleId="Index2">
    <w:name w:val="index 2"/>
    <w:basedOn w:val="Normal"/>
    <w:next w:val="Normal"/>
    <w:autoRedefine/>
    <w:uiPriority w:val="99"/>
    <w:semiHidden/>
    <w:rsid w:val="00DE6D5C"/>
    <w:pPr>
      <w:ind w:left="440" w:hanging="220"/>
    </w:pPr>
    <w:rPr>
      <w:rFonts w:eastAsiaTheme="minorEastAsia"/>
    </w:rPr>
  </w:style>
  <w:style w:type="paragraph" w:styleId="Index3">
    <w:name w:val="index 3"/>
    <w:basedOn w:val="Normal"/>
    <w:next w:val="Normal"/>
    <w:autoRedefine/>
    <w:uiPriority w:val="99"/>
    <w:semiHidden/>
    <w:rsid w:val="00DE6D5C"/>
    <w:pPr>
      <w:ind w:left="660" w:hanging="220"/>
    </w:pPr>
    <w:rPr>
      <w:rFonts w:eastAsiaTheme="minorEastAsia"/>
    </w:rPr>
  </w:style>
  <w:style w:type="paragraph" w:styleId="Index4">
    <w:name w:val="index 4"/>
    <w:basedOn w:val="Normal"/>
    <w:next w:val="Normal"/>
    <w:autoRedefine/>
    <w:uiPriority w:val="99"/>
    <w:semiHidden/>
    <w:rsid w:val="00DE6D5C"/>
    <w:pPr>
      <w:ind w:left="880" w:hanging="220"/>
    </w:pPr>
    <w:rPr>
      <w:rFonts w:eastAsiaTheme="minorEastAsia"/>
    </w:rPr>
  </w:style>
  <w:style w:type="paragraph" w:styleId="Index5">
    <w:name w:val="index 5"/>
    <w:basedOn w:val="Normal"/>
    <w:next w:val="Normal"/>
    <w:autoRedefine/>
    <w:uiPriority w:val="99"/>
    <w:semiHidden/>
    <w:rsid w:val="00DE6D5C"/>
    <w:pPr>
      <w:ind w:left="1100" w:hanging="220"/>
    </w:pPr>
    <w:rPr>
      <w:rFonts w:eastAsiaTheme="minorEastAsia"/>
    </w:rPr>
  </w:style>
  <w:style w:type="paragraph" w:styleId="Index6">
    <w:name w:val="index 6"/>
    <w:basedOn w:val="Normal"/>
    <w:next w:val="Normal"/>
    <w:autoRedefine/>
    <w:uiPriority w:val="99"/>
    <w:semiHidden/>
    <w:rsid w:val="00DE6D5C"/>
    <w:pPr>
      <w:ind w:left="1320" w:hanging="220"/>
    </w:pPr>
    <w:rPr>
      <w:rFonts w:eastAsiaTheme="minorEastAsia"/>
    </w:rPr>
  </w:style>
  <w:style w:type="paragraph" w:styleId="Index7">
    <w:name w:val="index 7"/>
    <w:basedOn w:val="Normal"/>
    <w:next w:val="Normal"/>
    <w:autoRedefine/>
    <w:uiPriority w:val="99"/>
    <w:semiHidden/>
    <w:rsid w:val="00DE6D5C"/>
    <w:pPr>
      <w:ind w:left="1540" w:hanging="220"/>
    </w:pPr>
    <w:rPr>
      <w:rFonts w:eastAsiaTheme="minorEastAsia"/>
    </w:rPr>
  </w:style>
  <w:style w:type="paragraph" w:styleId="Index8">
    <w:name w:val="index 8"/>
    <w:basedOn w:val="Normal"/>
    <w:next w:val="Normal"/>
    <w:autoRedefine/>
    <w:uiPriority w:val="99"/>
    <w:semiHidden/>
    <w:rsid w:val="00DE6D5C"/>
    <w:pPr>
      <w:ind w:left="1760" w:hanging="220"/>
    </w:pPr>
    <w:rPr>
      <w:rFonts w:eastAsiaTheme="minorEastAsia"/>
    </w:rPr>
  </w:style>
  <w:style w:type="paragraph" w:styleId="Index9">
    <w:name w:val="index 9"/>
    <w:basedOn w:val="Normal"/>
    <w:next w:val="Normal"/>
    <w:autoRedefine/>
    <w:uiPriority w:val="99"/>
    <w:semiHidden/>
    <w:rsid w:val="00DE6D5C"/>
    <w:pPr>
      <w:ind w:left="1980" w:hanging="220"/>
    </w:pPr>
    <w:rPr>
      <w:rFonts w:eastAsiaTheme="minorEastAsia"/>
    </w:rPr>
  </w:style>
  <w:style w:type="paragraph" w:styleId="IndexHeading">
    <w:name w:val="index heading"/>
    <w:basedOn w:val="Normal"/>
    <w:next w:val="Index1"/>
    <w:uiPriority w:val="99"/>
    <w:semiHidden/>
    <w:rsid w:val="00DE6D5C"/>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DE6D5C"/>
    <w:rPr>
      <w:b/>
      <w:bCs/>
      <w:i/>
      <w:iCs/>
      <w:color w:val="auto"/>
    </w:rPr>
  </w:style>
  <w:style w:type="paragraph" w:styleId="IntenseQuote">
    <w:name w:val="Intense Quote"/>
    <w:basedOn w:val="Normal"/>
    <w:next w:val="Normal"/>
    <w:link w:val="IntenseQuoteChar"/>
    <w:uiPriority w:val="99"/>
    <w:semiHidden/>
    <w:rsid w:val="00DE6D5C"/>
    <w:pPr>
      <w:pBdr>
        <w:bottom w:val="single" w:sz="4" w:space="4" w:color="76A2A0" w:themeColor="accent1"/>
      </w:pBdr>
      <w:spacing w:before="200" w:after="280" w:line="276" w:lineRule="auto"/>
      <w:ind w:left="936" w:right="936"/>
    </w:pPr>
    <w:rPr>
      <w:rFonts w:eastAsiaTheme="minorEastAsia"/>
      <w:b/>
      <w:bCs/>
      <w:i/>
      <w:iCs/>
      <w:color w:val="76A2A0" w:themeColor="accent1"/>
    </w:rPr>
  </w:style>
  <w:style w:type="character" w:customStyle="1" w:styleId="IntenseQuoteChar">
    <w:name w:val="Intense Quote Char"/>
    <w:basedOn w:val="DefaultParagraphFont"/>
    <w:link w:val="IntenseQuote"/>
    <w:uiPriority w:val="99"/>
    <w:semiHidden/>
    <w:rsid w:val="00A6165D"/>
    <w:rPr>
      <w:rFonts w:eastAsiaTheme="minorEastAsia"/>
      <w:b/>
      <w:bCs/>
      <w:i/>
      <w:iCs/>
      <w:color w:val="76A2A0" w:themeColor="accent1"/>
      <w14:numSpacing w14:val="tabular"/>
    </w:rPr>
  </w:style>
  <w:style w:type="character" w:styleId="IntenseReference">
    <w:name w:val="Intense Reference"/>
    <w:uiPriority w:val="99"/>
    <w:semiHidden/>
    <w:rsid w:val="00DE6D5C"/>
    <w:rPr>
      <w:b/>
      <w:bCs/>
      <w:smallCaps/>
      <w:color w:val="796087" w:themeColor="accent2"/>
      <w:spacing w:val="5"/>
      <w:u w:val="single"/>
    </w:rPr>
  </w:style>
  <w:style w:type="table" w:styleId="LightList">
    <w:name w:val="Light List"/>
    <w:basedOn w:val="TableNormal"/>
    <w:uiPriority w:val="61"/>
    <w:rsid w:val="00DE6D5C"/>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DE6D5C"/>
  </w:style>
  <w:style w:type="paragraph" w:styleId="List">
    <w:name w:val="List"/>
    <w:basedOn w:val="Normal"/>
    <w:uiPriority w:val="99"/>
    <w:semiHidden/>
    <w:rsid w:val="00DE6D5C"/>
    <w:pPr>
      <w:spacing w:after="200" w:line="276" w:lineRule="auto"/>
      <w:ind w:left="360" w:hanging="360"/>
      <w:contextualSpacing/>
    </w:pPr>
    <w:rPr>
      <w:rFonts w:eastAsiaTheme="minorEastAsia"/>
    </w:rPr>
  </w:style>
  <w:style w:type="paragraph" w:styleId="List2">
    <w:name w:val="List 2"/>
    <w:basedOn w:val="Normal"/>
    <w:uiPriority w:val="99"/>
    <w:semiHidden/>
    <w:rsid w:val="00DE6D5C"/>
    <w:pPr>
      <w:spacing w:after="200" w:line="276" w:lineRule="auto"/>
      <w:ind w:left="720" w:hanging="360"/>
      <w:contextualSpacing/>
    </w:pPr>
    <w:rPr>
      <w:rFonts w:eastAsiaTheme="minorEastAsia"/>
    </w:rPr>
  </w:style>
  <w:style w:type="paragraph" w:styleId="List3">
    <w:name w:val="List 3"/>
    <w:basedOn w:val="Normal"/>
    <w:uiPriority w:val="99"/>
    <w:semiHidden/>
    <w:rsid w:val="00DE6D5C"/>
    <w:pPr>
      <w:spacing w:after="200" w:line="276" w:lineRule="auto"/>
      <w:ind w:left="1080" w:hanging="360"/>
      <w:contextualSpacing/>
    </w:pPr>
    <w:rPr>
      <w:rFonts w:eastAsiaTheme="minorEastAsia"/>
    </w:rPr>
  </w:style>
  <w:style w:type="paragraph" w:styleId="List4">
    <w:name w:val="List 4"/>
    <w:basedOn w:val="Normal"/>
    <w:uiPriority w:val="99"/>
    <w:semiHidden/>
    <w:rsid w:val="00DE6D5C"/>
    <w:pPr>
      <w:spacing w:after="200" w:line="276" w:lineRule="auto"/>
      <w:ind w:left="1440" w:hanging="360"/>
      <w:contextualSpacing/>
    </w:pPr>
    <w:rPr>
      <w:rFonts w:eastAsiaTheme="minorEastAsia"/>
    </w:rPr>
  </w:style>
  <w:style w:type="paragraph" w:styleId="List5">
    <w:name w:val="List 5"/>
    <w:basedOn w:val="Normal"/>
    <w:uiPriority w:val="99"/>
    <w:semiHidden/>
    <w:rsid w:val="00DE6D5C"/>
    <w:pPr>
      <w:spacing w:after="200" w:line="276" w:lineRule="auto"/>
      <w:ind w:left="1800" w:hanging="360"/>
      <w:contextualSpacing/>
    </w:pPr>
    <w:rPr>
      <w:rFonts w:eastAsiaTheme="minorEastAsia"/>
    </w:rPr>
  </w:style>
  <w:style w:type="paragraph" w:styleId="ListBullet">
    <w:name w:val="List Bullet"/>
    <w:basedOn w:val="Normal"/>
    <w:uiPriority w:val="99"/>
    <w:semiHidden/>
    <w:rsid w:val="00DE6D5C"/>
    <w:rPr>
      <w:rFonts w:eastAsiaTheme="minorEastAsia"/>
    </w:rPr>
  </w:style>
  <w:style w:type="paragraph" w:styleId="ListBullet2">
    <w:name w:val="List Bullet 2"/>
    <w:basedOn w:val="ListBullet"/>
    <w:uiPriority w:val="99"/>
    <w:semiHidden/>
    <w:rsid w:val="00DE6D5C"/>
    <w:pPr>
      <w:numPr>
        <w:numId w:val="2"/>
      </w:numPr>
    </w:pPr>
  </w:style>
  <w:style w:type="paragraph" w:styleId="ListBullet3">
    <w:name w:val="List Bullet 3"/>
    <w:basedOn w:val="ListBullet"/>
    <w:uiPriority w:val="99"/>
    <w:semiHidden/>
    <w:rsid w:val="00DE6D5C"/>
    <w:pPr>
      <w:numPr>
        <w:numId w:val="3"/>
      </w:numPr>
    </w:pPr>
  </w:style>
  <w:style w:type="paragraph" w:styleId="ListBullet4">
    <w:name w:val="List Bullet 4"/>
    <w:basedOn w:val="ListBullet"/>
    <w:uiPriority w:val="99"/>
    <w:semiHidden/>
    <w:rsid w:val="00DE6D5C"/>
    <w:pPr>
      <w:numPr>
        <w:numId w:val="4"/>
      </w:numPr>
    </w:pPr>
  </w:style>
  <w:style w:type="paragraph" w:styleId="ListBullet5">
    <w:name w:val="List Bullet 5"/>
    <w:basedOn w:val="Normal"/>
    <w:uiPriority w:val="99"/>
    <w:semiHidden/>
    <w:rsid w:val="00DE6D5C"/>
    <w:pPr>
      <w:numPr>
        <w:numId w:val="5"/>
      </w:numPr>
    </w:pPr>
    <w:rPr>
      <w:rFonts w:eastAsiaTheme="minorEastAsia"/>
    </w:rPr>
  </w:style>
  <w:style w:type="paragraph" w:styleId="ListContinue">
    <w:name w:val="List Continue"/>
    <w:basedOn w:val="Normal"/>
    <w:uiPriority w:val="99"/>
    <w:semiHidden/>
    <w:rsid w:val="00DE6D5C"/>
    <w:pPr>
      <w:numPr>
        <w:numId w:val="7"/>
      </w:numPr>
    </w:pPr>
    <w:rPr>
      <w:rFonts w:eastAsiaTheme="minorEastAsia"/>
    </w:rPr>
  </w:style>
  <w:style w:type="numbering" w:customStyle="1" w:styleId="ListContinue5Indents">
    <w:name w:val="List Continue (5 Indents)"/>
    <w:uiPriority w:val="99"/>
    <w:rsid w:val="00DE6D5C"/>
    <w:pPr>
      <w:numPr>
        <w:numId w:val="6"/>
      </w:numPr>
    </w:pPr>
  </w:style>
  <w:style w:type="paragraph" w:styleId="ListContinue2">
    <w:name w:val="List Continue 2"/>
    <w:basedOn w:val="ListContinue"/>
    <w:uiPriority w:val="99"/>
    <w:semiHidden/>
    <w:rsid w:val="00DE6D5C"/>
    <w:pPr>
      <w:numPr>
        <w:ilvl w:val="1"/>
      </w:numPr>
    </w:pPr>
  </w:style>
  <w:style w:type="paragraph" w:styleId="ListContinue3">
    <w:name w:val="List Continue 3"/>
    <w:basedOn w:val="ListContinue"/>
    <w:uiPriority w:val="99"/>
    <w:semiHidden/>
    <w:rsid w:val="00DE6D5C"/>
    <w:pPr>
      <w:numPr>
        <w:ilvl w:val="2"/>
      </w:numPr>
    </w:pPr>
  </w:style>
  <w:style w:type="paragraph" w:styleId="ListContinue4">
    <w:name w:val="List Continue 4"/>
    <w:basedOn w:val="ListContinue"/>
    <w:uiPriority w:val="99"/>
    <w:semiHidden/>
    <w:rsid w:val="00DE6D5C"/>
    <w:pPr>
      <w:numPr>
        <w:ilvl w:val="3"/>
      </w:numPr>
    </w:pPr>
  </w:style>
  <w:style w:type="paragraph" w:styleId="ListContinue5">
    <w:name w:val="List Continue 5"/>
    <w:basedOn w:val="ListContinue"/>
    <w:uiPriority w:val="99"/>
    <w:semiHidden/>
    <w:rsid w:val="00DE6D5C"/>
    <w:pPr>
      <w:numPr>
        <w:ilvl w:val="4"/>
      </w:numPr>
    </w:pPr>
  </w:style>
  <w:style w:type="paragraph" w:styleId="ListNumber2">
    <w:name w:val="List Number 2"/>
    <w:basedOn w:val="ListNumber"/>
    <w:uiPriority w:val="99"/>
    <w:rsid w:val="00DE6D5C"/>
    <w:pPr>
      <w:numPr>
        <w:numId w:val="9"/>
      </w:numPr>
    </w:pPr>
  </w:style>
  <w:style w:type="paragraph" w:styleId="ListNumber3">
    <w:name w:val="List Number 3"/>
    <w:basedOn w:val="ListNumber"/>
    <w:uiPriority w:val="99"/>
    <w:semiHidden/>
    <w:rsid w:val="00DE6D5C"/>
    <w:pPr>
      <w:numPr>
        <w:numId w:val="10"/>
      </w:numPr>
      <w:spacing w:after="200" w:line="276" w:lineRule="auto"/>
      <w:contextualSpacing/>
    </w:pPr>
  </w:style>
  <w:style w:type="paragraph" w:styleId="ListNumber4">
    <w:name w:val="List Number 4"/>
    <w:basedOn w:val="ListNumber"/>
    <w:uiPriority w:val="99"/>
    <w:semiHidden/>
    <w:rsid w:val="00DE6D5C"/>
    <w:pPr>
      <w:numPr>
        <w:numId w:val="11"/>
      </w:numPr>
      <w:spacing w:after="200" w:line="276" w:lineRule="auto"/>
      <w:contextualSpacing/>
    </w:pPr>
  </w:style>
  <w:style w:type="paragraph" w:styleId="ListNumber5">
    <w:name w:val="List Number 5"/>
    <w:basedOn w:val="ListNumber"/>
    <w:uiPriority w:val="99"/>
    <w:semiHidden/>
    <w:rsid w:val="00DE6D5C"/>
    <w:pPr>
      <w:numPr>
        <w:numId w:val="12"/>
      </w:numPr>
      <w:spacing w:after="200" w:line="276" w:lineRule="auto"/>
      <w:contextualSpacing/>
    </w:pPr>
  </w:style>
  <w:style w:type="paragraph" w:styleId="ListParagraph">
    <w:name w:val="List Paragraph"/>
    <w:basedOn w:val="Normal"/>
    <w:qFormat/>
    <w:rsid w:val="007A4F11"/>
    <w:pPr>
      <w:spacing w:after="80"/>
      <w:ind w:left="720"/>
    </w:pPr>
    <w:rPr>
      <w:rFonts w:eastAsiaTheme="minorEastAsia"/>
    </w:rPr>
  </w:style>
  <w:style w:type="paragraph" w:styleId="MacroText">
    <w:name w:val="macro"/>
    <w:link w:val="MacroTextChar"/>
    <w:uiPriority w:val="99"/>
    <w:semiHidden/>
    <w:rsid w:val="00DE6D5C"/>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DE6D5C"/>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DE6D5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E6D5C"/>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DE6D5C"/>
    <w:pPr>
      <w:spacing w:after="200" w:line="276" w:lineRule="auto"/>
    </w:pPr>
    <w:rPr>
      <w:rFonts w:ascii="Times New Roman" w:eastAsiaTheme="minorEastAsia" w:hAnsi="Times New Roman" w:cs="Times New Roman"/>
      <w:sz w:val="24"/>
      <w:szCs w:val="24"/>
    </w:rPr>
  </w:style>
  <w:style w:type="paragraph" w:styleId="NormalIndent">
    <w:name w:val="Normal Indent"/>
    <w:basedOn w:val="Normal"/>
    <w:uiPriority w:val="99"/>
    <w:semiHidden/>
    <w:rsid w:val="00DE6D5C"/>
    <w:pPr>
      <w:spacing w:after="200" w:line="276" w:lineRule="auto"/>
      <w:ind w:left="720"/>
    </w:pPr>
    <w:rPr>
      <w:rFonts w:eastAsiaTheme="minorEastAsia"/>
    </w:rPr>
  </w:style>
  <w:style w:type="paragraph" w:styleId="NoteHeading">
    <w:name w:val="Note Heading"/>
    <w:basedOn w:val="Normal"/>
    <w:next w:val="Normal"/>
    <w:link w:val="NoteHeadingChar"/>
    <w:uiPriority w:val="99"/>
    <w:semiHidden/>
    <w:rsid w:val="00DE6D5C"/>
    <w:rPr>
      <w:rFonts w:eastAsiaTheme="minorEastAsia"/>
    </w:rPr>
  </w:style>
  <w:style w:type="character" w:customStyle="1" w:styleId="NoteHeadingChar">
    <w:name w:val="Note Heading Char"/>
    <w:basedOn w:val="DefaultParagraphFont"/>
    <w:link w:val="NoteHeading"/>
    <w:uiPriority w:val="99"/>
    <w:semiHidden/>
    <w:rsid w:val="00DE6D5C"/>
    <w:rPr>
      <w:rFonts w:eastAsiaTheme="minorEastAsia"/>
      <w14:numSpacing w14:val="tabular"/>
    </w:rPr>
  </w:style>
  <w:style w:type="numbering" w:customStyle="1" w:styleId="NumberedList">
    <w:name w:val="Numbered List"/>
    <w:uiPriority w:val="99"/>
    <w:rsid w:val="00DE6D5C"/>
    <w:pPr>
      <w:numPr>
        <w:numId w:val="13"/>
      </w:numPr>
    </w:pPr>
  </w:style>
  <w:style w:type="character" w:styleId="PageNumber">
    <w:name w:val="page number"/>
    <w:basedOn w:val="DefaultParagraphFont"/>
    <w:uiPriority w:val="99"/>
    <w:semiHidden/>
    <w:rsid w:val="00DE6D5C"/>
  </w:style>
  <w:style w:type="paragraph" w:styleId="PlainText">
    <w:name w:val="Plain Text"/>
    <w:basedOn w:val="Normal"/>
    <w:link w:val="PlainTextChar"/>
    <w:uiPriority w:val="99"/>
    <w:semiHidden/>
    <w:rsid w:val="00DE6D5C"/>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DE6D5C"/>
    <w:rPr>
      <w:rFonts w:ascii="Consolas" w:eastAsiaTheme="minorEastAsia" w:hAnsi="Consolas" w:cs="Consolas"/>
      <w:sz w:val="21"/>
      <w:szCs w:val="21"/>
      <w14:numSpacing w14:val="tabular"/>
    </w:rPr>
  </w:style>
  <w:style w:type="paragraph" w:styleId="Quote">
    <w:name w:val="Quote"/>
    <w:basedOn w:val="Normal"/>
    <w:next w:val="Normal"/>
    <w:link w:val="QuoteChar"/>
    <w:uiPriority w:val="99"/>
    <w:rsid w:val="00DE6D5C"/>
    <w:pPr>
      <w:spacing w:after="200" w:line="276" w:lineRule="auto"/>
    </w:pPr>
    <w:rPr>
      <w:rFonts w:eastAsiaTheme="minorEastAsia"/>
      <w:i/>
      <w:iCs/>
    </w:rPr>
  </w:style>
  <w:style w:type="character" w:customStyle="1" w:styleId="QuoteChar">
    <w:name w:val="Quote Char"/>
    <w:basedOn w:val="DefaultParagraphFont"/>
    <w:link w:val="Quote"/>
    <w:uiPriority w:val="99"/>
    <w:rsid w:val="00DE6D5C"/>
    <w:rPr>
      <w:rFonts w:eastAsiaTheme="minorEastAsia"/>
      <w:i/>
      <w:iCs/>
      <w14:numSpacing w14:val="tabular"/>
    </w:rPr>
  </w:style>
  <w:style w:type="paragraph" w:styleId="Salutation">
    <w:name w:val="Salutation"/>
    <w:basedOn w:val="Normal"/>
    <w:next w:val="Normal"/>
    <w:link w:val="SalutationChar"/>
    <w:uiPriority w:val="99"/>
    <w:semiHidden/>
    <w:rsid w:val="00DE6D5C"/>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DE6D5C"/>
    <w:rPr>
      <w:rFonts w:eastAsiaTheme="minorEastAsia"/>
      <w14:numSpacing w14:val="tabular"/>
    </w:rPr>
  </w:style>
  <w:style w:type="paragraph" w:styleId="Signature">
    <w:name w:val="Signature"/>
    <w:basedOn w:val="Normal"/>
    <w:link w:val="SignatureChar"/>
    <w:uiPriority w:val="99"/>
    <w:semiHidden/>
    <w:rsid w:val="00DE6D5C"/>
    <w:pPr>
      <w:ind w:left="4320"/>
    </w:pPr>
    <w:rPr>
      <w:rFonts w:eastAsiaTheme="minorEastAsia"/>
    </w:rPr>
  </w:style>
  <w:style w:type="character" w:customStyle="1" w:styleId="SignatureChar">
    <w:name w:val="Signature Char"/>
    <w:basedOn w:val="DefaultParagraphFont"/>
    <w:link w:val="Signature"/>
    <w:uiPriority w:val="99"/>
    <w:semiHidden/>
    <w:rsid w:val="00DE6D5C"/>
    <w:rPr>
      <w:rFonts w:eastAsiaTheme="minorEastAsia"/>
      <w14:numSpacing w14:val="tabular"/>
    </w:rPr>
  </w:style>
  <w:style w:type="character" w:styleId="SubtleEmphasis">
    <w:name w:val="Subtle Emphasis"/>
    <w:uiPriority w:val="99"/>
    <w:rsid w:val="00DE6D5C"/>
    <w:rPr>
      <w:i/>
      <w:iCs/>
      <w:color w:val="808080" w:themeColor="text1" w:themeTint="7F"/>
    </w:rPr>
  </w:style>
  <w:style w:type="character" w:styleId="SubtleReference">
    <w:name w:val="Subtle Reference"/>
    <w:uiPriority w:val="99"/>
    <w:rsid w:val="00DE6D5C"/>
    <w:rPr>
      <w:smallCaps/>
      <w:color w:val="796087" w:themeColor="accent2"/>
      <w:u w:val="single"/>
    </w:rPr>
  </w:style>
  <w:style w:type="numbering" w:customStyle="1" w:styleId="Tablenumbersmall">
    <w:name w:val="Table number small"/>
    <w:uiPriority w:val="99"/>
    <w:rsid w:val="00DE6D5C"/>
    <w:pPr>
      <w:numPr>
        <w:numId w:val="14"/>
      </w:numPr>
    </w:pPr>
  </w:style>
  <w:style w:type="numbering" w:customStyle="1" w:styleId="Tablenumberingsmall">
    <w:name w:val="Table numbering small"/>
    <w:basedOn w:val="NoList"/>
    <w:uiPriority w:val="99"/>
    <w:rsid w:val="00DE6D5C"/>
    <w:pPr>
      <w:numPr>
        <w:numId w:val="15"/>
      </w:numPr>
    </w:pPr>
  </w:style>
  <w:style w:type="paragraph" w:styleId="TableofAuthorities">
    <w:name w:val="table of authorities"/>
    <w:basedOn w:val="Normal"/>
    <w:next w:val="Normal"/>
    <w:uiPriority w:val="99"/>
    <w:semiHidden/>
    <w:rsid w:val="00DE6D5C"/>
    <w:pPr>
      <w:spacing w:line="276" w:lineRule="auto"/>
      <w:ind w:left="220" w:hanging="220"/>
    </w:pPr>
    <w:rPr>
      <w:rFonts w:eastAsiaTheme="minorEastAsia"/>
    </w:rPr>
  </w:style>
  <w:style w:type="paragraph" w:styleId="TOAHeading">
    <w:name w:val="toa heading"/>
    <w:basedOn w:val="Normal"/>
    <w:next w:val="Normal"/>
    <w:uiPriority w:val="99"/>
    <w:semiHidden/>
    <w:rsid w:val="00DE6D5C"/>
    <w:pPr>
      <w:spacing w:before="120" w:after="200" w:line="276" w:lineRule="auto"/>
    </w:pPr>
    <w:rPr>
      <w:rFonts w:asciiTheme="majorHAnsi" w:eastAsiaTheme="majorEastAsia" w:hAnsiTheme="majorHAnsi" w:cstheme="majorBidi"/>
      <w:b/>
      <w:bCs/>
      <w:sz w:val="24"/>
      <w:szCs w:val="24"/>
    </w:rPr>
  </w:style>
  <w:style w:type="paragraph" w:styleId="TOC4">
    <w:name w:val="toc 4"/>
    <w:basedOn w:val="Normal"/>
    <w:next w:val="Normal"/>
    <w:autoRedefine/>
    <w:uiPriority w:val="99"/>
    <w:semiHidden/>
    <w:rsid w:val="00DE6D5C"/>
    <w:pPr>
      <w:ind w:left="360"/>
    </w:pPr>
    <w:rPr>
      <w:sz w:val="20"/>
      <w:szCs w:val="20"/>
    </w:rPr>
  </w:style>
  <w:style w:type="paragraph" w:styleId="TOC5">
    <w:name w:val="toc 5"/>
    <w:basedOn w:val="Normal"/>
    <w:next w:val="Normal"/>
    <w:autoRedefine/>
    <w:uiPriority w:val="99"/>
    <w:semiHidden/>
    <w:rsid w:val="00DE6D5C"/>
    <w:pPr>
      <w:ind w:left="540"/>
    </w:pPr>
    <w:rPr>
      <w:sz w:val="20"/>
      <w:szCs w:val="20"/>
    </w:rPr>
  </w:style>
  <w:style w:type="paragraph" w:styleId="TOC6">
    <w:name w:val="toc 6"/>
    <w:basedOn w:val="Normal"/>
    <w:next w:val="Normal"/>
    <w:autoRedefine/>
    <w:uiPriority w:val="99"/>
    <w:semiHidden/>
    <w:rsid w:val="00DE6D5C"/>
    <w:pPr>
      <w:ind w:left="720"/>
    </w:pPr>
    <w:rPr>
      <w:sz w:val="20"/>
      <w:szCs w:val="20"/>
    </w:rPr>
  </w:style>
  <w:style w:type="paragraph" w:styleId="TOC7">
    <w:name w:val="toc 7"/>
    <w:basedOn w:val="Normal"/>
    <w:next w:val="Normal"/>
    <w:autoRedefine/>
    <w:uiPriority w:val="99"/>
    <w:semiHidden/>
    <w:rsid w:val="00DE6D5C"/>
    <w:pPr>
      <w:ind w:left="900"/>
    </w:pPr>
    <w:rPr>
      <w:sz w:val="20"/>
      <w:szCs w:val="20"/>
    </w:rPr>
  </w:style>
  <w:style w:type="paragraph" w:styleId="TOC8">
    <w:name w:val="toc 8"/>
    <w:basedOn w:val="Normal"/>
    <w:next w:val="Normal"/>
    <w:autoRedefine/>
    <w:uiPriority w:val="99"/>
    <w:semiHidden/>
    <w:rsid w:val="00DE6D5C"/>
    <w:pPr>
      <w:ind w:left="1080"/>
    </w:pPr>
    <w:rPr>
      <w:sz w:val="20"/>
      <w:szCs w:val="20"/>
    </w:rPr>
  </w:style>
  <w:style w:type="paragraph" w:styleId="TOC9">
    <w:name w:val="toc 9"/>
    <w:basedOn w:val="Normal"/>
    <w:next w:val="Normal"/>
    <w:autoRedefine/>
    <w:uiPriority w:val="99"/>
    <w:semiHidden/>
    <w:rsid w:val="00DE6D5C"/>
    <w:pPr>
      <w:ind w:left="1260"/>
    </w:pPr>
    <w:rPr>
      <w:sz w:val="20"/>
      <w:szCs w:val="20"/>
    </w:rPr>
  </w:style>
  <w:style w:type="table" w:styleId="TableGrid">
    <w:name w:val="Table Grid"/>
    <w:basedOn w:val="TableNormal"/>
    <w:uiPriority w:val="39"/>
    <w:rsid w:val="00DE6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E6D5C"/>
    <w:rPr>
      <w:color w:val="605E5C"/>
      <w:shd w:val="clear" w:color="auto" w:fill="E1DFDD"/>
    </w:rPr>
  </w:style>
  <w:style w:type="paragraph" w:styleId="Revision">
    <w:name w:val="Revision"/>
    <w:hidden/>
    <w:uiPriority w:val="99"/>
    <w:semiHidden/>
    <w:rsid w:val="006B6995"/>
    <w:pPr>
      <w:spacing w:after="0" w:line="240" w:lineRule="auto"/>
    </w:pPr>
    <w:rPr>
      <w14:numSpacing w14:val="tabular"/>
    </w:rPr>
  </w:style>
  <w:style w:type="paragraph" w:customStyle="1" w:styleId="Tableheading">
    <w:name w:val="Table heading"/>
    <w:basedOn w:val="Normal"/>
    <w:next w:val="Normal"/>
    <w:uiPriority w:val="6"/>
    <w:qFormat/>
    <w:rsid w:val="007A4F11"/>
    <w:pPr>
      <w:keepNext/>
      <w:keepLines/>
      <w:spacing w:before="180" w:after="0" w:line="240" w:lineRule="auto"/>
    </w:pPr>
    <w:rPr>
      <w:b/>
      <w:color w:val="AE562C"/>
    </w:rPr>
  </w:style>
  <w:style w:type="paragraph" w:customStyle="1" w:styleId="Checkboxbullets130pillar">
    <w:name w:val="Checkbox bullets 130 pillar"/>
    <w:basedOn w:val="Checkboxbulletsblack"/>
    <w:qFormat/>
    <w:rsid w:val="007A4F11"/>
    <w:pPr>
      <w:numPr>
        <w:numId w:val="36"/>
      </w:numPr>
      <w:pBdr>
        <w:top w:val="single" w:sz="18" w:space="9" w:color="5C5651"/>
        <w:left w:val="single" w:sz="18" w:space="9" w:color="5C5651"/>
        <w:bottom w:val="single" w:sz="18" w:space="9" w:color="5C5651"/>
        <w:right w:val="single" w:sz="18" w:space="9" w:color="5C5651"/>
      </w:pBdr>
    </w:pPr>
    <w:rPr>
      <w:color w:val="5C5651"/>
    </w:rPr>
  </w:style>
  <w:style w:type="paragraph" w:customStyle="1" w:styleId="Checkboxbulletssolid130pillar">
    <w:name w:val="Checkbox bullets solid 130 pillar"/>
    <w:basedOn w:val="Checkboxbulletssolid"/>
    <w:qFormat/>
    <w:rsid w:val="007A4F11"/>
    <w:pPr>
      <w:pBdr>
        <w:top w:val="single" w:sz="36" w:space="9" w:color="5C5651"/>
        <w:left w:val="single" w:sz="36" w:space="9" w:color="5C5651"/>
        <w:bottom w:val="single" w:sz="36" w:space="9" w:color="5C5651"/>
        <w:right w:val="single" w:sz="36" w:space="9" w:color="5C5651"/>
      </w:pBdr>
      <w:shd w:val="clear" w:color="auto" w:fill="5C5651"/>
    </w:pPr>
  </w:style>
  <w:style w:type="paragraph" w:customStyle="1" w:styleId="Heading1noTOC">
    <w:name w:val="Heading 1 no TOC"/>
    <w:basedOn w:val="Heading1"/>
    <w:qFormat/>
    <w:rsid w:val="007A4F1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751433">
      <w:bodyDiv w:val="1"/>
      <w:marLeft w:val="0"/>
      <w:marRight w:val="0"/>
      <w:marTop w:val="0"/>
      <w:marBottom w:val="0"/>
      <w:divBdr>
        <w:top w:val="none" w:sz="0" w:space="0" w:color="auto"/>
        <w:left w:val="none" w:sz="0" w:space="0" w:color="auto"/>
        <w:bottom w:val="none" w:sz="0" w:space="0" w:color="auto"/>
        <w:right w:val="none" w:sz="0" w:space="0" w:color="auto"/>
      </w:divBdr>
    </w:div>
    <w:div w:id="1691561192">
      <w:bodyDiv w:val="1"/>
      <w:marLeft w:val="0"/>
      <w:marRight w:val="0"/>
      <w:marTop w:val="0"/>
      <w:marBottom w:val="0"/>
      <w:divBdr>
        <w:top w:val="none" w:sz="0" w:space="0" w:color="auto"/>
        <w:left w:val="none" w:sz="0" w:space="0" w:color="auto"/>
        <w:bottom w:val="none" w:sz="0" w:space="0" w:color="auto"/>
        <w:right w:val="none" w:sz="0" w:space="0" w:color="auto"/>
      </w:divBdr>
    </w:div>
    <w:div w:id="18082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20Cohlmia\OneDrive%20-%20Oracle%20Corporation\Documents\Custom%20Office%20Templates\Oracle%20Health%20Word%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F9F6C7C5C924A4F80C6E336609852A1"/>
        <w:category>
          <w:name w:val="General"/>
          <w:gallery w:val="placeholder"/>
        </w:category>
        <w:types>
          <w:type w:val="bbPlcHdr"/>
        </w:types>
        <w:behaviors>
          <w:behavior w:val="content"/>
        </w:behaviors>
        <w:guid w:val="{D042A832-3A11-4B8F-81C4-2C8844121DE4}"/>
      </w:docPartPr>
      <w:docPartBody>
        <w:p w:rsidR="00193809" w:rsidRDefault="00193809">
          <w:pPr>
            <w:pStyle w:val="5F9F6C7C5C924A4F80C6E336609852A1"/>
          </w:pPr>
          <w:bookmarkStart w:id="0" w:name="_Hlk127196014"/>
          <w:bookmarkEnd w:id="0"/>
          <w:r w:rsidRPr="00CF1C42">
            <w:rPr>
              <w:rStyle w:val="PlaceholderText"/>
            </w:rPr>
            <w:t>Click or tap here to enter text.</w:t>
          </w:r>
        </w:p>
      </w:docPartBody>
    </w:docPart>
    <w:docPart>
      <w:docPartPr>
        <w:name w:val="D12766F925FB4C9AB8260636ADC25FB0"/>
        <w:category>
          <w:name w:val="General"/>
          <w:gallery w:val="placeholder"/>
        </w:category>
        <w:types>
          <w:type w:val="bbPlcHdr"/>
        </w:types>
        <w:behaviors>
          <w:behavior w:val="content"/>
        </w:behaviors>
        <w:guid w:val="{7C500AE1-2D09-475E-8C6C-8C114791FCE4}"/>
      </w:docPartPr>
      <w:docPartBody>
        <w:p w:rsidR="00193809" w:rsidRDefault="00193809" w:rsidP="00193809">
          <w:pPr>
            <w:pStyle w:val="D12766F925FB4C9AB8260636ADC25FB0"/>
          </w:pPr>
          <w:r w:rsidRPr="00214D31">
            <w:rPr>
              <w:highlight w:val="yellow"/>
            </w:rPr>
            <w:t>SELECT FROM 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altName w:val="Sylfaen"/>
    <w:panose1 w:val="020B0503020204020204"/>
    <w:charset w:val="00"/>
    <w:family w:val="swiss"/>
    <w:pitch w:val="variable"/>
    <w:sig w:usb0="A10006EF" w:usb1="400060FB" w:usb2="00000000" w:usb3="00000000" w:csb0="0000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809"/>
    <w:rsid w:val="00193809"/>
    <w:rsid w:val="00254FA8"/>
    <w:rsid w:val="004F4E1E"/>
    <w:rsid w:val="00510985"/>
    <w:rsid w:val="00551BC1"/>
    <w:rsid w:val="0067290A"/>
    <w:rsid w:val="008B48B3"/>
    <w:rsid w:val="009047A7"/>
    <w:rsid w:val="009A0809"/>
    <w:rsid w:val="00A46E11"/>
    <w:rsid w:val="00BE0D16"/>
    <w:rsid w:val="00C1762E"/>
    <w:rsid w:val="00C807C3"/>
    <w:rsid w:val="00DD232F"/>
    <w:rsid w:val="00DD6AA7"/>
    <w:rsid w:val="00E275B1"/>
    <w:rsid w:val="00ED71B8"/>
    <w:rsid w:val="00F93C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AE562C"/>
    </w:rPr>
  </w:style>
  <w:style w:type="paragraph" w:customStyle="1" w:styleId="5F9F6C7C5C924A4F80C6E336609852A1">
    <w:name w:val="5F9F6C7C5C924A4F80C6E336609852A1"/>
  </w:style>
  <w:style w:type="paragraph" w:customStyle="1" w:styleId="D12766F925FB4C9AB8260636ADC25FB0">
    <w:name w:val="D12766F925FB4C9AB8260636ADC25FB0"/>
    <w:rsid w:val="001938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racle Accessible Oracle Health_Sky 2023">
  <a:themeElements>
    <a:clrScheme name="Oracle Accessible Final">
      <a:dk1>
        <a:sysClr val="windowText" lastClr="000000"/>
      </a:dk1>
      <a:lt1>
        <a:sysClr val="window" lastClr="FFFFFF"/>
      </a:lt1>
      <a:dk2>
        <a:srgbClr val="312D2A"/>
      </a:dk2>
      <a:lt2>
        <a:srgbClr val="FCFBFA"/>
      </a:lt2>
      <a:accent1>
        <a:srgbClr val="76A2A0"/>
      </a:accent1>
      <a:accent2>
        <a:srgbClr val="796087"/>
      </a:accent2>
      <a:accent3>
        <a:srgbClr val="C28897"/>
      </a:accent3>
      <a:accent4>
        <a:srgbClr val="315357"/>
      </a:accent4>
      <a:accent5>
        <a:srgbClr val="C58C52"/>
      </a:accent5>
      <a:accent6>
        <a:srgbClr val="925865"/>
      </a:accent6>
      <a:hlink>
        <a:srgbClr val="2C5967"/>
      </a:hlink>
      <a:folHlink>
        <a:srgbClr val="2C5967"/>
      </a:folHlink>
    </a:clrScheme>
    <a:fontScheme name="Oracle Georgia_Oracle Sans">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Oracle Red">
      <a:srgbClr val="C74634"/>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Sky 10: Light fill_Black text">
      <a:srgbClr val="F6FAFC"/>
    </a:custClr>
    <a:custClr name="Sky 20: Light fill_Black text">
      <a:srgbClr val="EDF6F9"/>
    </a:custClr>
    <a:custClr name="Sky 30: Light fill_Black text">
      <a:srgbClr val="E4F1F7"/>
    </a:custClr>
    <a:custClr name="text Sky 40: Light fill_Black text">
      <a:srgbClr val="D0E5EE"/>
    </a:custClr>
    <a:custClr name="Sky 50: Light fill_Black text">
      <a:srgbClr val="B4D5E1"/>
    </a:custClr>
    <a:custClr name="Sky 60: Light fill_Black text">
      <a:srgbClr val="8FBFD0"/>
    </a:custClr>
    <a:custClr name="Sky 70: Light fill_Black text">
      <a:srgbClr val="79B1C6"/>
    </a:custClr>
    <a:custClr name="Sky 80: Light fill_Black text">
      <a:srgbClr val="5FA2BA"/>
    </a:custClr>
    <a:custClr name="Sky 90: Light fill_Black text">
      <a:srgbClr val="4190AC"/>
    </a:custClr>
    <a:custClr name="Sky 100: Dark fill_White text">
      <a:srgbClr val="227E9E"/>
    </a:custClr>
    <a:custClr name="Sky 110: Dark fill_White text">
      <a:srgbClr val="0E7295"/>
    </a:custClr>
    <a:custClr name="Sky 120: Dark fill_White text">
      <a:srgbClr val="00688C"/>
    </a:custClr>
    <a:custClr name="Sky 130: Dark fill_White text">
      <a:srgbClr val="025E7E"/>
    </a:custClr>
    <a:custClr name="Sky 140: Dark fill_White text">
      <a:srgbClr val="04536F"/>
    </a:custClr>
    <a:custClr name="Sky 150: Dark fill_White text">
      <a:srgbClr val="06485F"/>
    </a:custClr>
    <a:custClr name="Sky 160: Dark fill_White text">
      <a:srgbClr val="063C4E"/>
    </a:custClr>
    <a:custClr name="Sky 170: Dark fill_White text">
      <a:srgbClr val="053242"/>
    </a:custClr>
    <a:custClr name="Sky 180: Dark fill_White text">
      <a:srgbClr val="04232D"/>
    </a:custClr>
    <a:custClr name="Sky 190: Dark fill_White text">
      <a:srgbClr val="02181F"/>
    </a:custClr>
    <a:custClr name="Blank">
      <a:srgbClr val="FFFFFF"/>
    </a:custClr>
    <a:custClr name="Light fill_Black text">
      <a:srgbClr val="FFFFFF"/>
    </a:custClr>
    <a:custClr name="Light fill_Black text">
      <a:srgbClr val="FFFFFF"/>
    </a:custClr>
    <a:custClr name="Light fill_Black text">
      <a:srgbClr val="FFFFFF"/>
    </a:custClr>
    <a:custClr name="Dark fill_White text">
      <a:srgbClr val="FFFFFF"/>
    </a:custClr>
    <a:custClr name="Dark fill_White text">
      <a:srgbClr val="FFFFFF"/>
    </a:custClr>
    <a:custClr name="Dark fill_White text">
      <a:srgbClr val="FFFFFF"/>
    </a:custClr>
    <a:custClr name="Position 36">
      <a:srgbClr val="FFFFFF"/>
    </a:custClr>
    <a:custClr name="Position 37">
      <a:srgbClr val="FFFFFF"/>
    </a:custClr>
    <a:custClr name="Position 38">
      <a:srgbClr val="FFFFFF"/>
    </a:custClr>
    <a:custClr name="Position 39">
      <a:srgbClr val="FFFFFF"/>
    </a:custClr>
    <a:custClr name="Position 40">
      <a:srgbClr val="FFFFFF"/>
    </a:custClr>
    <a:custClr name="Position 41">
      <a:srgbClr val="FFFFFF"/>
    </a:custClr>
    <a:custClr name="Position 42">
      <a:srgbClr val="FFFFFF"/>
    </a:custClr>
    <a:custClr name="Position 43">
      <a:srgbClr val="FFFFFF"/>
    </a:custClr>
    <a:custClr name="Position 44">
      <a:srgbClr val="FFFFFF"/>
    </a:custClr>
    <a:custClr name="Position 45">
      <a:srgbClr val="FFFFFF"/>
    </a:custClr>
    <a:custClr name="Position 46">
      <a:srgbClr val="FFFFFF"/>
    </a:custClr>
    <a:custClr name="Position 47">
      <a:srgbClr val="FFFFFF"/>
    </a:custClr>
    <a:custClr name="Position 48">
      <a:srgbClr val="FFFFFF"/>
    </a:custClr>
    <a:custClr name="Position 49">
      <a:srgbClr val="FFFFFF"/>
    </a:custClr>
    <a:custClr name="Position 50">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01D2A6D7D7534EBA8CBE676DE74CF8" ma:contentTypeVersion="15" ma:contentTypeDescription="Create a new document." ma:contentTypeScope="" ma:versionID="b1910d6e4b0c32d3ecc00eb8cf42921a">
  <xsd:schema xmlns:xsd="http://www.w3.org/2001/XMLSchema" xmlns:xs="http://www.w3.org/2001/XMLSchema" xmlns:p="http://schemas.microsoft.com/office/2006/metadata/properties" xmlns:ns2="f085ca05-1a56-417b-bcef-25b3bd9988f8" xmlns:ns3="3eb3ecd9-655b-4575-a817-76fd8a7238e7" xmlns:ns4="4d9f5082-51fb-4471-b1f1-fc0f3dde74ac" targetNamespace="http://schemas.microsoft.com/office/2006/metadata/properties" ma:root="true" ma:fieldsID="045adcd62449a18250eb546aabab034c" ns2:_="" ns3:_="" ns4:_="">
    <xsd:import namespace="f085ca05-1a56-417b-bcef-25b3bd9988f8"/>
    <xsd:import namespace="3eb3ecd9-655b-4575-a817-76fd8a7238e7"/>
    <xsd:import namespace="4d9f5082-51fb-4471-b1f1-fc0f3dde74ac"/>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eb3ecd9-655b-4575-a817-76fd8a7238e7"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9f5082-51fb-4471-b1f1-fc0f3dde74a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f0bdaf0-7d55-4558-9945-e86362cd355f}" ma:internalName="TaxCatchAll" ma:showField="CatchAllData" ma:web="4d9f5082-51fb-4471-b1f1-fc0f3dde7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d9f5082-51fb-4471-b1f1-fc0f3dde74ac" xsi:nil="true"/>
    <lcf76f155ced4ddcb4097134ff3c332f xmlns="3eb3ecd9-655b-4575-a817-76fd8a7238e7">
      <Terms xmlns="http://schemas.microsoft.com/office/infopath/2007/PartnerControls"/>
    </lcf76f155ced4ddcb4097134ff3c332f>
    <IncludeInSearch xmlns="f085ca05-1a56-417b-bcef-25b3bd9988f8">true</IncludeInSearch>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haredContentType xmlns="Microsoft.SharePoint.Taxonomy.ContentTypeSync" SourceId="4b6b08d2-6182-4197-8221-8710a9404ced" ContentTypeId="0x0101"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8DC895-FBCE-4544-8EF2-A3F24C1EC4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3eb3ecd9-655b-4575-a817-76fd8a7238e7"/>
    <ds:schemaRef ds:uri="4d9f5082-51fb-4471-b1f1-fc0f3dde74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D7A41A-7B0B-4E2F-9E85-AF355B321CB3}">
  <ds:schemaRefs>
    <ds:schemaRef ds:uri="http://schemas.microsoft.com/office/2006/metadata/properties"/>
    <ds:schemaRef ds:uri="http://schemas.microsoft.com/office/infopath/2007/PartnerControls"/>
    <ds:schemaRef ds:uri="4d9f5082-51fb-4471-b1f1-fc0f3dde74ac"/>
    <ds:schemaRef ds:uri="3eb3ecd9-655b-4575-a817-76fd8a7238e7"/>
    <ds:schemaRef ds:uri="f085ca05-1a56-417b-bcef-25b3bd9988f8"/>
  </ds:schemaRefs>
</ds:datastoreItem>
</file>

<file path=customXml/itemProps3.xml><?xml version="1.0" encoding="utf-8"?>
<ds:datastoreItem xmlns:ds="http://schemas.openxmlformats.org/officeDocument/2006/customXml" ds:itemID="{91B4DB08-D0AB-46D2-8225-E97CB87753C7}">
  <ds:schemaRefs>
    <ds:schemaRef ds:uri="http://schemas.openxmlformats.org/officeDocument/2006/bibliography"/>
  </ds:schemaRefs>
</ds:datastoreItem>
</file>

<file path=customXml/itemProps4.xml><?xml version="1.0" encoding="utf-8"?>
<ds:datastoreItem xmlns:ds="http://schemas.openxmlformats.org/officeDocument/2006/customXml" ds:itemID="{B6AF44CE-C799-469C-8737-4786E0FDFD21}">
  <ds:schemaRefs>
    <ds:schemaRef ds:uri="Microsoft.SharePoint.Taxonomy.ContentTypeSync"/>
  </ds:schemaRefs>
</ds:datastoreItem>
</file>

<file path=customXml/itemProps5.xml><?xml version="1.0" encoding="utf-8"?>
<ds:datastoreItem xmlns:ds="http://schemas.openxmlformats.org/officeDocument/2006/customXml" ds:itemID="{C8ECEB30-7E10-4888-BACD-39E2F1AAA580}">
  <ds:schemaRefs>
    <ds:schemaRef ds:uri="http://schemas.microsoft.com/sharepoint/v3/contenttype/forms"/>
  </ds:schemaRefs>
</ds:datastoreItem>
</file>

<file path=docMetadata/LabelInfo.xml><?xml version="1.0" encoding="utf-8"?>
<clbl:labelList xmlns:clbl="http://schemas.microsoft.com/office/2020/mipLabelMetadata">
  <clbl:label id="{3c76ce46-357f-46de-88d6-77b9bbb83c46}" enabled="1" method="Privileged" siteId="{4e2c6054-71cb-48f1-bd6c-3a9705aca71b}" removed="0"/>
</clbl:labelList>
</file>

<file path=docProps/app.xml><?xml version="1.0" encoding="utf-8"?>
<Properties xmlns="http://schemas.openxmlformats.org/officeDocument/2006/extended-properties" xmlns:vt="http://schemas.openxmlformats.org/officeDocument/2006/docPropsVTypes">
  <Template>C:\Users\Matt Cohlmia\OneDrive - Oracle Corporation\Documents\Custom Office Templates\Oracle Health Word Template.dotx</Template>
  <TotalTime>0</TotalTime>
  <Pages>6</Pages>
  <Words>3371</Words>
  <Characters>19217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2026-03-19T03:37:00Z</dcterms:created>
  <dcterms:modified xsi:type="dcterms:W3CDTF">2026-03-19T12:11:00Z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0x0101002E01D2A6D7D7534EBA8CBE676DE74CF8</vt:lpwstr>
  </property>
  <property fmtid="{D5CDD505-2E9C-101B-9397-08002B2CF9AE}" pid="3" name="MSIP_Label_3c76ce46-357f-46de-88d6-77b9bbb83c46_Enabled">
    <vt:lpwstr>true</vt:lpwstr>
  </property>
  <property fmtid="{D5CDD505-2E9C-101B-9397-08002B2CF9AE}" pid="4" name="MSIP_Label_3c76ce46-357f-46de-88d6-77b9bbb83c46_SetDate">
    <vt:lpwstr>2025-04-23T04:24:07Z</vt:lpwstr>
  </property>
  <property fmtid="{D5CDD505-2E9C-101B-9397-08002B2CF9AE}" pid="5" name="MSIP_Label_3c76ce46-357f-46de-88d6-77b9bbb83c46_Method">
    <vt:lpwstr>Privileged</vt:lpwstr>
  </property>
  <property fmtid="{D5CDD505-2E9C-101B-9397-08002B2CF9AE}" pid="6" name="MSIP_Label_3c76ce46-357f-46de-88d6-77b9bbb83c46_Name">
    <vt:lpwstr>Public</vt:lpwstr>
  </property>
  <property fmtid="{D5CDD505-2E9C-101B-9397-08002B2CF9AE}" pid="7" name="MSIP_Label_3c76ce46-357f-46de-88d6-77b9bbb83c46_SiteId">
    <vt:lpwstr>4e2c6054-71cb-48f1-bd6c-3a9705aca71b</vt:lpwstr>
  </property>
  <property fmtid="{D5CDD505-2E9C-101B-9397-08002B2CF9AE}" pid="8" name="MSIP_Label_3c76ce46-357f-46de-88d6-77b9bbb83c46_ActionId">
    <vt:lpwstr>e9f22f7c-9fea-4ec5-9f75-7c7b38d369d0</vt:lpwstr>
  </property>
  <property fmtid="{D5CDD505-2E9C-101B-9397-08002B2CF9AE}" pid="9" name="MSIP_Label_3c76ce46-357f-46de-88d6-77b9bbb83c46_ContentBits">
    <vt:lpwstr>0</vt:lpwstr>
  </property>
  <property fmtid="{D5CDD505-2E9C-101B-9397-08002B2CF9AE}" pid="10" name="MSIP_Label_3c76ce46-357f-46de-88d6-77b9bbb83c46_Tag">
    <vt:lpwstr>50, 0, 1, 1</vt:lpwstr>
  </property>
  <property fmtid="{D5CDD505-2E9C-101B-9397-08002B2CF9AE}" pid="11" name="MediaServiceImageTags">
    <vt:lpwstr/>
  </property>
</Properties>
</file>