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7772400" cy="1769482"/>
            <wp:docPr id="1" name="Picture 1"/>
            <wp:cNvGraphicFramePr>
              <a:graphicFrameLocks noChangeAspect="1"/>
            </wp:cNvGraphicFramePr>
            <a:graphic>
              <a:graphicData uri="http://schemas.openxmlformats.org/drawingml/2006/picture">
                <pic:pic>
                  <pic:nvPicPr>
                    <pic:cNvPr id="0" name="LRA_Header.jpg"/>
                    <pic:cNvPicPr/>
                  </pic:nvPicPr>
                  <pic:blipFill>
                    <a:blip r:embed="rId9"/>
                    <a:stretch>
                      <a:fillRect/>
                    </a:stretch>
                  </pic:blipFill>
                  <pic:spPr>
                    <a:xfrm>
                      <a:off x="0" y="0"/>
                      <a:ext cx="7772400" cy="1769482"/>
                    </a:xfrm>
                    <a:prstGeom prst="rect"/>
                  </pic:spPr>
                </pic:pic>
              </a:graphicData>
            </a:graphic>
          </wp:inline>
        </w:drawing>
      </w:r>
    </w:p>
    <w:p>
      <w:pPr>
        <w:spacing w:line="247" w:lineRule="auto"/>
        <w:ind w:left="1224"/>
      </w:pPr>
      <w:r>
        <w:t>05/26/22</w:t>
      </w:r>
      <w:r>
        <w:br/>
        <w:br/>
        <w:t>Dewberry c/o NCORR</w:t>
        <w:br/>
        <w:t>1545 Peachtree Street NE, Suite 250</w:t>
        <w:br/>
        <w:t>Atlanta, Georgia 30309</w:t>
        <w:br/>
        <w:br/>
        <w:t>Re:      Lead Risk Assessment</w:t>
        <w:br/>
        <w:t xml:space="preserve">            18045 NC Hwy 87 W, Tar Heel, NC 28392</w:t>
        <w:br/>
        <w:t xml:space="preserve">            EI Project No: IHMO220083.00</w:t>
        <w:br/>
        <w:br/>
      </w:r>
      <w:r>
        <w:rPr>
          <w:b/>
        </w:rPr>
        <w:t xml:space="preserve">Project Site Address: </w:t>
      </w:r>
      <w:r>
        <w:t>18045 NC Hwy 87 W, Tar Heel, NC 28392</w:t>
      </w:r>
      <w:r>
        <w:rPr>
          <w:b/>
        </w:rPr>
        <w:br/>
        <w:br/>
        <w:t xml:space="preserve">NCORR APP ID: </w:t>
      </w:r>
      <w:r>
        <w:t>APP-10685, INSP-0012860</w:t>
      </w:r>
      <w:r>
        <w:rPr>
          <w:b/>
        </w:rPr>
        <w:br/>
        <w:br/>
        <w:t xml:space="preserve">Inspection Date: </w:t>
      </w:r>
      <w:r>
        <w:t>05/07/22</w:t>
      </w:r>
      <w:r>
        <w:rPr>
          <w:b/>
        </w:rPr>
        <w:br/>
        <w:br/>
        <w:t xml:space="preserve">Scope of Work: </w:t>
      </w:r>
      <w:r>
        <w:t>Lead Risk Assessment</w:t>
      </w:r>
      <w:r>
        <w:rPr>
          <w:b/>
        </w:rPr>
        <w:br/>
        <w:br/>
        <w:t xml:space="preserve">Lead-Based Paint Inspection: </w:t>
      </w:r>
      <w:r>
        <w:t>Lead-Based Paint Found</w:t>
      </w:r>
      <w:r>
        <w:rPr>
          <w:b/>
        </w:rPr>
        <w:br/>
        <w:br/>
        <w:t xml:space="preserve">Deteriorated Lead-Based Paint: </w:t>
      </w:r>
      <w:r>
        <w:t>Yes</w:t>
      </w:r>
      <w:r>
        <w:rPr>
          <w:b/>
        </w:rPr>
        <w:br/>
        <w:br/>
        <w:t xml:space="preserve">Lead Containing Materials: </w:t>
      </w:r>
      <w:r>
        <w:t>No</w:t>
      </w:r>
      <w:r>
        <w:rPr>
          <w:b/>
        </w:rPr>
        <w:br/>
        <w:br/>
        <w:t xml:space="preserve">Lead Dust Hazards: </w:t>
      </w:r>
      <w:r>
        <w:t>Yes</w:t>
      </w:r>
      <w:r>
        <w:rPr>
          <w:b/>
        </w:rPr>
        <w:br/>
        <w:br/>
        <w:t xml:space="preserve">Lead Soil Hazards: </w:t>
      </w:r>
      <w:r>
        <w:t>None Found</w:t>
      </w:r>
      <w:r>
        <w:rPr>
          <w:b/>
        </w:rPr>
        <w:br/>
        <w:br/>
        <w:t xml:space="preserve">Recommendations: </w:t>
      </w:r>
      <w:r>
        <w:t>Recommendations for lead-based paint hazards: see Table 6</w:t>
      </w:r>
      <w:r>
        <w:rPr>
          <w:b/>
        </w:rPr>
        <w:br/>
        <w:br/>
        <w:t xml:space="preserve">Inspector: </w:t>
      </w:r>
      <w:r>
        <w:t>Fabrizzio Simoni, North Carolina Risk Assessor #120304</w:t>
      </w:r>
      <w:r>
        <w:br/>
      </w:r>
    </w:p>
    <w:p>
      <w:pPr>
        <w:ind w:left="1224"/>
      </w:pPr>
      <w:r>
        <w:drawing>
          <wp:inline xmlns:a="http://schemas.openxmlformats.org/drawingml/2006/main" xmlns:pic="http://schemas.openxmlformats.org/drawingml/2006/picture">
            <wp:extent cx="5943600" cy="1371600"/>
            <wp:docPr id="2" name="Picture 2"/>
            <wp:cNvGraphicFramePr>
              <a:graphicFrameLocks noChangeAspect="1"/>
            </wp:cNvGraphicFramePr>
            <a:graphic>
              <a:graphicData uri="http://schemas.openxmlformats.org/drawingml/2006/picture">
                <pic:pic>
                  <pic:nvPicPr>
                    <pic:cNvPr id="0" name="fabrizzio_simoni.PNG"/>
                    <pic:cNvPicPr/>
                  </pic:nvPicPr>
                  <pic:blipFill>
                    <a:blip r:embed="rId10"/>
                    <a:stretch>
                      <a:fillRect/>
                    </a:stretch>
                  </pic:blipFill>
                  <pic:spPr>
                    <a:xfrm>
                      <a:off x="0" y="0"/>
                      <a:ext cx="5943600" cy="1371600"/>
                    </a:xfrm>
                    <a:prstGeom prst="rect"/>
                  </pic:spPr>
                </pic:pic>
              </a:graphicData>
            </a:graphic>
          </wp:inline>
        </w:drawing>
      </w:r>
    </w:p>
    <w:p>
      <w:r>
        <w:drawing>
          <wp:inline xmlns:a="http://schemas.openxmlformats.org/drawingml/2006/main" xmlns:pic="http://schemas.openxmlformats.org/drawingml/2006/picture">
            <wp:extent cx="7772400" cy="656421"/>
            <wp:docPr id="3" name="Picture 3"/>
            <wp:cNvGraphicFramePr>
              <a:graphicFrameLocks noChangeAspect="1"/>
            </wp:cNvGraphicFramePr>
            <a:graphic>
              <a:graphicData uri="http://schemas.openxmlformats.org/drawingml/2006/picture">
                <pic:pic>
                  <pic:nvPicPr>
                    <pic:cNvPr id="0" name="LRA_Footer.jpg"/>
                    <pic:cNvPicPr/>
                  </pic:nvPicPr>
                  <pic:blipFill>
                    <a:blip r:embed="rId11"/>
                    <a:stretch>
                      <a:fillRect/>
                    </a:stretch>
                  </pic:blipFill>
                  <pic:spPr>
                    <a:xfrm>
                      <a:off x="0" y="0"/>
                      <a:ext cx="7772400" cy="656421"/>
                    </a:xfrm>
                    <a:prstGeom prst="rect"/>
                  </pic:spPr>
                </pic:pic>
              </a:graphicData>
            </a:graphic>
          </wp:inline>
        </w:drawing>
      </w:r>
    </w:p>
    <w:p>
      <w:pPr>
        <w:spacing w:before="0" w:after="0"/>
        <w:ind w:left="1296" w:right="1584"/>
      </w:pPr>
      <w:r>
        <w:br/>
      </w:r>
      <w:r>
        <w:rPr>
          <w:b/>
        </w:rPr>
        <w:br/>
        <w:br/>
        <w:t xml:space="preserve">1.  Findings: </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1: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w:t>
            </w:r>
          </w:p>
        </w:tc>
        <w:tc>
          <w:tcPr>
            <w:tcW w:type="dxa" w:w="1440"/>
          </w:tcPr>
          <w:p>
            <w:pPr>
              <w:spacing w:line="300" w:lineRule="auto"/>
              <w:jc w:val="center"/>
            </w:pPr>
            <w:r>
              <w:rPr>
                <w:sz w:val="2"/>
              </w:rPr>
              <w:br/>
            </w:r>
            <w:r>
              <w:t>Wood</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Window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Window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Window Sill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Front Porch</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Porch Ceiling</w:t>
            </w:r>
          </w:p>
        </w:tc>
        <w:tc>
          <w:tcPr>
            <w:tcW w:type="dxa" w:w="1440"/>
          </w:tcPr>
          <w:p>
            <w:pPr>
              <w:spacing w:line="300" w:lineRule="auto"/>
              <w:jc w:val="center"/>
            </w:pPr>
            <w:r>
              <w:rPr>
                <w:sz w:val="2"/>
              </w:rPr>
              <w:br/>
            </w:r>
            <w:r>
              <w:t>Vinyl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Front Porch</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Porch Header</w:t>
            </w:r>
          </w:p>
        </w:tc>
        <w:tc>
          <w:tcPr>
            <w:tcW w:type="dxa" w:w="1440"/>
          </w:tcPr>
          <w:p>
            <w:pPr>
              <w:spacing w:line="300" w:lineRule="auto"/>
              <w:jc w:val="center"/>
            </w:pPr>
            <w:r>
              <w:rPr>
                <w:sz w:val="2"/>
              </w:rPr>
              <w:br/>
            </w:r>
            <w:r>
              <w:t>Vinyl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bl>
    <w:p>
      <w:pPr>
        <w:spacing w:before="0" w:after="0"/>
        <w:ind w:left="1296" w:right="1584"/>
      </w:pPr>
      <w:r>
        <w:br/>
      </w:r>
      <w:r>
        <w:rPr>
          <w:rStyle w:val="NotesStyle"/>
        </w:rPr>
        <w:t>Note(s):</w:t>
        <w:br/>
        <w:t xml:space="preserve">     1.  Positive results indicate lead in quantities equal to or greater than 1.0 mg/cm² and are considered lead-based</w:t>
        <w:br/>
        <w:t xml:space="preserve">          paint.</w:t>
        <w:br/>
        <w:t xml:space="preserve">     2.  Samples are taken to represent component types; therefore, it should be assumed that similar component</w:t>
        <w:br/>
        <w:t xml:space="preserve">          types in the rest of that room of room equivalent also contain lead-based paint.</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2: Deteriorated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w:t>
            </w:r>
          </w:p>
        </w:tc>
        <w:tc>
          <w:tcPr>
            <w:tcW w:type="dxa" w:w="1440"/>
          </w:tcPr>
          <w:p>
            <w:pPr>
              <w:spacing w:line="300" w:lineRule="auto"/>
              <w:jc w:val="center"/>
            </w:pPr>
            <w:r>
              <w:rPr>
                <w:sz w:val="2"/>
              </w:rPr>
              <w:br/>
            </w:r>
            <w:r>
              <w:t>Wood</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White</w:t>
            </w:r>
          </w:p>
        </w:tc>
      </w:tr>
    </w:tbl>
    <w:p>
      <w:pPr>
        <w:spacing w:before="0" w:after="0"/>
        <w:ind w:left="1296" w:right="1584"/>
      </w:pPr>
      <w:r>
        <w:br/>
      </w:r>
      <w:r>
        <w:rPr>
          <w:rStyle w:val="NotesStyle"/>
        </w:rPr>
        <w:t>Note(s):</w:t>
        <w:br/>
        <w:t xml:space="preserve">     1.  Surfaces in deteriorated condition are considered to be lead-based paint hazards as defined by Title X and</w:t>
        <w:br/>
        <w:t xml:space="preserve">          should be addressed through abatement or interim controls which are described in Table 6.</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3: Lead Containing Materials²</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None Found</w:t>
            </w:r>
          </w:p>
        </w:tc>
        <w:tc>
          <w:tcPr>
            <w:tcW w:type="dxa" w:w="720"/>
          </w:tcPr>
          <w:p>
            <w:pPr>
              <w:spacing w:line="300" w:lineRule="auto"/>
              <w:jc w:val="center"/>
            </w:pPr>
            <w:r>
              <w:rPr>
                <w:sz w:val="2"/>
              </w:rPr>
              <w:br/>
            </w:r>
            <w:r>
              <w:t>N/A</w:t>
            </w:r>
          </w:p>
        </w:tc>
        <w:tc>
          <w:tcPr>
            <w:tcW w:type="dxa" w:w="2160"/>
          </w:tcPr>
          <w:p>
            <w:pPr>
              <w:spacing w:line="300" w:lineRule="auto"/>
              <w:jc w:val="center"/>
            </w:pPr>
            <w:r>
              <w:rPr>
                <w:sz w:val="2"/>
              </w:rPr>
              <w:br/>
            </w:r>
            <w:r>
              <w:t>N/A</w:t>
            </w:r>
          </w:p>
        </w:tc>
        <w:tc>
          <w:tcPr>
            <w:tcW w:type="dxa" w:w="1440"/>
          </w:tcPr>
          <w:p>
            <w:pPr>
              <w:spacing w:line="300" w:lineRule="auto"/>
              <w:jc w:val="center"/>
            </w:pPr>
            <w:r>
              <w:rPr>
                <w:sz w:val="2"/>
              </w:rPr>
              <w:br/>
            </w:r>
            <w:r>
              <w:t>N/A</w:t>
            </w:r>
          </w:p>
        </w:tc>
        <w:tc>
          <w:tcPr>
            <w:tcW w:type="dxa" w:w="1800"/>
          </w:tcPr>
          <w:p>
            <w:pPr>
              <w:spacing w:line="300" w:lineRule="auto"/>
              <w:jc w:val="center"/>
            </w:pPr>
            <w:r>
              <w:rPr>
                <w:sz w:val="2"/>
              </w:rPr>
              <w:br/>
            </w:r>
            <w:r>
              <w:t>N/A</w:t>
            </w:r>
          </w:p>
        </w:tc>
        <w:tc>
          <w:tcPr>
            <w:tcW w:type="dxa" w:w="1944"/>
          </w:tcPr>
          <w:p>
            <w:pPr>
              <w:spacing w:line="300" w:lineRule="auto"/>
              <w:jc w:val="center"/>
            </w:pPr>
            <w:r>
              <w:rPr>
                <w:sz w:val="2"/>
              </w:rPr>
              <w:br/>
            </w:r>
            <w:r>
              <w:t>N/A</w:t>
            </w:r>
          </w:p>
        </w:tc>
      </w:tr>
    </w:tbl>
    <w:p>
      <w:pPr>
        <w:spacing w:before="0" w:after="0"/>
        <w:ind w:left="1296" w:right="1584"/>
      </w:pPr>
      <w:r>
        <w:br/>
      </w:r>
      <w:r>
        <w:rPr>
          <w:rStyle w:val="NotesStyle"/>
        </w:rPr>
        <w:t>Note(s):</w:t>
        <w:br/>
        <w:t xml:space="preserve">     2.  Although not considered to be lead-based paint, these materials when disturbed through destructive measures</w:t>
        <w:br/>
        <w:t xml:space="preserve">          such as sanding, chipping, grinding, and other sourceds of friction, can create dust hazards and should be</w:t>
        <w:br/>
        <w:t xml:space="preserve">          treated through control described in Table 6.</w:t>
        <w:br/>
        <w:br w:type="page"/>
      </w:r>
      <w:r>
        <w:br/>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4: Dust Wipe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Surface Type</w:t>
            </w:r>
          </w:p>
        </w:tc>
        <w:tc>
          <w:tcPr>
            <w:tcW w:type="dxa" w:w="2520"/>
            <w:shd w:fill="064E91"/>
          </w:tcPr>
          <w:p>
            <w:pPr>
              <w:spacing w:line="360" w:lineRule="auto"/>
              <w:jc w:val="center"/>
            </w:pPr>
            <w:r>
              <w:rPr>
                <w:sz w:val="8"/>
              </w:rPr>
              <w:br/>
            </w:r>
            <w:r>
              <w:rPr>
                <w:color w:val="FFFFFF"/>
              </w:rPr>
              <w:t>Concentration (ug/ft²)</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DW1</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14.9</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DW2</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22.9</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DW3</w:t>
            </w:r>
          </w:p>
        </w:tc>
        <w:tc>
          <w:tcPr>
            <w:tcW w:type="dxa" w:w="2160"/>
          </w:tcPr>
          <w:p>
            <w:pPr>
              <w:spacing w:line="300" w:lineRule="auto"/>
              <w:jc w:val="center"/>
            </w:pPr>
            <w:r>
              <w:rPr>
                <w:sz w:val="2"/>
              </w:rPr>
              <w:br/>
            </w:r>
            <w:r>
              <w:t>Den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5.72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DW4</w:t>
            </w:r>
          </w:p>
        </w:tc>
        <w:tc>
          <w:tcPr>
            <w:tcW w:type="dxa" w:w="2160"/>
          </w:tcPr>
          <w:p>
            <w:pPr>
              <w:spacing w:line="300" w:lineRule="auto"/>
              <w:jc w:val="center"/>
            </w:pPr>
            <w:r>
              <w:rPr>
                <w:sz w:val="2"/>
              </w:rPr>
              <w:br/>
            </w:r>
            <w:r>
              <w:t>Den</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&lt;20.0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DW5</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DW6</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3950</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DW7</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25.0</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DW8</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22.9</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DW9</w:t>
            </w:r>
          </w:p>
        </w:tc>
        <w:tc>
          <w:tcPr>
            <w:tcW w:type="dxa" w:w="2160"/>
          </w:tcPr>
          <w:p>
            <w:pPr>
              <w:spacing w:line="300" w:lineRule="auto"/>
              <w:jc w:val="center"/>
            </w:pPr>
            <w:r>
              <w:rPr>
                <w:sz w:val="2"/>
              </w:rPr>
              <w:br/>
            </w:r>
            <w:r>
              <w:t>Q/C</w:t>
            </w:r>
          </w:p>
        </w:tc>
        <w:tc>
          <w:tcPr>
            <w:tcW w:type="dxa" w:w="2160"/>
          </w:tcPr>
          <w:p>
            <w:pPr>
              <w:spacing w:line="300" w:lineRule="auto"/>
              <w:jc w:val="center"/>
            </w:pPr>
            <w:r>
              <w:rPr>
                <w:sz w:val="2"/>
              </w:rPr>
              <w:br/>
            </w:r>
            <w:r>
              <w:t>Blank Wipe</w:t>
            </w:r>
          </w:p>
        </w:tc>
        <w:tc>
          <w:tcPr>
            <w:tcW w:type="dxa" w:w="2520"/>
          </w:tcPr>
          <w:p>
            <w:pPr>
              <w:spacing w:line="300" w:lineRule="auto"/>
              <w:jc w:val="center"/>
            </w:pPr>
            <w:r>
              <w:rPr>
                <w:sz w:val="2"/>
              </w:rPr>
              <w:br/>
            </w:r>
            <w:r>
              <w:t>&lt;5.00 μg/wipe</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Dust Hazard for Floors: 10 μg/ft²; Window Sills: 100 μg/ft²</w:t>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5: Soil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Bare/Covered</w:t>
            </w:r>
          </w:p>
        </w:tc>
        <w:tc>
          <w:tcPr>
            <w:tcW w:type="dxa" w:w="2520"/>
            <w:shd w:fill="064E91"/>
          </w:tcPr>
          <w:p>
            <w:pPr>
              <w:spacing w:line="360" w:lineRule="auto"/>
              <w:jc w:val="center"/>
            </w:pPr>
            <w:r>
              <w:rPr>
                <w:sz w:val="8"/>
              </w:rPr>
              <w:br/>
            </w:r>
            <w:r>
              <w:rPr>
                <w:color w:val="FFFFFF"/>
              </w:rPr>
              <w:t>Concentration (mg/kg)</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S-1</w:t>
            </w:r>
          </w:p>
        </w:tc>
        <w:tc>
          <w:tcPr>
            <w:tcW w:type="dxa" w:w="2160"/>
          </w:tcPr>
          <w:p>
            <w:pPr>
              <w:spacing w:line="300" w:lineRule="auto"/>
              <w:jc w:val="center"/>
            </w:pPr>
            <w:r>
              <w:rPr>
                <w:sz w:val="2"/>
              </w:rPr>
              <w:br/>
            </w:r>
            <w:r>
              <w:t>Soil</w:t>
            </w:r>
          </w:p>
        </w:tc>
        <w:tc>
          <w:tcPr>
            <w:tcW w:type="dxa" w:w="2160"/>
          </w:tcPr>
          <w:p>
            <w:pPr>
              <w:spacing w:line="300" w:lineRule="auto"/>
              <w:jc w:val="center"/>
            </w:pPr>
            <w:r>
              <w:rPr>
                <w:sz w:val="2"/>
              </w:rPr>
              <w:br/>
            </w:r>
            <w:r>
              <w:t>Bare</w:t>
            </w:r>
          </w:p>
        </w:tc>
        <w:tc>
          <w:tcPr>
            <w:tcW w:type="dxa" w:w="2520"/>
          </w:tcPr>
          <w:p>
            <w:pPr>
              <w:spacing w:line="300" w:lineRule="auto"/>
              <w:jc w:val="center"/>
            </w:pPr>
            <w:r>
              <w:rPr>
                <w:sz w:val="2"/>
              </w:rPr>
              <w:br/>
            </w:r>
            <w:r>
              <w:t>65.9</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in Soil Hazard for children's play areas with bare residential soil: 400 mg/Kg; bare soil for the</w:t>
        <w:br/>
        <w:t xml:space="preserve">          remainder of the yard: 1,200 mg/Kg</w:t>
        <w:br/>
        <w:t>_____________________________________________________________________________________________</w:t>
        <w:br w:type="page"/>
      </w:r>
      <w:r>
        <w:br/>
      </w:r>
    </w:p>
    <w:p>
      <w:pPr>
        <w:spacing w:before="0" w:after="0"/>
        <w:ind w:left="1296" w:right="1584"/>
      </w:pPr>
      <w:r>
        <w:br/>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10620"/>
            <w:gridSpan w:val="4"/>
            <w:shd w:fill="064E91"/>
          </w:tcPr>
          <w:p>
            <w:pPr>
              <w:spacing w:line="360" w:lineRule="auto"/>
              <w:jc w:val="center"/>
            </w:pPr>
            <w:r>
              <w:rPr>
                <w:sz w:val="8"/>
              </w:rPr>
              <w:br/>
            </w:r>
            <w:r>
              <w:rPr>
                <w:color w:val="FFFFFF"/>
              </w:rPr>
              <w:t>Table 6: Lead Hazard Control Options¹</w:t>
            </w:r>
          </w:p>
        </w:tc>
      </w:tr>
      <w:tr>
        <w:tc>
          <w:tcPr>
            <w:tcW w:type="dxa" w:w="3060"/>
            <w:shd w:fill="064E91"/>
          </w:tcPr>
          <w:p>
            <w:pPr>
              <w:spacing w:line="360" w:lineRule="auto"/>
              <w:jc w:val="center"/>
            </w:pPr>
            <w:r>
              <w:rPr>
                <w:sz w:val="8"/>
              </w:rPr>
              <w:br/>
            </w:r>
            <w:r>
              <w:rPr>
                <w:color w:val="FFFFFF"/>
              </w:rPr>
              <w:t>Hazard Type</w:t>
            </w:r>
          </w:p>
        </w:tc>
        <w:tc>
          <w:tcPr>
            <w:tcW w:type="dxa" w:w="2160"/>
            <w:shd w:fill="064E91"/>
          </w:tcPr>
          <w:p>
            <w:pPr>
              <w:spacing w:line="360" w:lineRule="auto"/>
              <w:jc w:val="center"/>
            </w:pPr>
            <w:r>
              <w:rPr>
                <w:sz w:val="8"/>
              </w:rPr>
              <w:br/>
            </w:r>
            <w:r>
              <w:rPr>
                <w:color w:val="FFFFFF"/>
              </w:rPr>
              <w:t>Location</w:t>
            </w:r>
          </w:p>
        </w:tc>
        <w:tc>
          <w:tcPr>
            <w:tcW w:type="dxa" w:w="2520"/>
            <w:shd w:fill="064E91"/>
          </w:tcPr>
          <w:p>
            <w:pPr>
              <w:spacing w:line="360" w:lineRule="auto"/>
              <w:jc w:val="center"/>
            </w:pPr>
            <w:r>
              <w:rPr>
                <w:sz w:val="8"/>
              </w:rPr>
              <w:br/>
            </w:r>
            <w:r>
              <w:rPr>
                <w:color w:val="FFFFFF"/>
              </w:rPr>
              <w:t>Description</w:t>
            </w:r>
          </w:p>
        </w:tc>
        <w:tc>
          <w:tcPr>
            <w:tcW w:type="dxa" w:w="2880"/>
            <w:shd w:fill="064E91"/>
          </w:tcPr>
          <w:p>
            <w:pPr>
              <w:spacing w:line="360" w:lineRule="auto"/>
              <w:jc w:val="center"/>
            </w:pPr>
            <w:r>
              <w:rPr>
                <w:sz w:val="8"/>
              </w:rPr>
              <w:br/>
            </w:r>
            <w:r>
              <w:rPr>
                <w:color w:val="FFFFFF"/>
              </w:rPr>
              <w:t>Control²⁻⁵</w:t>
            </w:r>
          </w:p>
        </w:tc>
      </w:tr>
      <w:tr>
        <w:tc>
          <w:tcPr>
            <w:tcW w:type="dxa" w:w="3060"/>
          </w:tcPr>
          <w:p>
            <w:pPr>
              <w:spacing w:line="300" w:lineRule="auto"/>
              <w:jc w:val="center"/>
            </w:pPr>
            <w:r>
              <w:rPr>
                <w:sz w:val="2"/>
              </w:rPr>
              <w:br/>
            </w:r>
            <w:r>
              <w:t>Lead Dust Hazard</w:t>
            </w:r>
          </w:p>
        </w:tc>
        <w:tc>
          <w:tcPr>
            <w:tcW w:type="dxa" w:w="2160"/>
          </w:tcPr>
          <w:p>
            <w:pPr>
              <w:spacing w:line="300" w:lineRule="auto"/>
              <w:jc w:val="center"/>
            </w:pPr>
            <w:r>
              <w:rPr>
                <w:sz w:val="2"/>
              </w:rPr>
              <w:br/>
            </w:r>
            <w:r>
              <w:t>Kitchen, Bedroom, Bathroom</w:t>
            </w:r>
          </w:p>
        </w:tc>
        <w:tc>
          <w:tcPr>
            <w:tcW w:type="dxa" w:w="2520"/>
          </w:tcPr>
          <w:p>
            <w:pPr>
              <w:spacing w:line="300" w:lineRule="auto"/>
              <w:jc w:val="center"/>
            </w:pPr>
            <w:r>
              <w:rPr>
                <w:sz w:val="2"/>
              </w:rPr>
              <w:br/>
            </w:r>
            <w:r>
              <w:t>Floor, Windowsill</w:t>
            </w:r>
          </w:p>
        </w:tc>
        <w:tc>
          <w:tcPr>
            <w:tcW w:type="dxa" w:w="2880"/>
          </w:tcPr>
          <w:p>
            <w:pPr>
              <w:spacing w:line="300" w:lineRule="auto"/>
              <w:jc w:val="center"/>
            </w:pPr>
            <w:r>
              <w:rPr>
                <w:sz w:val="2"/>
              </w:rPr>
              <w:br/>
            </w:r>
            <w:r>
              <w:t>Cleaning- Clean surfaces using HEPA filtered vacuum and wet cleaning agents to remove leaded dust</w:t>
            </w:r>
          </w:p>
        </w:tc>
      </w:tr>
      <w:tr>
        <w:tc>
          <w:tcPr>
            <w:tcW w:type="dxa" w:w="3060"/>
          </w:tcPr>
          <w:p>
            <w:pPr>
              <w:spacing w:line="300" w:lineRule="auto"/>
              <w:jc w:val="center"/>
            </w:pPr>
            <w:r>
              <w:rPr>
                <w:sz w:val="2"/>
              </w:rPr>
              <w:br/>
            </w:r>
            <w:r>
              <w:t>Deteriorated Lead Based Paint</w:t>
            </w:r>
          </w:p>
        </w:tc>
        <w:tc>
          <w:tcPr>
            <w:tcW w:type="dxa" w:w="2160"/>
          </w:tcPr>
          <w:p>
            <w:pPr>
              <w:spacing w:line="300" w:lineRule="auto"/>
              <w:jc w:val="center"/>
            </w:pPr>
            <w:r>
              <w:rPr>
                <w:sz w:val="2"/>
              </w:rPr>
              <w:br/>
            </w:r>
            <w:r>
              <w:t>House</w:t>
            </w:r>
          </w:p>
        </w:tc>
        <w:tc>
          <w:tcPr>
            <w:tcW w:type="dxa" w:w="2520"/>
          </w:tcPr>
          <w:p>
            <w:pPr>
              <w:spacing w:line="300" w:lineRule="auto"/>
              <w:jc w:val="center"/>
            </w:pPr>
            <w:r>
              <w:rPr>
                <w:sz w:val="2"/>
              </w:rPr>
              <w:br/>
            </w:r>
            <w:r>
              <w:t>Door</w:t>
            </w:r>
          </w:p>
        </w:tc>
        <w:tc>
          <w:tcPr>
            <w:tcW w:type="dxa" w:w="2880"/>
          </w:tcPr>
          <w:p>
            <w:pPr>
              <w:spacing w:line="300" w:lineRule="auto"/>
              <w:jc w:val="center"/>
            </w:pPr>
            <w:r>
              <w:rPr>
                <w:sz w:val="2"/>
              </w:rPr>
              <w:br/>
            </w:r>
            <w:r>
              <w:t>Abatement, Enclosure, Encapsulation or Paint Film Stabilization</w:t>
            </w:r>
          </w:p>
        </w:tc>
      </w:tr>
    </w:tbl>
    <w:p>
      <w:pPr>
        <w:spacing w:before="0" w:after="0"/>
        <w:ind w:left="1296" w:right="1584"/>
      </w:pPr>
      <w:r>
        <w:br/>
      </w:r>
      <w:r>
        <w:rPr>
          <w:rStyle w:val="NotesStyle"/>
        </w:rPr>
        <w:t>Note(s):</w:t>
        <w:br/>
        <w:t xml:space="preserve">     1.  Lead hazard control options include abatement and interim controls.</w:t>
        <w:br/>
        <w:t xml:space="preserve">     2.  Paint film stabilization: Wet scrape and prime building comopnents where chipping or peeling is present</w:t>
        <w:br/>
        <w:t xml:space="preserve">          following acceptable methods.</w:t>
        <w:br/>
        <w:t xml:space="preserve">     3.  Replace: Remove and dispose of components in accordance with applicable federal, state and local</w:t>
        <w:br/>
        <w:t xml:space="preserve">          regulations. Prime coat any new unpainted wood components.</w:t>
        <w:br/>
        <w:t xml:space="preserve">     4.  Enclosure: Enclose lead-based paint coated building components with a material that is structurally affixed and</w:t>
        <w:br/>
        <w:t xml:space="preserve">          deemed to last 20 years.</w:t>
        <w:br/>
        <w:t xml:space="preserve">     5.  General Cleaning-Clean using HEPA filtered vacuum and wet wipe impacted surfaces to remove paint chips</w:t>
        <w:br/>
        <w:t xml:space="preserve">          and lead-dust hazards.</w:t>
        <w:br/>
        <w:t xml:space="preserve">    _____________________________________________________________________________________________</w:t>
      </w:r>
      <w:r>
        <w:rPr>
          <w:b/>
        </w:rPr>
        <w:br/>
        <w:br/>
        <w:br/>
        <w:t xml:space="preserve">2.  Limitations: </w:t>
        <w:br/>
        <w:br/>
      </w:r>
      <w:r>
        <w:t xml:space="preserve">    •   No limitations were encountered during the course of this survey</w:t>
        <w:br/>
      </w:r>
      <w:r>
        <w:rPr>
          <w:b/>
        </w:rPr>
        <w:br/>
        <w:br/>
        <w:t>3.  Lead Hazard Control Activities:</w:t>
        <w:br/>
      </w:r>
    </w:p>
    <w:p>
      <w:pPr>
        <w:spacing w:before="0" w:after="0"/>
        <w:ind w:left="1296" w:right="1584"/>
        <w:jc w:val="both"/>
      </w:pPr>
      <w:r>
        <w:t>All lead abatement activities must be performed in strict compliance with the Department of Housing and Urban Development (HUD) 24 CFR Part 35, and the Environmental Protection Agency</w:t>
      </w:r>
    </w:p>
    <w:p>
      <w:pPr>
        <w:spacing w:before="0" w:after="0"/>
        <w:ind w:left="1296" w:right="1584"/>
      </w:pPr>
      <w:r>
        <w:t>(EPA) 40 CFR Part 745 Subpart L.</w:t>
        <w:br/>
      </w:r>
      <w:r/>
    </w:p>
    <w:p>
      <w:pPr>
        <w:spacing w:before="0" w:after="0"/>
        <w:ind w:left="1296" w:right="1584"/>
        <w:jc w:val="both"/>
      </w:pPr>
      <w:r>
        <w:t>All contractor’s personnel who will disturb lead-based paint during the course of their work on this residence should be informed of the potential danger posed by lead-based paint and should be</w:t>
      </w:r>
    </w:p>
    <w:p>
      <w:pPr>
        <w:spacing w:before="0" w:after="0"/>
        <w:ind w:left="1296" w:right="1584"/>
      </w:pPr>
      <w:r>
        <w:t>directed to comply with all applicable federal, state, and local lead abatement regulations.</w:t>
        <w:br/>
        <w:br w:type="page"/>
      </w:r>
      <w:r>
        <w:br/>
      </w:r>
    </w:p>
    <w:p>
      <w:pPr>
        <w:spacing w:before="0" w:after="0"/>
        <w:ind w:left="1296" w:right="1584"/>
        <w:jc w:val="both"/>
      </w:pPr>
      <w:r>
        <w:t>Table 6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lead-based paint on exterior friction and impact surfaces (windows</w:t>
      </w:r>
    </w:p>
    <w:p>
      <w:pPr>
        <w:spacing w:before="0" w:after="0"/>
        <w:ind w:left="1296" w:right="1584"/>
      </w:pPr>
      <w:r>
        <w:t>and doors), and lead soil hazards in children’s play areas.</w:t>
        <w:br/>
      </w:r>
    </w:p>
    <w:p>
      <w:pPr>
        <w:spacing w:before="0" w:after="0"/>
        <w:ind w:left="1296" w:right="1584"/>
        <w:jc w:val="both"/>
      </w:pPr>
      <w: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w:t>
      </w:r>
    </w:p>
    <w:p>
      <w:pPr>
        <w:spacing w:before="0" w:after="0"/>
        <w:ind w:left="1296" w:right="1584"/>
      </w:pPr>
      <w:r>
        <w:t>chips or dust.</w:t>
        <w:br/>
        <w:br/>
      </w:r>
    </w:p>
    <w:p>
      <w:pPr>
        <w:spacing w:before="0" w:after="0"/>
        <w:ind w:left="1296" w:right="1584"/>
      </w:pPr>
      <w:r>
        <w:rPr>
          <w:b/>
        </w:rPr>
        <w:t xml:space="preserve">4.  HUD Notification: </w:t>
        <w:br/>
        <w:br/>
      </w:r>
      <w: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r>
        <w:rPr>
          <w:b/>
        </w:rPr>
        <w:br/>
        <w:br/>
        <w:br/>
        <w:t>3.  Lead Hazard Control Activities:</w:t>
        <w:br/>
        <w:br/>
      </w:r>
      <w:r>
        <w:rPr>
          <w:b/>
        </w:rPr>
        <w:t xml:space="preserve">    •    Floor Plan/Diagram</w:t>
        <w:br/>
        <w:t xml:space="preserve">    •    Risk Assessment Forms</w:t>
        <w:br/>
        <w:t xml:space="preserve">    •    XRF Data Sheets/Photo Log</w:t>
        <w:br/>
        <w:t xml:space="preserve">    •    Lab Results/Chain of Custody</w:t>
        <w:br/>
        <w:t xml:space="preserve">    •    Methodology</w:t>
        <w:br/>
        <w:t xml:space="preserve">    •    Lead Hazard Control Options</w:t>
        <w:br/>
        <w:t xml:space="preserve">    •    Definitions</w:t>
        <w:br/>
        <w:t xml:space="preserve">    •    Lead Based Paint Activity Summary (LBPAS)</w:t>
        <w:br/>
        <w:t xml:space="preserve">    •    XRF Analyzer Performance Characteristics Sheet</w:t>
        <w:br/>
        <w:t xml:space="preserve">    •    Certifications and Licensure</w:t>
      </w: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sStyle">
    <w:name w:val="NotesStyle"/>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