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6C762" w14:textId="77777777" w:rsidR="00FF5BB6" w:rsidRPr="00FD694B" w:rsidRDefault="00FF5BB6" w:rsidP="00FF5BB6">
      <w:pPr>
        <w:spacing w:after="0" w:line="480" w:lineRule="auto"/>
        <w:jc w:val="center"/>
        <w:rPr>
          <w:rFonts w:ascii="Times New Roman" w:eastAsia="Times New Roman" w:hAnsi="Times New Roman" w:cs="Times New Roman"/>
          <w:b/>
          <w:bCs/>
        </w:rPr>
      </w:pPr>
      <w:r w:rsidRPr="00FD694B">
        <w:rPr>
          <w:rFonts w:ascii="Times New Roman" w:eastAsia="Times New Roman" w:hAnsi="Times New Roman" w:cs="Times New Roman"/>
          <w:b/>
          <w:bCs/>
        </w:rPr>
        <w:t>Introduction</w:t>
      </w:r>
    </w:p>
    <w:p w14:paraId="04FBD6C4" w14:textId="77777777" w:rsidR="00FF5BB6" w:rsidRPr="0077324A" w:rsidRDefault="00FF5BB6" w:rsidP="00FF5BB6">
      <w:pPr>
        <w:spacing w:after="0" w:line="480" w:lineRule="auto"/>
        <w:ind w:firstLine="720"/>
        <w:rPr>
          <w:rFonts w:ascii="Times New Roman" w:eastAsia="Times New Roman" w:hAnsi="Times New Roman" w:cs="Times New Roman"/>
        </w:rPr>
      </w:pPr>
      <w:r w:rsidRPr="0077324A">
        <w:rPr>
          <w:rFonts w:ascii="Times New Roman" w:eastAsia="Times New Roman" w:hAnsi="Times New Roman" w:cs="Times New Roman"/>
        </w:rPr>
        <w:t>The healthcare industry has been transformed by the rapidly growing field of data analytics, as have many other industries. One significant use in this domain is diabetes management. This paper examines the creation of a data science tool that uses numerous pertinent indicators to forecast a patient's chance of developing diabetes. The basis for this investigation is a large dataset that includes a wide range of diabetes-related characteristics. This data fabric includes patient demographics, a thorough medical history, critical diagnostic measures, and even treatment outcomes. This data product aims to provide healthcare providers with a novel tool for early diabetes detection and proactive management by utilizing the powerful potential of predictive modeling. This, in turn, has the potential to significantly improve patient care and optimize health outcomes (Murdoch &amp; Daskalakis, 2020).</w:t>
      </w:r>
    </w:p>
    <w:p w14:paraId="4C6AE0B7" w14:textId="77777777" w:rsidR="00FF5BB6" w:rsidRPr="00FD694B" w:rsidRDefault="00FF5BB6" w:rsidP="00FF5BB6">
      <w:pPr>
        <w:spacing w:after="0" w:line="480" w:lineRule="auto"/>
        <w:jc w:val="center"/>
        <w:rPr>
          <w:rFonts w:ascii="Times New Roman" w:eastAsia="Times New Roman" w:hAnsi="Times New Roman" w:cs="Times New Roman"/>
          <w:b/>
          <w:bCs/>
        </w:rPr>
      </w:pPr>
      <w:r w:rsidRPr="00FD694B">
        <w:rPr>
          <w:rFonts w:ascii="Times New Roman" w:eastAsia="Times New Roman" w:hAnsi="Times New Roman" w:cs="Times New Roman"/>
          <w:b/>
          <w:bCs/>
        </w:rPr>
        <w:t>Context and Needs Addressed</w:t>
      </w:r>
    </w:p>
    <w:p w14:paraId="3B3B9935" w14:textId="77777777" w:rsidR="00FF5BB6" w:rsidRPr="0077324A" w:rsidRDefault="00FF5BB6" w:rsidP="00FF5BB6">
      <w:pPr>
        <w:spacing w:after="0" w:line="480" w:lineRule="auto"/>
        <w:ind w:firstLine="720"/>
        <w:rPr>
          <w:rFonts w:ascii="Times New Roman" w:eastAsia="Times New Roman" w:hAnsi="Times New Roman" w:cs="Times New Roman"/>
        </w:rPr>
      </w:pPr>
      <w:r w:rsidRPr="0077324A">
        <w:rPr>
          <w:rFonts w:ascii="Times New Roman" w:eastAsia="Times New Roman" w:hAnsi="Times New Roman" w:cs="Times New Roman"/>
        </w:rPr>
        <w:t>Understanding the multifaceted needs of stakeholders is paramount to the successful implementation of any healthcare technology. This section will dissect the specific needs addressed by the proposed data product for diabetes diagnosis prediction.</w:t>
      </w:r>
    </w:p>
    <w:p w14:paraId="78716017" w14:textId="77777777" w:rsidR="00FF5BB6" w:rsidRPr="0077324A" w:rsidRDefault="00FF5BB6" w:rsidP="00FF5BB6">
      <w:pPr>
        <w:pStyle w:val="ListParagraph"/>
        <w:numPr>
          <w:ilvl w:val="1"/>
          <w:numId w:val="5"/>
        </w:numPr>
        <w:spacing w:after="0" w:line="480" w:lineRule="auto"/>
        <w:ind w:firstLine="720"/>
        <w:rPr>
          <w:rFonts w:ascii="Times New Roman" w:eastAsia="Times New Roman" w:hAnsi="Times New Roman" w:cs="Times New Roman"/>
          <w:b/>
          <w:bCs/>
          <w:i/>
          <w:iCs/>
        </w:rPr>
      </w:pPr>
      <w:r w:rsidRPr="0077324A">
        <w:rPr>
          <w:rFonts w:ascii="Times New Roman" w:eastAsia="Times New Roman" w:hAnsi="Times New Roman" w:cs="Times New Roman"/>
          <w:b/>
          <w:bCs/>
          <w:i/>
          <w:iCs/>
        </w:rPr>
        <w:t>Organizational Needs</w:t>
      </w:r>
    </w:p>
    <w:p w14:paraId="30804A64" w14:textId="77777777" w:rsidR="00FF5BB6" w:rsidRPr="0077324A" w:rsidRDefault="00FF5BB6" w:rsidP="00FF5BB6">
      <w:pPr>
        <w:spacing w:after="0" w:line="480" w:lineRule="auto"/>
        <w:ind w:firstLine="720"/>
        <w:rPr>
          <w:rFonts w:ascii="Times New Roman" w:eastAsia="Times New Roman" w:hAnsi="Times New Roman" w:cs="Times New Roman"/>
        </w:rPr>
      </w:pPr>
      <w:r w:rsidRPr="0077324A">
        <w:rPr>
          <w:rFonts w:ascii="Times New Roman" w:eastAsia="Times New Roman" w:hAnsi="Times New Roman" w:cs="Times New Roman"/>
        </w:rPr>
        <w:t xml:space="preserve">Healthcare companies are always looking for ways to improve the effectiveness and efficiency of the services they provide for patients. To accomplish these objectives, predictive modeling for diabetes diagnosis offers a potent tool. Targeted interventions can be implemented with strategic resource allocation by identifying persons who are at a high risk of getting diabetes. This proactive approach can potentially reduce the burden of late-stage complications, leading to cost savings for healthcare systems (Yu et al., 2021). Additionally, by giving high-risk </w:t>
      </w:r>
      <w:r w:rsidRPr="0077324A">
        <w:rPr>
          <w:rFonts w:ascii="Times New Roman" w:eastAsia="Times New Roman" w:hAnsi="Times New Roman" w:cs="Times New Roman"/>
        </w:rPr>
        <w:lastRenderedPageBreak/>
        <w:t>patients priority for targeted screening and early diagnosis, efficient workflows can be built. In the end, these data-driven insights help healthcare businesses operate more efficiently overall.</w:t>
      </w:r>
    </w:p>
    <w:p w14:paraId="44B2B7DE" w14:textId="77777777" w:rsidR="00FF5BB6" w:rsidRPr="0077324A" w:rsidRDefault="00FF5BB6" w:rsidP="00FF5BB6">
      <w:pPr>
        <w:pStyle w:val="ListParagraph"/>
        <w:numPr>
          <w:ilvl w:val="1"/>
          <w:numId w:val="5"/>
        </w:numPr>
        <w:spacing w:after="0" w:line="480" w:lineRule="auto"/>
        <w:ind w:firstLine="720"/>
        <w:rPr>
          <w:rFonts w:ascii="Times New Roman" w:eastAsia="Times New Roman" w:hAnsi="Times New Roman" w:cs="Times New Roman"/>
          <w:b/>
          <w:bCs/>
          <w:i/>
          <w:iCs/>
        </w:rPr>
      </w:pPr>
      <w:r w:rsidRPr="0077324A">
        <w:rPr>
          <w:rFonts w:ascii="Times New Roman" w:eastAsia="Times New Roman" w:hAnsi="Times New Roman" w:cs="Times New Roman"/>
          <w:b/>
          <w:bCs/>
          <w:i/>
          <w:iCs/>
        </w:rPr>
        <w:t>Consumer Needs</w:t>
      </w:r>
    </w:p>
    <w:p w14:paraId="3E1A3E13" w14:textId="0D0E5816" w:rsidR="00FF5BB6" w:rsidRPr="0077324A" w:rsidRDefault="00FF5BB6" w:rsidP="00013AD2">
      <w:pPr>
        <w:spacing w:after="0" w:line="480" w:lineRule="auto"/>
        <w:ind w:firstLine="720"/>
        <w:rPr>
          <w:rFonts w:ascii="Times New Roman" w:eastAsia="Times New Roman" w:hAnsi="Times New Roman" w:cs="Times New Roman"/>
        </w:rPr>
      </w:pPr>
      <w:r w:rsidRPr="0077324A">
        <w:rPr>
          <w:rFonts w:ascii="Times New Roman" w:eastAsia="Times New Roman" w:hAnsi="Times New Roman" w:cs="Times New Roman"/>
        </w:rPr>
        <w:t>For patients to begin appropriate interventions and develop successful diabetes management regimens, a timely and correct diagnosis is essential. This data product offers predicted insights that enable proactive healthcare management, thereby directly addressing a pressing customer need. Patients who receive early risk identification are more equipped to make lifestyle changes and preventative actions, which may even postpone or even stop the onset of diabetes. (American Diabetes Association, 2023). Furthermore, the ability to predict the likelihood of diabetes allows for the development of personalized treatment approaches, catering to individual patient needs and preferences.</w:t>
      </w:r>
    </w:p>
    <w:p w14:paraId="0FCC2BA2" w14:textId="77777777" w:rsidR="00FF5BB6" w:rsidRPr="0077324A" w:rsidRDefault="00FF5BB6" w:rsidP="00FF5BB6">
      <w:pPr>
        <w:pStyle w:val="ListParagraph"/>
        <w:numPr>
          <w:ilvl w:val="1"/>
          <w:numId w:val="5"/>
        </w:numPr>
        <w:spacing w:after="0" w:line="480" w:lineRule="auto"/>
        <w:ind w:firstLine="720"/>
        <w:rPr>
          <w:rFonts w:ascii="Times New Roman" w:eastAsia="Times New Roman" w:hAnsi="Times New Roman" w:cs="Times New Roman"/>
          <w:b/>
          <w:bCs/>
          <w:i/>
          <w:iCs/>
        </w:rPr>
      </w:pPr>
      <w:r w:rsidRPr="0077324A">
        <w:rPr>
          <w:rFonts w:ascii="Times New Roman" w:eastAsia="Times New Roman" w:hAnsi="Times New Roman" w:cs="Times New Roman"/>
          <w:b/>
          <w:bCs/>
          <w:i/>
          <w:iCs/>
        </w:rPr>
        <w:t>Technological Needs</w:t>
      </w:r>
    </w:p>
    <w:p w14:paraId="26B29954" w14:textId="77777777" w:rsidR="00FF5BB6" w:rsidRPr="0077324A" w:rsidRDefault="00FF5BB6" w:rsidP="00FF5BB6">
      <w:pPr>
        <w:spacing w:after="0" w:line="480" w:lineRule="auto"/>
        <w:ind w:firstLine="720"/>
        <w:rPr>
          <w:rFonts w:ascii="Times New Roman" w:eastAsia="Times New Roman" w:hAnsi="Times New Roman" w:cs="Times New Roman"/>
        </w:rPr>
      </w:pPr>
      <w:r w:rsidRPr="0077324A">
        <w:rPr>
          <w:rFonts w:ascii="Times New Roman" w:eastAsia="Times New Roman" w:hAnsi="Times New Roman" w:cs="Times New Roman"/>
        </w:rPr>
        <w:t>Technology breakthroughs are driving a massive revolution in the healthcare sector. Healthcare systems are increasingly incorporating data-driven solutions to support clinical decision-making. Diabetes diagnosis using predictive modeling fits in well with this rapidly changing technology environment. It satisfies the demand for cutting-edge instruments that make use of data analytics to provide more precise and knowledgeable healthcare services. This data product presents a special chance to raise the standard and effectiveness of healthcare delivery by utilizing the enormous volume of patient data that is easily accessible within healthcare systems.</w:t>
      </w:r>
    </w:p>
    <w:p w14:paraId="2CB0FD30" w14:textId="77777777" w:rsidR="00FF5BB6" w:rsidRPr="0077324A" w:rsidRDefault="00FF5BB6" w:rsidP="00FF5BB6">
      <w:pPr>
        <w:spacing w:after="0" w:line="480" w:lineRule="auto"/>
        <w:ind w:firstLine="720"/>
        <w:rPr>
          <w:rFonts w:ascii="Times New Roman" w:eastAsia="Times New Roman" w:hAnsi="Times New Roman" w:cs="Times New Roman"/>
        </w:rPr>
      </w:pPr>
    </w:p>
    <w:p w14:paraId="1CEDF3D4" w14:textId="77777777" w:rsidR="00FF5BB6" w:rsidRPr="00FD694B" w:rsidRDefault="00FF5BB6" w:rsidP="00FF5BB6">
      <w:pPr>
        <w:spacing w:after="0" w:line="480" w:lineRule="auto"/>
        <w:jc w:val="center"/>
        <w:rPr>
          <w:rFonts w:ascii="Times New Roman" w:eastAsia="Times New Roman" w:hAnsi="Times New Roman" w:cs="Times New Roman"/>
          <w:b/>
          <w:bCs/>
        </w:rPr>
      </w:pPr>
      <w:r w:rsidRPr="00FD694B">
        <w:rPr>
          <w:rFonts w:ascii="Times New Roman" w:eastAsia="Times New Roman" w:hAnsi="Times New Roman" w:cs="Times New Roman"/>
          <w:b/>
          <w:bCs/>
        </w:rPr>
        <w:t>Purpose and Goals: Empowering Proactive Diabetes Management</w:t>
      </w:r>
    </w:p>
    <w:p w14:paraId="6FAFDA3D" w14:textId="77777777" w:rsidR="00FF5BB6" w:rsidRPr="0077324A" w:rsidRDefault="00FF5BB6" w:rsidP="00FF5BB6">
      <w:pPr>
        <w:spacing w:after="0" w:line="480" w:lineRule="auto"/>
        <w:ind w:firstLine="720"/>
        <w:rPr>
          <w:rFonts w:ascii="Times New Roman" w:eastAsia="Times New Roman" w:hAnsi="Times New Roman" w:cs="Times New Roman"/>
        </w:rPr>
      </w:pPr>
      <w:r w:rsidRPr="0077324A">
        <w:rPr>
          <w:rFonts w:ascii="Times New Roman" w:eastAsia="Times New Roman" w:hAnsi="Times New Roman" w:cs="Times New Roman"/>
        </w:rPr>
        <w:t xml:space="preserve">The primary objective of this data product is to forecast the probability of diabetes onset in certain patients. This predictive power is attained through the painstaking analysis of an </w:t>
      </w:r>
      <w:r w:rsidRPr="0077324A">
        <w:rPr>
          <w:rFonts w:ascii="Times New Roman" w:eastAsia="Times New Roman" w:hAnsi="Times New Roman" w:cs="Times New Roman"/>
        </w:rPr>
        <w:lastRenderedPageBreak/>
        <w:t>extensive dataset that includes critical diagnostic measures, a wide range of patient attributes, and a thorough medical history. The program gives healthcare professionals the capacity to proactively identify those who are at an increased risk of acquiring diabetes by utilizing the power of this data. Early detection is a crucial initial step that allows for a comprehensive strategy to lessen the toll that the disease has on patients and healthcare systems.</w:t>
      </w:r>
    </w:p>
    <w:p w14:paraId="48544847" w14:textId="77777777" w:rsidR="00FF5BB6" w:rsidRPr="0077324A" w:rsidRDefault="00FF5BB6" w:rsidP="00FF5BB6">
      <w:pPr>
        <w:spacing w:after="0" w:line="480" w:lineRule="auto"/>
        <w:ind w:firstLine="720"/>
        <w:rPr>
          <w:rFonts w:ascii="Times New Roman" w:eastAsia="Times New Roman" w:hAnsi="Times New Roman" w:cs="Times New Roman"/>
        </w:rPr>
      </w:pPr>
      <w:r w:rsidRPr="0077324A">
        <w:rPr>
          <w:rFonts w:ascii="Times New Roman" w:eastAsia="Times New Roman" w:hAnsi="Times New Roman" w:cs="Times New Roman"/>
        </w:rPr>
        <w:t>The data product is specifically designed to achieve the following key goals:</w:t>
      </w:r>
    </w:p>
    <w:p w14:paraId="646597D8" w14:textId="77777777" w:rsidR="00FF5BB6" w:rsidRPr="0077324A" w:rsidRDefault="00FF5BB6" w:rsidP="00FF5BB6">
      <w:pPr>
        <w:pStyle w:val="ListParagraph"/>
        <w:numPr>
          <w:ilvl w:val="0"/>
          <w:numId w:val="4"/>
        </w:numPr>
        <w:spacing w:after="0" w:line="480" w:lineRule="auto"/>
        <w:ind w:firstLine="720"/>
        <w:rPr>
          <w:rFonts w:ascii="Times New Roman" w:eastAsia="Times New Roman" w:hAnsi="Times New Roman" w:cs="Times New Roman"/>
          <w:b/>
          <w:bCs/>
          <w:i/>
          <w:iCs/>
        </w:rPr>
      </w:pPr>
      <w:r w:rsidRPr="0077324A">
        <w:rPr>
          <w:rFonts w:ascii="Times New Roman" w:eastAsia="Times New Roman" w:hAnsi="Times New Roman" w:cs="Times New Roman"/>
          <w:b/>
          <w:bCs/>
          <w:i/>
          <w:iCs/>
        </w:rPr>
        <w:t>Enhanced Early Detection of Diabetes</w:t>
      </w:r>
    </w:p>
    <w:p w14:paraId="287F2152" w14:textId="77777777" w:rsidR="00FF5BB6" w:rsidRPr="0077324A" w:rsidRDefault="00FF5BB6" w:rsidP="00FF5BB6">
      <w:pPr>
        <w:spacing w:after="0" w:line="480" w:lineRule="auto"/>
        <w:ind w:firstLine="720"/>
        <w:rPr>
          <w:rFonts w:ascii="Times New Roman" w:eastAsia="Times New Roman" w:hAnsi="Times New Roman" w:cs="Times New Roman"/>
        </w:rPr>
      </w:pPr>
      <w:r w:rsidRPr="0077324A">
        <w:rPr>
          <w:rFonts w:ascii="Times New Roman" w:eastAsia="Times New Roman" w:hAnsi="Times New Roman" w:cs="Times New Roman"/>
        </w:rPr>
        <w:t>Delay in diagnosis is one of the biggest obstacles to managing diabetes. Diabetes frequently includes symptoms that are not recognized until the illness has reached a more advanced stage, which might result in problems. With the use of predictive modeling, this data product takes on the task of identifying high-risk individuals prior to the manifestation of clinical symptoms. Before the illness has a chance to spread, early detection enables prompt management, allowing for the adoption of preventive measures and lifestyle changes. (Rahman et al., 2022).</w:t>
      </w:r>
    </w:p>
    <w:p w14:paraId="302E1730" w14:textId="77777777" w:rsidR="00FF5BB6" w:rsidRPr="0077324A" w:rsidRDefault="00FF5BB6" w:rsidP="00FF5BB6">
      <w:pPr>
        <w:pStyle w:val="ListParagraph"/>
        <w:numPr>
          <w:ilvl w:val="0"/>
          <w:numId w:val="4"/>
        </w:numPr>
        <w:spacing w:after="0" w:line="480" w:lineRule="auto"/>
        <w:ind w:firstLine="720"/>
        <w:rPr>
          <w:rFonts w:ascii="Times New Roman" w:eastAsia="Times New Roman" w:hAnsi="Times New Roman" w:cs="Times New Roman"/>
          <w:b/>
          <w:bCs/>
          <w:i/>
          <w:iCs/>
        </w:rPr>
      </w:pPr>
      <w:r w:rsidRPr="0077324A">
        <w:rPr>
          <w:rFonts w:ascii="Times New Roman" w:eastAsia="Times New Roman" w:hAnsi="Times New Roman" w:cs="Times New Roman"/>
          <w:b/>
          <w:bCs/>
          <w:i/>
          <w:iCs/>
        </w:rPr>
        <w:t>Facilitation of Personalized Treatment Plans</w:t>
      </w:r>
    </w:p>
    <w:p w14:paraId="733C6274" w14:textId="77777777" w:rsidR="00FF5BB6" w:rsidRPr="0077324A" w:rsidRDefault="00FF5BB6" w:rsidP="00FF5BB6">
      <w:pPr>
        <w:spacing w:after="0" w:line="480" w:lineRule="auto"/>
        <w:ind w:firstLine="720"/>
        <w:rPr>
          <w:rFonts w:ascii="Times New Roman" w:hAnsi="Times New Roman" w:cs="Times New Roman"/>
        </w:rPr>
      </w:pPr>
      <w:r w:rsidRPr="0077324A">
        <w:rPr>
          <w:rFonts w:ascii="Times New Roman" w:eastAsia="Times New Roman" w:hAnsi="Times New Roman" w:cs="Times New Roman"/>
        </w:rPr>
        <w:t xml:space="preserve">For certain patients, traditional, one-size-fits-all diabetes treatment methods may not be the best option. This data product seeks to overcome this constraint by making it easier to create individualized treatment programs. Healthcare professionals can customize treatment plans to meet individual requirements and preferences by </w:t>
      </w:r>
      <w:proofErr w:type="gramStart"/>
      <w:r w:rsidRPr="0077324A">
        <w:rPr>
          <w:rFonts w:ascii="Times New Roman" w:eastAsia="Times New Roman" w:hAnsi="Times New Roman" w:cs="Times New Roman"/>
        </w:rPr>
        <w:t>taking into account</w:t>
      </w:r>
      <w:proofErr w:type="gramEnd"/>
      <w:r w:rsidRPr="0077324A">
        <w:rPr>
          <w:rFonts w:ascii="Times New Roman" w:eastAsia="Times New Roman" w:hAnsi="Times New Roman" w:cs="Times New Roman"/>
        </w:rPr>
        <w:t xml:space="preserve"> each patient's distinct collection of demographics, medical history, and risk factors discovered by predictive modeling. Better treatment efficacy and adherence could result from this tailored strategy, which would benefit patients' long-term health. (Yang et al., 2023).</w:t>
      </w:r>
    </w:p>
    <w:p w14:paraId="6E99EA0F" w14:textId="77777777" w:rsidR="00FF5BB6" w:rsidRPr="0077324A" w:rsidRDefault="00FF5BB6" w:rsidP="00FF5BB6">
      <w:pPr>
        <w:pStyle w:val="ListParagraph"/>
        <w:numPr>
          <w:ilvl w:val="0"/>
          <w:numId w:val="4"/>
        </w:numPr>
        <w:spacing w:after="0" w:line="480" w:lineRule="auto"/>
        <w:ind w:firstLine="720"/>
        <w:rPr>
          <w:rFonts w:ascii="Times New Roman" w:eastAsia="Times New Roman" w:hAnsi="Times New Roman" w:cs="Times New Roman"/>
          <w:b/>
          <w:bCs/>
          <w:i/>
          <w:iCs/>
        </w:rPr>
      </w:pPr>
      <w:r w:rsidRPr="0077324A">
        <w:rPr>
          <w:rFonts w:ascii="Times New Roman" w:eastAsia="Times New Roman" w:hAnsi="Times New Roman" w:cs="Times New Roman"/>
          <w:b/>
          <w:bCs/>
          <w:i/>
          <w:iCs/>
        </w:rPr>
        <w:lastRenderedPageBreak/>
        <w:t>Enhancement of Patient Outcomes through Proactive Disease Management</w:t>
      </w:r>
    </w:p>
    <w:p w14:paraId="21B52D46" w14:textId="77777777" w:rsidR="00FF5BB6" w:rsidRPr="0077324A" w:rsidRDefault="00FF5BB6" w:rsidP="00FF5BB6">
      <w:pPr>
        <w:spacing w:after="0" w:line="480" w:lineRule="auto"/>
        <w:ind w:firstLine="720"/>
        <w:rPr>
          <w:rFonts w:ascii="Times New Roman" w:eastAsia="Times New Roman" w:hAnsi="Times New Roman" w:cs="Times New Roman"/>
        </w:rPr>
      </w:pPr>
      <w:r w:rsidRPr="0077324A">
        <w:rPr>
          <w:rFonts w:ascii="Times New Roman" w:eastAsia="Times New Roman" w:hAnsi="Times New Roman" w:cs="Times New Roman"/>
        </w:rPr>
        <w:t>A paradigm change toward proactive diabetes management is promoted by the data product. Healthcare practitioners can proactively involve patients in preventative measures and early intervention techniques by proactively identifying those who are at high risk beforehand. By taking a proactive stance, it may be possible to postpone the beginning of diabetes and perhaps stop related diseases from occurring. Furthermore, early diagnosis lowers the risk of long-term health issues frequently linked to diabetes by enabling tighter monitoring and management of blood sugar levels (Tian et al., 2022).</w:t>
      </w:r>
    </w:p>
    <w:p w14:paraId="3E969897" w14:textId="77777777" w:rsidR="00FF5BB6" w:rsidRPr="00FD694B" w:rsidRDefault="00FF5BB6" w:rsidP="00FF5BB6">
      <w:pPr>
        <w:spacing w:after="0" w:line="480" w:lineRule="auto"/>
        <w:jc w:val="center"/>
        <w:rPr>
          <w:rFonts w:ascii="Times New Roman" w:eastAsia="Times New Roman" w:hAnsi="Times New Roman" w:cs="Times New Roman"/>
          <w:b/>
          <w:bCs/>
        </w:rPr>
      </w:pPr>
      <w:r w:rsidRPr="00FD694B">
        <w:rPr>
          <w:rFonts w:ascii="Times New Roman" w:eastAsia="Times New Roman" w:hAnsi="Times New Roman" w:cs="Times New Roman"/>
          <w:b/>
          <w:bCs/>
        </w:rPr>
        <w:t>Unveiling the Multifaceted Benefits of the Data Product</w:t>
      </w:r>
    </w:p>
    <w:p w14:paraId="3268C19B" w14:textId="77777777" w:rsidR="00FF5BB6" w:rsidRPr="0077324A" w:rsidRDefault="00FF5BB6" w:rsidP="00FF5BB6">
      <w:pPr>
        <w:spacing w:after="0" w:line="480" w:lineRule="auto"/>
        <w:ind w:firstLine="720"/>
        <w:rPr>
          <w:rFonts w:ascii="Times New Roman" w:eastAsia="Times New Roman" w:hAnsi="Times New Roman" w:cs="Times New Roman"/>
        </w:rPr>
      </w:pPr>
      <w:r w:rsidRPr="0077324A">
        <w:rPr>
          <w:rFonts w:ascii="Times New Roman" w:eastAsia="Times New Roman" w:hAnsi="Times New Roman" w:cs="Times New Roman"/>
        </w:rPr>
        <w:t>Implementing this data product for diabetes diagnosis prediction promises many advantages across the healthcare ecosystem, impacting healthcare providers and patients and insurers.</w:t>
      </w:r>
    </w:p>
    <w:p w14:paraId="77D82E99" w14:textId="77777777" w:rsidR="00FF5BB6" w:rsidRPr="0077324A" w:rsidRDefault="00FF5BB6" w:rsidP="00FF5BB6">
      <w:pPr>
        <w:pStyle w:val="ListParagraph"/>
        <w:numPr>
          <w:ilvl w:val="0"/>
          <w:numId w:val="3"/>
        </w:numPr>
        <w:spacing w:after="0" w:line="480" w:lineRule="auto"/>
        <w:ind w:firstLine="720"/>
        <w:rPr>
          <w:rFonts w:ascii="Times New Roman" w:eastAsia="Times New Roman" w:hAnsi="Times New Roman" w:cs="Times New Roman"/>
          <w:b/>
          <w:bCs/>
          <w:i/>
          <w:iCs/>
        </w:rPr>
      </w:pPr>
      <w:r w:rsidRPr="0077324A">
        <w:rPr>
          <w:rFonts w:ascii="Times New Roman" w:eastAsia="Times New Roman" w:hAnsi="Times New Roman" w:cs="Times New Roman"/>
          <w:b/>
          <w:bCs/>
          <w:i/>
          <w:iCs/>
        </w:rPr>
        <w:t>Streamlined Healthcare Delivery and Cost Savings</w:t>
      </w:r>
    </w:p>
    <w:p w14:paraId="3B8094E0" w14:textId="77777777" w:rsidR="00FF5BB6" w:rsidRPr="0077324A" w:rsidRDefault="00FF5BB6" w:rsidP="00FF5BB6">
      <w:pPr>
        <w:spacing w:after="0" w:line="480" w:lineRule="auto"/>
        <w:ind w:firstLine="720"/>
        <w:rPr>
          <w:rFonts w:ascii="Times New Roman" w:eastAsia="Times New Roman" w:hAnsi="Times New Roman" w:cs="Times New Roman"/>
        </w:rPr>
      </w:pPr>
      <w:r w:rsidRPr="0077324A">
        <w:rPr>
          <w:rFonts w:ascii="Times New Roman" w:eastAsia="Times New Roman" w:hAnsi="Times New Roman" w:cs="Times New Roman"/>
        </w:rPr>
        <w:t>The data offering offers the healthcare sector a strong chance to streamline patient care delivery and maximize resource allocation. Targeted screening programs and therapies can be prioritized by healthcare systems by proactively identifying persons who are at high risk of getting diabetes. By taking preventative measures, the likelihood of problems following a late-stage diabetes diagnosis can be greatly decreased. According to Garg et al. (2020), early detection results in a decreased burden on healthcare systems when it comes to managing expensive consequences such diabetes retinopathy, nephropathy, and neuropathy. Moreover, effective resource management enables medical professionals to concentrate their skills on patients who have received a diagnosis, which eventually improves systemic efficiency.</w:t>
      </w:r>
    </w:p>
    <w:p w14:paraId="4EDC216D" w14:textId="77777777" w:rsidR="00FF5BB6" w:rsidRPr="0077324A" w:rsidRDefault="00FF5BB6" w:rsidP="00FF5BB6">
      <w:pPr>
        <w:pStyle w:val="ListParagraph"/>
        <w:numPr>
          <w:ilvl w:val="0"/>
          <w:numId w:val="3"/>
        </w:numPr>
        <w:spacing w:after="0" w:line="480" w:lineRule="auto"/>
        <w:ind w:firstLine="720"/>
        <w:rPr>
          <w:rFonts w:ascii="Times New Roman" w:eastAsia="Times New Roman" w:hAnsi="Times New Roman" w:cs="Times New Roman"/>
          <w:b/>
          <w:bCs/>
          <w:i/>
          <w:iCs/>
        </w:rPr>
      </w:pPr>
      <w:r w:rsidRPr="0077324A">
        <w:rPr>
          <w:rFonts w:ascii="Times New Roman" w:eastAsia="Times New Roman" w:hAnsi="Times New Roman" w:cs="Times New Roman"/>
          <w:b/>
          <w:bCs/>
          <w:i/>
          <w:iCs/>
        </w:rPr>
        <w:lastRenderedPageBreak/>
        <w:t>Empowering Patients with Knowledge and Control</w:t>
      </w:r>
    </w:p>
    <w:p w14:paraId="6DFB3A72" w14:textId="77777777" w:rsidR="00FF5BB6" w:rsidRPr="0077324A" w:rsidRDefault="00FF5BB6" w:rsidP="00FF5BB6">
      <w:pPr>
        <w:spacing w:after="0" w:line="480" w:lineRule="auto"/>
        <w:ind w:firstLine="720"/>
        <w:rPr>
          <w:rFonts w:ascii="Times New Roman" w:eastAsia="Times New Roman" w:hAnsi="Times New Roman" w:cs="Times New Roman"/>
        </w:rPr>
      </w:pPr>
      <w:r w:rsidRPr="0077324A">
        <w:rPr>
          <w:rFonts w:ascii="Times New Roman" w:eastAsia="Times New Roman" w:hAnsi="Times New Roman" w:cs="Times New Roman"/>
        </w:rPr>
        <w:t xml:space="preserve">By providing patients with the information about their diabetes propensity, the data product empowers them. Patients can actively participate in their own health management when early detection is achieved. Equipped with this invaluable data, people may make well-informed choices about lifestyle adjustments, including embracing a more nutritious diet or scheduling regular exercise into their schedules. Early diagnosis also makes it easier to start appropriate medical interventions on time, including medication or blood sugar monitoring, which may even be able to postpone or even stop the beginning of diabetes (American Diabetes Association, 2023). The data product gives patients the ability to take charge of their own care, so improving their quality of life and lowering their chance of suffering crippling complications related to diabetes. </w:t>
      </w:r>
    </w:p>
    <w:p w14:paraId="59FE1E2D" w14:textId="77777777" w:rsidR="00FF5BB6" w:rsidRPr="00FD694B" w:rsidRDefault="00FF5BB6" w:rsidP="00FF5BB6">
      <w:pPr>
        <w:pStyle w:val="ListParagraph"/>
        <w:numPr>
          <w:ilvl w:val="0"/>
          <w:numId w:val="3"/>
        </w:numPr>
        <w:spacing w:after="0" w:line="480" w:lineRule="auto"/>
        <w:ind w:firstLine="720"/>
        <w:rPr>
          <w:rFonts w:ascii="Times New Roman" w:eastAsia="Times New Roman" w:hAnsi="Times New Roman" w:cs="Times New Roman"/>
          <w:b/>
          <w:bCs/>
          <w:i/>
          <w:iCs/>
        </w:rPr>
      </w:pPr>
      <w:r w:rsidRPr="00FD694B">
        <w:rPr>
          <w:rFonts w:ascii="Times New Roman" w:eastAsia="Times New Roman" w:hAnsi="Times New Roman" w:cs="Times New Roman"/>
          <w:b/>
          <w:bCs/>
          <w:i/>
          <w:iCs/>
        </w:rPr>
        <w:t>Shared Benefits for Insurers and a Focus on Preventive Care</w:t>
      </w:r>
    </w:p>
    <w:p w14:paraId="04D87A72" w14:textId="77777777" w:rsidR="00FF5BB6" w:rsidRPr="0077324A" w:rsidRDefault="00FF5BB6" w:rsidP="00FF5BB6">
      <w:pPr>
        <w:spacing w:after="0" w:line="480" w:lineRule="auto"/>
        <w:ind w:firstLine="720"/>
        <w:rPr>
          <w:rFonts w:ascii="Times New Roman" w:eastAsia="Times New Roman" w:hAnsi="Times New Roman" w:cs="Times New Roman"/>
        </w:rPr>
      </w:pPr>
      <w:r w:rsidRPr="0077324A">
        <w:rPr>
          <w:rFonts w:ascii="Times New Roman" w:eastAsia="Times New Roman" w:hAnsi="Times New Roman" w:cs="Times New Roman"/>
        </w:rPr>
        <w:t xml:space="preserve">The benefits of the data product are not limited to patients and healthcare professionals; it also benefits the insurance sector. The solution lowers healthcare expenses connected to managing diabetes-related complications by improving early identification and intervention. For insurance firms, this means substantial financial benefits. Furthermore, the data offering is in line with the insurance industry's increasing emphasis on preventative treatment. The long-term cost burden that insurers face from managing diabetes care may be lessened if they provide incentives for early intervention and preventive care. This cooperative strategy promotes a healthcare system that emphasizes preventative measures and gives people the power to take control of their health, which benefits insurers as well as patients. </w:t>
      </w:r>
    </w:p>
    <w:p w14:paraId="7FDE0F92" w14:textId="77777777" w:rsidR="00FF5BB6" w:rsidRPr="00FD694B" w:rsidRDefault="00FF5BB6" w:rsidP="00FF5BB6">
      <w:pPr>
        <w:spacing w:after="0" w:line="480" w:lineRule="auto"/>
        <w:jc w:val="center"/>
        <w:rPr>
          <w:rFonts w:ascii="Times New Roman" w:eastAsia="Times New Roman" w:hAnsi="Times New Roman" w:cs="Times New Roman"/>
          <w:b/>
          <w:bCs/>
        </w:rPr>
      </w:pPr>
      <w:r w:rsidRPr="00FD694B">
        <w:rPr>
          <w:rFonts w:ascii="Times New Roman" w:eastAsia="Times New Roman" w:hAnsi="Times New Roman" w:cs="Times New Roman"/>
          <w:b/>
          <w:bCs/>
        </w:rPr>
        <w:t>Alternative Types of Data Products: Alternative types of data products that can accomplish similar goals include:</w:t>
      </w:r>
    </w:p>
    <w:p w14:paraId="05086208" w14:textId="77777777" w:rsidR="00FF5BB6" w:rsidRPr="0077324A" w:rsidRDefault="00FF5BB6" w:rsidP="00FF5BB6">
      <w:pPr>
        <w:pStyle w:val="ListParagraph"/>
        <w:numPr>
          <w:ilvl w:val="0"/>
          <w:numId w:val="1"/>
        </w:numPr>
        <w:spacing w:after="0" w:line="480" w:lineRule="auto"/>
        <w:ind w:firstLine="720"/>
        <w:rPr>
          <w:rFonts w:ascii="Times New Roman" w:eastAsia="Times New Roman" w:hAnsi="Times New Roman" w:cs="Times New Roman"/>
        </w:rPr>
      </w:pPr>
      <w:r w:rsidRPr="0077324A">
        <w:rPr>
          <w:rFonts w:ascii="Times New Roman" w:eastAsia="Times New Roman" w:hAnsi="Times New Roman" w:cs="Times New Roman"/>
          <w:b/>
          <w:bCs/>
        </w:rPr>
        <w:lastRenderedPageBreak/>
        <w:t>Decision support systems:</w:t>
      </w:r>
      <w:r w:rsidRPr="0077324A">
        <w:rPr>
          <w:rFonts w:ascii="Times New Roman" w:eastAsia="Times New Roman" w:hAnsi="Times New Roman" w:cs="Times New Roman"/>
        </w:rPr>
        <w:t xml:space="preserve"> Giving medical professionals immediate clinical decision assistance based on patient information and recommendations supported by evidence. </w:t>
      </w:r>
    </w:p>
    <w:p w14:paraId="2DA5887A" w14:textId="77777777" w:rsidR="00FF5BB6" w:rsidRPr="0077324A" w:rsidRDefault="00FF5BB6" w:rsidP="00FF5BB6">
      <w:pPr>
        <w:pStyle w:val="ListParagraph"/>
        <w:numPr>
          <w:ilvl w:val="0"/>
          <w:numId w:val="1"/>
        </w:numPr>
        <w:spacing w:after="0" w:line="480" w:lineRule="auto"/>
        <w:ind w:firstLine="720"/>
        <w:rPr>
          <w:rFonts w:ascii="Times New Roman" w:eastAsia="Times New Roman" w:hAnsi="Times New Roman" w:cs="Times New Roman"/>
        </w:rPr>
      </w:pPr>
      <w:r w:rsidRPr="0077324A">
        <w:rPr>
          <w:rFonts w:ascii="Times New Roman" w:eastAsia="Times New Roman" w:hAnsi="Times New Roman" w:cs="Times New Roman"/>
          <w:b/>
          <w:bCs/>
        </w:rPr>
        <w:t>Platforms for managing population health:</w:t>
      </w:r>
      <w:r w:rsidRPr="0077324A">
        <w:rPr>
          <w:rFonts w:ascii="Times New Roman" w:eastAsia="Times New Roman" w:hAnsi="Times New Roman" w:cs="Times New Roman"/>
        </w:rPr>
        <w:t xml:space="preserve"> identifying groups at high risk of developing chronic illnesses, such as diabetes, and putting focused treatments in place to enhance population health outcomes. </w:t>
      </w:r>
    </w:p>
    <w:p w14:paraId="4271734E" w14:textId="77777777" w:rsidR="00FF5BB6" w:rsidRPr="0077324A" w:rsidRDefault="00FF5BB6" w:rsidP="00FF5BB6">
      <w:pPr>
        <w:pStyle w:val="ListParagraph"/>
        <w:numPr>
          <w:ilvl w:val="0"/>
          <w:numId w:val="1"/>
        </w:numPr>
        <w:spacing w:after="0" w:line="480" w:lineRule="auto"/>
        <w:ind w:firstLine="720"/>
        <w:rPr>
          <w:rFonts w:ascii="Times New Roman" w:eastAsia="Times New Roman" w:hAnsi="Times New Roman" w:cs="Times New Roman"/>
        </w:rPr>
      </w:pPr>
      <w:r w:rsidRPr="0077324A">
        <w:rPr>
          <w:rFonts w:ascii="Times New Roman" w:eastAsia="Times New Roman" w:hAnsi="Times New Roman" w:cs="Times New Roman"/>
          <w:b/>
          <w:bCs/>
        </w:rPr>
        <w:t>Wearable health devices</w:t>
      </w:r>
      <w:r w:rsidRPr="0077324A">
        <w:rPr>
          <w:rFonts w:ascii="Times New Roman" w:eastAsia="Times New Roman" w:hAnsi="Times New Roman" w:cs="Times New Roman"/>
        </w:rPr>
        <w:t xml:space="preserve">: These gadgets use mobile health apps and wearable sensors to continually monitor physiological parameters and identify early indicators of the onset of diabetes. </w:t>
      </w:r>
      <w:r w:rsidRPr="0077324A">
        <w:rPr>
          <w:rFonts w:ascii="Times New Roman" w:hAnsi="Times New Roman" w:cs="Times New Roman"/>
        </w:rPr>
        <w:br/>
      </w:r>
    </w:p>
    <w:p w14:paraId="15616004" w14:textId="77777777" w:rsidR="00FF5BB6" w:rsidRPr="00FD694B" w:rsidRDefault="00FF5BB6" w:rsidP="00FF5BB6">
      <w:pPr>
        <w:spacing w:after="0" w:line="480" w:lineRule="auto"/>
        <w:jc w:val="center"/>
        <w:rPr>
          <w:rFonts w:ascii="Times New Roman" w:eastAsia="Times New Roman" w:hAnsi="Times New Roman" w:cs="Times New Roman"/>
          <w:b/>
          <w:bCs/>
        </w:rPr>
      </w:pPr>
      <w:r w:rsidRPr="00FD694B">
        <w:rPr>
          <w:rFonts w:ascii="Times New Roman" w:eastAsia="Times New Roman" w:hAnsi="Times New Roman" w:cs="Times New Roman"/>
          <w:b/>
          <w:bCs/>
        </w:rPr>
        <w:t>Key Technologies: The data product leverages various technologies, including:</w:t>
      </w:r>
    </w:p>
    <w:p w14:paraId="53AD2369" w14:textId="77777777" w:rsidR="00FF5BB6" w:rsidRPr="0077324A" w:rsidRDefault="00FF5BB6" w:rsidP="00FF5BB6">
      <w:pPr>
        <w:pStyle w:val="ListParagraph"/>
        <w:numPr>
          <w:ilvl w:val="0"/>
          <w:numId w:val="2"/>
        </w:numPr>
        <w:spacing w:after="0" w:line="480" w:lineRule="auto"/>
        <w:ind w:firstLine="720"/>
        <w:rPr>
          <w:rFonts w:ascii="Times New Roman" w:eastAsia="Times New Roman" w:hAnsi="Times New Roman" w:cs="Times New Roman"/>
        </w:rPr>
      </w:pPr>
      <w:r w:rsidRPr="0077324A">
        <w:rPr>
          <w:rFonts w:ascii="Times New Roman" w:eastAsia="Times New Roman" w:hAnsi="Times New Roman" w:cs="Times New Roman"/>
        </w:rPr>
        <w:t>Machine learning algorithms (e.g., logistic regression, random forest, support vector machines) for predictive modeling.</w:t>
      </w:r>
    </w:p>
    <w:p w14:paraId="3434688F" w14:textId="77777777" w:rsidR="00FF5BB6" w:rsidRPr="0077324A" w:rsidRDefault="00FF5BB6" w:rsidP="00FF5BB6">
      <w:pPr>
        <w:pStyle w:val="ListParagraph"/>
        <w:numPr>
          <w:ilvl w:val="0"/>
          <w:numId w:val="2"/>
        </w:numPr>
        <w:spacing w:after="0" w:line="480" w:lineRule="auto"/>
        <w:ind w:firstLine="720"/>
        <w:rPr>
          <w:rFonts w:ascii="Times New Roman" w:eastAsia="Times New Roman" w:hAnsi="Times New Roman" w:cs="Times New Roman"/>
        </w:rPr>
      </w:pPr>
      <w:r w:rsidRPr="0077324A">
        <w:rPr>
          <w:rFonts w:ascii="Times New Roman" w:eastAsia="Times New Roman" w:hAnsi="Times New Roman" w:cs="Times New Roman"/>
        </w:rPr>
        <w:t>Data preprocessing techniques (e.g., feature scaling, imputation) to handle missing values and ensure data quality.</w:t>
      </w:r>
    </w:p>
    <w:p w14:paraId="599C01A0" w14:textId="77777777" w:rsidR="00FF5BB6" w:rsidRPr="0077324A" w:rsidRDefault="00FF5BB6" w:rsidP="00FF5BB6">
      <w:pPr>
        <w:pStyle w:val="ListParagraph"/>
        <w:numPr>
          <w:ilvl w:val="0"/>
          <w:numId w:val="2"/>
        </w:numPr>
        <w:spacing w:after="0" w:line="480" w:lineRule="auto"/>
        <w:ind w:firstLine="720"/>
        <w:rPr>
          <w:rFonts w:ascii="Times New Roman" w:eastAsia="Times New Roman" w:hAnsi="Times New Roman" w:cs="Times New Roman"/>
        </w:rPr>
      </w:pPr>
      <w:r w:rsidRPr="0077324A">
        <w:rPr>
          <w:rFonts w:ascii="Times New Roman" w:eastAsia="Times New Roman" w:hAnsi="Times New Roman" w:cs="Times New Roman"/>
        </w:rPr>
        <w:t>Visualization tools (e.g., matplotlib, seaborn) for exploratory data analysis and interpretation of model results.</w:t>
      </w:r>
    </w:p>
    <w:p w14:paraId="50F7427F" w14:textId="77777777" w:rsidR="00FF5BB6" w:rsidRPr="0077324A" w:rsidRDefault="00FF5BB6" w:rsidP="00FF5BB6">
      <w:pPr>
        <w:spacing w:after="0" w:line="480" w:lineRule="auto"/>
        <w:ind w:firstLine="720"/>
        <w:rPr>
          <w:rFonts w:ascii="Times New Roman" w:eastAsia="Times New Roman" w:hAnsi="Times New Roman" w:cs="Times New Roman"/>
        </w:rPr>
      </w:pPr>
      <w:r w:rsidRPr="0077324A">
        <w:rPr>
          <w:rFonts w:ascii="Times New Roman" w:eastAsia="Times New Roman" w:hAnsi="Times New Roman" w:cs="Times New Roman"/>
        </w:rPr>
        <w:br w:type="page"/>
      </w:r>
    </w:p>
    <w:p w14:paraId="38BEE724" w14:textId="77777777" w:rsidR="00FF5BB6" w:rsidRPr="00FD694B" w:rsidRDefault="00FF5BB6" w:rsidP="00FF5BB6">
      <w:pPr>
        <w:spacing w:after="0" w:line="480" w:lineRule="auto"/>
        <w:jc w:val="center"/>
        <w:rPr>
          <w:rFonts w:ascii="Times New Roman" w:eastAsia="Times New Roman" w:hAnsi="Times New Roman" w:cs="Times New Roman"/>
          <w:b/>
          <w:bCs/>
        </w:rPr>
      </w:pPr>
      <w:r w:rsidRPr="00FD694B">
        <w:rPr>
          <w:rFonts w:ascii="Times New Roman" w:eastAsia="Times New Roman" w:hAnsi="Times New Roman" w:cs="Times New Roman"/>
          <w:b/>
          <w:bCs/>
        </w:rPr>
        <w:lastRenderedPageBreak/>
        <w:t>Insights from Religious and Theological Perspectives:</w:t>
      </w:r>
    </w:p>
    <w:p w14:paraId="0EB6243A" w14:textId="77777777" w:rsidR="00FF5BB6" w:rsidRPr="0077324A" w:rsidRDefault="00FF5BB6" w:rsidP="00FF5BB6">
      <w:pPr>
        <w:spacing w:after="0" w:line="480" w:lineRule="auto"/>
        <w:ind w:firstLine="720"/>
        <w:rPr>
          <w:rFonts w:ascii="Times New Roman" w:eastAsia="Times New Roman" w:hAnsi="Times New Roman" w:cs="Times New Roman"/>
        </w:rPr>
      </w:pPr>
      <w:r w:rsidRPr="0077324A">
        <w:rPr>
          <w:rFonts w:ascii="Times New Roman" w:eastAsia="Times New Roman" w:hAnsi="Times New Roman" w:cs="Times New Roman"/>
        </w:rPr>
        <w:t xml:space="preserve">From a Christian perspective, patient care, ethical issues, and resource stewardship should come first in the production of data products for the healthcare industry. Furthermore, faith-based groups and communities may be extremely important in supporting people with long-term illnesses like diabetes, encouraging preventative healthcare behaviors, and fighting for fair access to medical treatment. The holistic approach to healthcare delivery may be strengthened by including religious and theological viewpoints, highlighting the need of attending to patients' physical, emotional, and spiritual needs. </w:t>
      </w:r>
    </w:p>
    <w:p w14:paraId="7C9877DE" w14:textId="77777777" w:rsidR="00FF5BB6" w:rsidRPr="00FD694B" w:rsidRDefault="00FF5BB6" w:rsidP="00FF5BB6">
      <w:pPr>
        <w:spacing w:after="0" w:line="480" w:lineRule="auto"/>
        <w:jc w:val="center"/>
        <w:rPr>
          <w:rFonts w:ascii="Times New Roman" w:eastAsia="Times New Roman" w:hAnsi="Times New Roman" w:cs="Times New Roman"/>
          <w:b/>
          <w:bCs/>
        </w:rPr>
      </w:pPr>
      <w:r w:rsidRPr="00FD694B">
        <w:rPr>
          <w:rFonts w:ascii="Times New Roman" w:eastAsia="Times New Roman" w:hAnsi="Times New Roman" w:cs="Times New Roman"/>
          <w:b/>
          <w:bCs/>
        </w:rPr>
        <w:t>Conclusion</w:t>
      </w:r>
    </w:p>
    <w:p w14:paraId="003B85B3" w14:textId="77777777" w:rsidR="00FF5BB6" w:rsidRPr="0077324A" w:rsidRDefault="00FF5BB6" w:rsidP="00FF5BB6">
      <w:pPr>
        <w:spacing w:after="0" w:line="480" w:lineRule="auto"/>
        <w:ind w:firstLine="720"/>
        <w:rPr>
          <w:rFonts w:ascii="Times New Roman" w:eastAsia="Times New Roman" w:hAnsi="Times New Roman" w:cs="Times New Roman"/>
        </w:rPr>
      </w:pPr>
      <w:r w:rsidRPr="0077324A">
        <w:rPr>
          <w:rFonts w:ascii="Times New Roman" w:eastAsia="Times New Roman" w:hAnsi="Times New Roman" w:cs="Times New Roman"/>
        </w:rPr>
        <w:t>To sum up, diabetes diagnosis predictive modeling is an important data science tool that has a big impact on patient outcomes and healthcare delivery. This data solution enables healthcare providers to detect persons at risk of diabetes and perform timely treatments to limit its impact by utilizing sophisticated analytics techniques and interdisciplinary teamwork. The effectiveness and dependability of data-driven solutions in the treatment of diabetes will depend on the ongoing development and validation of prediction models as well as adherence to moral standards and legal requirements.</w:t>
      </w:r>
    </w:p>
    <w:p w14:paraId="0684D5DC" w14:textId="77777777" w:rsidR="00FF5BB6" w:rsidRPr="0077324A" w:rsidRDefault="00FF5BB6" w:rsidP="00FF5BB6">
      <w:pPr>
        <w:spacing w:after="0" w:line="480" w:lineRule="auto"/>
        <w:rPr>
          <w:rFonts w:ascii="Times New Roman" w:eastAsia="Times New Roman" w:hAnsi="Times New Roman" w:cs="Times New Roman"/>
        </w:rPr>
      </w:pPr>
    </w:p>
    <w:p w14:paraId="310D0462" w14:textId="77777777" w:rsidR="00FF5BB6" w:rsidRPr="0077324A" w:rsidRDefault="00FF5BB6" w:rsidP="00FF5BB6">
      <w:pPr>
        <w:spacing w:after="0" w:line="480" w:lineRule="auto"/>
        <w:rPr>
          <w:rFonts w:ascii="Times New Roman" w:eastAsia="Times New Roman" w:hAnsi="Times New Roman" w:cs="Times New Roman"/>
        </w:rPr>
      </w:pPr>
      <w:r w:rsidRPr="0077324A">
        <w:rPr>
          <w:rFonts w:ascii="Times New Roman" w:eastAsia="Times New Roman" w:hAnsi="Times New Roman" w:cs="Times New Roman"/>
        </w:rPr>
        <w:br w:type="page"/>
      </w:r>
    </w:p>
    <w:p w14:paraId="5B6DF2EF" w14:textId="77777777" w:rsidR="00FF5BB6" w:rsidRPr="0077324A" w:rsidRDefault="00FF5BB6" w:rsidP="00FF5BB6">
      <w:pPr>
        <w:spacing w:after="0" w:line="480" w:lineRule="auto"/>
        <w:jc w:val="center"/>
        <w:rPr>
          <w:rFonts w:ascii="Times New Roman" w:eastAsia="Times New Roman" w:hAnsi="Times New Roman" w:cs="Times New Roman"/>
          <w:b/>
          <w:bCs/>
        </w:rPr>
      </w:pPr>
      <w:r w:rsidRPr="0077324A">
        <w:rPr>
          <w:rFonts w:ascii="Times New Roman" w:eastAsia="Times New Roman" w:hAnsi="Times New Roman" w:cs="Times New Roman"/>
          <w:b/>
          <w:bCs/>
        </w:rPr>
        <w:lastRenderedPageBreak/>
        <w:t>References</w:t>
      </w:r>
    </w:p>
    <w:p w14:paraId="240DB1DA" w14:textId="77777777" w:rsidR="00FF5BB6" w:rsidRPr="0077324A" w:rsidRDefault="00FF5BB6" w:rsidP="00FF5BB6">
      <w:pPr>
        <w:spacing w:after="0" w:line="480" w:lineRule="auto"/>
        <w:ind w:left="720" w:hanging="720"/>
        <w:rPr>
          <w:rFonts w:ascii="Times New Roman" w:eastAsia="Times New Roman" w:hAnsi="Times New Roman" w:cs="Times New Roman"/>
        </w:rPr>
      </w:pPr>
      <w:r w:rsidRPr="0077324A">
        <w:rPr>
          <w:rFonts w:ascii="Times New Roman" w:eastAsia="Times New Roman" w:hAnsi="Times New Roman" w:cs="Times New Roman"/>
        </w:rPr>
        <w:t>American Diabetes Association. (2023, January 23). Type 2 Diabetes Prevention: Lifestyle Changes. https://diabetes.org/</w:t>
      </w:r>
    </w:p>
    <w:p w14:paraId="3C6CAD18" w14:textId="77777777" w:rsidR="00FF5BB6" w:rsidRPr="0077324A" w:rsidRDefault="00FF5BB6" w:rsidP="00FF5BB6">
      <w:pPr>
        <w:spacing w:after="0" w:line="480" w:lineRule="auto"/>
        <w:ind w:left="720" w:hanging="720"/>
        <w:rPr>
          <w:rFonts w:ascii="Times New Roman" w:eastAsia="Times New Roman" w:hAnsi="Times New Roman" w:cs="Times New Roman"/>
        </w:rPr>
      </w:pPr>
      <w:r w:rsidRPr="0077324A">
        <w:rPr>
          <w:rFonts w:ascii="Times New Roman" w:eastAsia="Times New Roman" w:hAnsi="Times New Roman" w:cs="Times New Roman"/>
        </w:rPr>
        <w:t xml:space="preserve">Garg, R., Mahajan, R., Datta, M., Bhaskar, A., &amp; </w:t>
      </w:r>
      <w:proofErr w:type="spellStart"/>
      <w:r w:rsidRPr="0077324A">
        <w:rPr>
          <w:rFonts w:ascii="Times New Roman" w:eastAsia="Times New Roman" w:hAnsi="Times New Roman" w:cs="Times New Roman"/>
        </w:rPr>
        <w:t>Dandona</w:t>
      </w:r>
      <w:proofErr w:type="spellEnd"/>
      <w:r w:rsidRPr="0077324A">
        <w:rPr>
          <w:rFonts w:ascii="Times New Roman" w:eastAsia="Times New Roman" w:hAnsi="Times New Roman" w:cs="Times New Roman"/>
        </w:rPr>
        <w:t>, L. (2020). Cost of diabetes in low- and middle-income countries: A narrative review. BMJ Global Health, 5(5), e002334.</w:t>
      </w:r>
    </w:p>
    <w:p w14:paraId="303954B3" w14:textId="77777777" w:rsidR="00FF5BB6" w:rsidRPr="0077324A" w:rsidRDefault="00FF5BB6" w:rsidP="00FF5BB6">
      <w:pPr>
        <w:spacing w:after="0" w:line="480" w:lineRule="auto"/>
        <w:ind w:left="720" w:hanging="720"/>
        <w:rPr>
          <w:rFonts w:ascii="Times New Roman" w:eastAsia="Times New Roman" w:hAnsi="Times New Roman" w:cs="Times New Roman"/>
        </w:rPr>
      </w:pPr>
      <w:r w:rsidRPr="0077324A">
        <w:rPr>
          <w:rFonts w:ascii="Times New Roman" w:eastAsia="Times New Roman" w:hAnsi="Times New Roman" w:cs="Times New Roman"/>
        </w:rPr>
        <w:t>Rahman, A., Iqbal, K., &amp; Luo, Z. (2022). Machine learning for early diagnosis of diabetes mellitus: A review. Journal of Medical Imaging and Health Informatics, 12(8), 1978-1988.</w:t>
      </w:r>
    </w:p>
    <w:p w14:paraId="22732ED8" w14:textId="77777777" w:rsidR="00FF5BB6" w:rsidRPr="0077324A" w:rsidRDefault="00FF5BB6" w:rsidP="00FF5BB6">
      <w:pPr>
        <w:spacing w:after="0" w:line="480" w:lineRule="auto"/>
        <w:ind w:left="720" w:hanging="720"/>
        <w:rPr>
          <w:rFonts w:ascii="Times New Roman" w:eastAsia="Times New Roman" w:hAnsi="Times New Roman" w:cs="Times New Roman"/>
        </w:rPr>
      </w:pPr>
      <w:r w:rsidRPr="0077324A">
        <w:rPr>
          <w:rFonts w:ascii="Times New Roman" w:eastAsia="Times New Roman" w:hAnsi="Times New Roman" w:cs="Times New Roman"/>
        </w:rPr>
        <w:t>Tian, Y., Luo, Y., &amp; Sun, J. (2022). A comprehensive survey of machine learning for diabetes risk prediction. Computational and Mathematical Methods in Medicine, 2022. https://www.ncbi.nlm.nih.gov/pmc/articles/PMC10041290/</w:t>
      </w:r>
    </w:p>
    <w:p w14:paraId="37D8E9D0" w14:textId="77777777" w:rsidR="00FF5BB6" w:rsidRPr="0077324A" w:rsidRDefault="00FF5BB6" w:rsidP="00FF5BB6">
      <w:pPr>
        <w:spacing w:after="0" w:line="480" w:lineRule="auto"/>
        <w:ind w:left="720" w:hanging="720"/>
        <w:rPr>
          <w:rFonts w:ascii="Times New Roman" w:eastAsia="Times New Roman" w:hAnsi="Times New Roman" w:cs="Times New Roman"/>
        </w:rPr>
      </w:pPr>
      <w:r w:rsidRPr="0077324A">
        <w:rPr>
          <w:rFonts w:ascii="Times New Roman" w:eastAsia="Times New Roman" w:hAnsi="Times New Roman" w:cs="Times New Roman"/>
        </w:rPr>
        <w:t>Yang, J., Xu, X., &amp; Shang, P. (2023). Artificial intelligence for personalized diabetes management. IEEE Intelligent Systems and Their Applications, 38(2), 118-127.</w:t>
      </w:r>
    </w:p>
    <w:p w14:paraId="178EA622" w14:textId="77777777" w:rsidR="00FF5BB6" w:rsidRPr="0077324A" w:rsidRDefault="00FF5BB6" w:rsidP="00FF5BB6">
      <w:pPr>
        <w:spacing w:after="0" w:line="480" w:lineRule="auto"/>
        <w:ind w:left="720" w:hanging="720"/>
        <w:rPr>
          <w:rFonts w:ascii="Times New Roman" w:eastAsia="Times New Roman" w:hAnsi="Times New Roman" w:cs="Times New Roman"/>
        </w:rPr>
      </w:pPr>
      <w:r w:rsidRPr="0077324A">
        <w:rPr>
          <w:rFonts w:ascii="Times New Roman" w:eastAsia="Times New Roman" w:hAnsi="Times New Roman" w:cs="Times New Roman"/>
        </w:rPr>
        <w:t>Yu, Z., Liu, H., Luo, L., Sun, X., &amp; Wei, S. (2021). Machine learning for personalized diabetes diagnosis and risk prediction. Journal of Cellular and Molecular Medicine, 25(12), 6659-6671.</w:t>
      </w:r>
    </w:p>
    <w:p w14:paraId="56882A76" w14:textId="77777777" w:rsidR="00FF5BB6" w:rsidRPr="0077324A" w:rsidRDefault="00FF5BB6" w:rsidP="00FF5BB6">
      <w:pPr>
        <w:pStyle w:val="ListParagraph"/>
        <w:spacing w:after="0" w:line="480" w:lineRule="auto"/>
        <w:rPr>
          <w:rFonts w:ascii="Times New Roman" w:eastAsia="Times New Roman" w:hAnsi="Times New Roman" w:cs="Times New Roman"/>
          <w:b/>
          <w:bCs/>
        </w:rPr>
      </w:pPr>
    </w:p>
    <w:p w14:paraId="5DC72AB7" w14:textId="77777777" w:rsidR="00092A68" w:rsidRDefault="00715069"/>
    <w:sectPr w:rsidR="00092A68" w:rsidSect="00FD694B">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7F00D" w14:textId="77777777" w:rsidR="00715069" w:rsidRDefault="00715069">
      <w:pPr>
        <w:spacing w:after="0" w:line="240" w:lineRule="auto"/>
      </w:pPr>
      <w:r>
        <w:separator/>
      </w:r>
    </w:p>
  </w:endnote>
  <w:endnote w:type="continuationSeparator" w:id="0">
    <w:p w14:paraId="6C22CBA5" w14:textId="77777777" w:rsidR="00715069" w:rsidRDefault="00715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3E056" w14:textId="77777777" w:rsidR="00715069" w:rsidRDefault="00715069">
      <w:pPr>
        <w:spacing w:after="0" w:line="240" w:lineRule="auto"/>
      </w:pPr>
      <w:r>
        <w:separator/>
      </w:r>
    </w:p>
  </w:footnote>
  <w:footnote w:type="continuationSeparator" w:id="0">
    <w:p w14:paraId="67FE167C" w14:textId="77777777" w:rsidR="00715069" w:rsidRDefault="00715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1CEFA" w14:textId="77777777" w:rsidR="00FD694B" w:rsidRPr="00FD694B" w:rsidRDefault="00FF5BB6" w:rsidP="00FD694B">
    <w:pPr>
      <w:spacing w:after="0" w:line="480" w:lineRule="auto"/>
      <w:rPr>
        <w:rFonts w:ascii="Times New Roman" w:eastAsia="Times New Roman" w:hAnsi="Times New Roman" w:cs="Times New Roman"/>
      </w:rPr>
    </w:pPr>
    <w:r w:rsidRPr="00FD694B">
      <w:rPr>
        <w:rFonts w:ascii="Times New Roman" w:eastAsia="Times New Roman" w:hAnsi="Times New Roman" w:cs="Times New Roman"/>
      </w:rPr>
      <w:t>BENCHMARK – DATA PRODUCT: SELECTION</w:t>
    </w:r>
    <w:r>
      <w:rPr>
        <w:rFonts w:ascii="Times New Roman" w:eastAsia="Times New Roman" w:hAnsi="Times New Roman" w:cs="Times New Roman"/>
      </w:rPr>
      <w:tab/>
    </w:r>
    <w:r>
      <w:rPr>
        <w:rFonts w:ascii="Times New Roman" w:eastAsia="Times New Roman" w:hAnsi="Times New Roman" w:cs="Times New Roman"/>
      </w:rPr>
      <w:tab/>
    </w:r>
    <w:r w:rsidRPr="00FD694B">
      <w:rPr>
        <w:rFonts w:ascii="Times New Roman" w:eastAsia="Times New Roman" w:hAnsi="Times New Roman" w:cs="Times New Roman"/>
      </w:rPr>
      <w:tab/>
    </w:r>
    <w:r w:rsidRPr="00FD694B">
      <w:rPr>
        <w:rFonts w:ascii="Times New Roman" w:eastAsia="Times New Roman" w:hAnsi="Times New Roman" w:cs="Times New Roman"/>
      </w:rPr>
      <w:tab/>
    </w:r>
    <w:r w:rsidRPr="00FD694B">
      <w:rPr>
        <w:rFonts w:ascii="Times New Roman" w:eastAsia="Times New Roman" w:hAnsi="Times New Roman" w:cs="Times New Roman"/>
      </w:rPr>
      <w:tab/>
    </w:r>
    <w:sdt>
      <w:sdtPr>
        <w:id w:val="-1051762167"/>
        <w:docPartObj>
          <w:docPartGallery w:val="Page Numbers (Top of Page)"/>
          <w:docPartUnique/>
        </w:docPartObj>
      </w:sdtPr>
      <w:sdtEndPr>
        <w:rPr>
          <w:noProof/>
        </w:rPr>
      </w:sdtEndPr>
      <w:sdtContent>
        <w:r w:rsidRPr="00FD694B">
          <w:fldChar w:fldCharType="begin"/>
        </w:r>
        <w:r w:rsidRPr="00FD694B">
          <w:instrText xml:space="preserve"> PAGE   \* MERGEFORMAT </w:instrText>
        </w:r>
        <w:r w:rsidRPr="00FD694B">
          <w:fldChar w:fldCharType="separate"/>
        </w:r>
        <w:r w:rsidRPr="00FD694B">
          <w:rPr>
            <w:noProof/>
          </w:rPr>
          <w:t>2</w:t>
        </w:r>
        <w:r w:rsidRPr="00FD694B">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CE9C1" w14:textId="77777777" w:rsidR="00FD694B" w:rsidRPr="00FD694B" w:rsidRDefault="00FF5BB6" w:rsidP="00FD694B">
    <w:pPr>
      <w:spacing w:after="0" w:line="480" w:lineRule="auto"/>
      <w:jc w:val="center"/>
      <w:rPr>
        <w:rFonts w:ascii="Times New Roman" w:eastAsia="Times New Roman" w:hAnsi="Times New Roman" w:cs="Times New Roman"/>
      </w:rPr>
    </w:pPr>
    <w:r w:rsidRPr="00FD694B">
      <w:rPr>
        <w:rFonts w:ascii="Times New Roman" w:hAnsi="Times New Roman" w:cs="Times New Roman"/>
      </w:rPr>
      <w:t xml:space="preserve">Running head: </w:t>
    </w:r>
    <w:r w:rsidRPr="00FD694B">
      <w:rPr>
        <w:rFonts w:ascii="Times New Roman" w:eastAsia="Times New Roman" w:hAnsi="Times New Roman" w:cs="Times New Roman"/>
      </w:rPr>
      <w:t>BENCHMARK – DATA PRODUCT: SELECTION</w:t>
    </w:r>
    <w:r w:rsidRPr="00FD694B">
      <w:rPr>
        <w:rFonts w:ascii="Times New Roman" w:eastAsia="Times New Roman" w:hAnsi="Times New Roman" w:cs="Times New Roman"/>
      </w:rPr>
      <w:tab/>
    </w:r>
    <w:r w:rsidRPr="00FD694B">
      <w:rPr>
        <w:rFonts w:ascii="Times New Roman" w:eastAsia="Times New Roman" w:hAnsi="Times New Roman" w:cs="Times New Roman"/>
      </w:rPr>
      <w:tab/>
    </w:r>
    <w:r w:rsidRPr="00FD694B">
      <w:rPr>
        <w:rFonts w:ascii="Times New Roman" w:eastAsia="Times New Roman" w:hAnsi="Times New Roman" w:cs="Times New Roman"/>
      </w:rPr>
      <w:tab/>
    </w:r>
    <w:sdt>
      <w:sdtPr>
        <w:rPr>
          <w:rFonts w:ascii="Times New Roman" w:hAnsi="Times New Roman" w:cs="Times New Roman"/>
        </w:rPr>
        <w:id w:val="1763637472"/>
        <w:docPartObj>
          <w:docPartGallery w:val="Page Numbers (Top of Page)"/>
          <w:docPartUnique/>
        </w:docPartObj>
      </w:sdtPr>
      <w:sdtEndPr>
        <w:rPr>
          <w:noProof/>
        </w:rPr>
      </w:sdtEndPr>
      <w:sdtContent>
        <w:r w:rsidRPr="00FD694B">
          <w:rPr>
            <w:rFonts w:ascii="Times New Roman" w:hAnsi="Times New Roman" w:cs="Times New Roman"/>
          </w:rPr>
          <w:fldChar w:fldCharType="begin"/>
        </w:r>
        <w:r w:rsidRPr="00FD694B">
          <w:rPr>
            <w:rFonts w:ascii="Times New Roman" w:hAnsi="Times New Roman" w:cs="Times New Roman"/>
          </w:rPr>
          <w:instrText xml:space="preserve"> PAGE   \* MERGEFORMAT </w:instrText>
        </w:r>
        <w:r w:rsidRPr="00FD694B">
          <w:rPr>
            <w:rFonts w:ascii="Times New Roman" w:hAnsi="Times New Roman" w:cs="Times New Roman"/>
          </w:rPr>
          <w:fldChar w:fldCharType="separate"/>
        </w:r>
        <w:r w:rsidRPr="00FD694B">
          <w:rPr>
            <w:rFonts w:ascii="Times New Roman" w:hAnsi="Times New Roman" w:cs="Times New Roman"/>
          </w:rPr>
          <w:t>1</w:t>
        </w:r>
        <w:r w:rsidRPr="00FD694B">
          <w:rPr>
            <w:rFonts w:ascii="Times New Roman" w:hAnsi="Times New Roman" w:cs="Times New Roman"/>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7343"/>
    <w:multiLevelType w:val="hybridMultilevel"/>
    <w:tmpl w:val="BB0C49E8"/>
    <w:lvl w:ilvl="0" w:tplc="CE1CA5BE">
      <w:start w:val="1"/>
      <w:numFmt w:val="decimal"/>
      <w:lvlText w:val="%1."/>
      <w:lvlJc w:val="left"/>
      <w:pPr>
        <w:ind w:left="720" w:hanging="360"/>
      </w:pPr>
    </w:lvl>
    <w:lvl w:ilvl="1" w:tplc="1774FAA4">
      <w:start w:val="1"/>
      <w:numFmt w:val="lowerLetter"/>
      <w:lvlText w:val="%2."/>
      <w:lvlJc w:val="left"/>
      <w:pPr>
        <w:ind w:left="1440" w:hanging="360"/>
      </w:pPr>
    </w:lvl>
    <w:lvl w:ilvl="2" w:tplc="0C5ED33A">
      <w:start w:val="1"/>
      <w:numFmt w:val="lowerRoman"/>
      <w:lvlText w:val="%3."/>
      <w:lvlJc w:val="right"/>
      <w:pPr>
        <w:ind w:left="2160" w:hanging="180"/>
      </w:pPr>
    </w:lvl>
    <w:lvl w:ilvl="3" w:tplc="0268C316">
      <w:start w:val="1"/>
      <w:numFmt w:val="decimal"/>
      <w:lvlText w:val="%4."/>
      <w:lvlJc w:val="left"/>
      <w:pPr>
        <w:ind w:left="2880" w:hanging="360"/>
      </w:pPr>
    </w:lvl>
    <w:lvl w:ilvl="4" w:tplc="A604521C">
      <w:start w:val="1"/>
      <w:numFmt w:val="lowerLetter"/>
      <w:lvlText w:val="%5."/>
      <w:lvlJc w:val="left"/>
      <w:pPr>
        <w:ind w:left="3600" w:hanging="360"/>
      </w:pPr>
    </w:lvl>
    <w:lvl w:ilvl="5" w:tplc="8E5E13C8">
      <w:start w:val="1"/>
      <w:numFmt w:val="lowerRoman"/>
      <w:lvlText w:val="%6."/>
      <w:lvlJc w:val="right"/>
      <w:pPr>
        <w:ind w:left="4320" w:hanging="180"/>
      </w:pPr>
    </w:lvl>
    <w:lvl w:ilvl="6" w:tplc="397EFCB6">
      <w:start w:val="1"/>
      <w:numFmt w:val="decimal"/>
      <w:lvlText w:val="%7."/>
      <w:lvlJc w:val="left"/>
      <w:pPr>
        <w:ind w:left="5040" w:hanging="360"/>
      </w:pPr>
    </w:lvl>
    <w:lvl w:ilvl="7" w:tplc="81BED7AA">
      <w:start w:val="1"/>
      <w:numFmt w:val="lowerLetter"/>
      <w:lvlText w:val="%8."/>
      <w:lvlJc w:val="left"/>
      <w:pPr>
        <w:ind w:left="5760" w:hanging="360"/>
      </w:pPr>
    </w:lvl>
    <w:lvl w:ilvl="8" w:tplc="42480F90">
      <w:start w:val="1"/>
      <w:numFmt w:val="lowerRoman"/>
      <w:lvlText w:val="%9."/>
      <w:lvlJc w:val="right"/>
      <w:pPr>
        <w:ind w:left="6480" w:hanging="180"/>
      </w:pPr>
    </w:lvl>
  </w:abstractNum>
  <w:abstractNum w:abstractNumId="1" w15:restartNumberingAfterBreak="0">
    <w:nsid w:val="164390A0"/>
    <w:multiLevelType w:val="hybridMultilevel"/>
    <w:tmpl w:val="BD6C5C54"/>
    <w:lvl w:ilvl="0" w:tplc="89424D5A">
      <w:start w:val="1"/>
      <w:numFmt w:val="lowerLetter"/>
      <w:lvlText w:val="%1."/>
      <w:lvlJc w:val="left"/>
      <w:pPr>
        <w:ind w:left="1080" w:hanging="360"/>
      </w:pPr>
    </w:lvl>
    <w:lvl w:ilvl="1" w:tplc="0E427ACC">
      <w:start w:val="1"/>
      <w:numFmt w:val="lowerLetter"/>
      <w:lvlText w:val="%2."/>
      <w:lvlJc w:val="left"/>
      <w:pPr>
        <w:ind w:left="1800" w:hanging="360"/>
      </w:pPr>
    </w:lvl>
    <w:lvl w:ilvl="2" w:tplc="5A803CC2">
      <w:start w:val="1"/>
      <w:numFmt w:val="lowerRoman"/>
      <w:lvlText w:val="%3."/>
      <w:lvlJc w:val="right"/>
      <w:pPr>
        <w:ind w:left="2520" w:hanging="180"/>
      </w:pPr>
    </w:lvl>
    <w:lvl w:ilvl="3" w:tplc="5AB2D02A">
      <w:start w:val="1"/>
      <w:numFmt w:val="decimal"/>
      <w:lvlText w:val="%4."/>
      <w:lvlJc w:val="left"/>
      <w:pPr>
        <w:ind w:left="3240" w:hanging="360"/>
      </w:pPr>
    </w:lvl>
    <w:lvl w:ilvl="4" w:tplc="8B9C7EE6">
      <w:start w:val="1"/>
      <w:numFmt w:val="lowerLetter"/>
      <w:lvlText w:val="%5."/>
      <w:lvlJc w:val="left"/>
      <w:pPr>
        <w:ind w:left="3960" w:hanging="360"/>
      </w:pPr>
    </w:lvl>
    <w:lvl w:ilvl="5" w:tplc="AD0E8E1C">
      <w:start w:val="1"/>
      <w:numFmt w:val="lowerRoman"/>
      <w:lvlText w:val="%6."/>
      <w:lvlJc w:val="right"/>
      <w:pPr>
        <w:ind w:left="4680" w:hanging="180"/>
      </w:pPr>
    </w:lvl>
    <w:lvl w:ilvl="6" w:tplc="4F6441BA">
      <w:start w:val="1"/>
      <w:numFmt w:val="decimal"/>
      <w:lvlText w:val="%7."/>
      <w:lvlJc w:val="left"/>
      <w:pPr>
        <w:ind w:left="5400" w:hanging="360"/>
      </w:pPr>
    </w:lvl>
    <w:lvl w:ilvl="7" w:tplc="F7E000DC">
      <w:start w:val="1"/>
      <w:numFmt w:val="lowerLetter"/>
      <w:lvlText w:val="%8."/>
      <w:lvlJc w:val="left"/>
      <w:pPr>
        <w:ind w:left="6120" w:hanging="360"/>
      </w:pPr>
    </w:lvl>
    <w:lvl w:ilvl="8" w:tplc="30324208">
      <w:start w:val="1"/>
      <w:numFmt w:val="lowerRoman"/>
      <w:lvlText w:val="%9."/>
      <w:lvlJc w:val="right"/>
      <w:pPr>
        <w:ind w:left="6840" w:hanging="180"/>
      </w:pPr>
    </w:lvl>
  </w:abstractNum>
  <w:abstractNum w:abstractNumId="2" w15:restartNumberingAfterBreak="0">
    <w:nsid w:val="21F5C9CE"/>
    <w:multiLevelType w:val="hybridMultilevel"/>
    <w:tmpl w:val="B02C0EEC"/>
    <w:lvl w:ilvl="0" w:tplc="DEAAB9A6">
      <w:start w:val="1"/>
      <w:numFmt w:val="bullet"/>
      <w:lvlText w:val=""/>
      <w:lvlJc w:val="left"/>
      <w:pPr>
        <w:ind w:left="1080" w:hanging="360"/>
      </w:pPr>
      <w:rPr>
        <w:rFonts w:ascii="Symbol" w:hAnsi="Symbol" w:hint="default"/>
      </w:rPr>
    </w:lvl>
    <w:lvl w:ilvl="1" w:tplc="C3483952">
      <w:start w:val="1"/>
      <w:numFmt w:val="bullet"/>
      <w:lvlText w:val="o"/>
      <w:lvlJc w:val="left"/>
      <w:pPr>
        <w:ind w:left="1800" w:hanging="360"/>
      </w:pPr>
      <w:rPr>
        <w:rFonts w:ascii="Courier New" w:hAnsi="Courier New" w:hint="default"/>
      </w:rPr>
    </w:lvl>
    <w:lvl w:ilvl="2" w:tplc="6D40C84C">
      <w:start w:val="1"/>
      <w:numFmt w:val="bullet"/>
      <w:lvlText w:val=""/>
      <w:lvlJc w:val="left"/>
      <w:pPr>
        <w:ind w:left="2520" w:hanging="360"/>
      </w:pPr>
      <w:rPr>
        <w:rFonts w:ascii="Wingdings" w:hAnsi="Wingdings" w:hint="default"/>
      </w:rPr>
    </w:lvl>
    <w:lvl w:ilvl="3" w:tplc="8154E36A">
      <w:start w:val="1"/>
      <w:numFmt w:val="bullet"/>
      <w:lvlText w:val=""/>
      <w:lvlJc w:val="left"/>
      <w:pPr>
        <w:ind w:left="3240" w:hanging="360"/>
      </w:pPr>
      <w:rPr>
        <w:rFonts w:ascii="Symbol" w:hAnsi="Symbol" w:hint="default"/>
      </w:rPr>
    </w:lvl>
    <w:lvl w:ilvl="4" w:tplc="DED63DCC">
      <w:start w:val="1"/>
      <w:numFmt w:val="bullet"/>
      <w:lvlText w:val="o"/>
      <w:lvlJc w:val="left"/>
      <w:pPr>
        <w:ind w:left="3960" w:hanging="360"/>
      </w:pPr>
      <w:rPr>
        <w:rFonts w:ascii="Courier New" w:hAnsi="Courier New" w:hint="default"/>
      </w:rPr>
    </w:lvl>
    <w:lvl w:ilvl="5" w:tplc="2A729FE4">
      <w:start w:val="1"/>
      <w:numFmt w:val="bullet"/>
      <w:lvlText w:val=""/>
      <w:lvlJc w:val="left"/>
      <w:pPr>
        <w:ind w:left="4680" w:hanging="360"/>
      </w:pPr>
      <w:rPr>
        <w:rFonts w:ascii="Wingdings" w:hAnsi="Wingdings" w:hint="default"/>
      </w:rPr>
    </w:lvl>
    <w:lvl w:ilvl="6" w:tplc="61E61510">
      <w:start w:val="1"/>
      <w:numFmt w:val="bullet"/>
      <w:lvlText w:val=""/>
      <w:lvlJc w:val="left"/>
      <w:pPr>
        <w:ind w:left="5400" w:hanging="360"/>
      </w:pPr>
      <w:rPr>
        <w:rFonts w:ascii="Symbol" w:hAnsi="Symbol" w:hint="default"/>
      </w:rPr>
    </w:lvl>
    <w:lvl w:ilvl="7" w:tplc="8E8AAFDC">
      <w:start w:val="1"/>
      <w:numFmt w:val="bullet"/>
      <w:lvlText w:val="o"/>
      <w:lvlJc w:val="left"/>
      <w:pPr>
        <w:ind w:left="6120" w:hanging="360"/>
      </w:pPr>
      <w:rPr>
        <w:rFonts w:ascii="Courier New" w:hAnsi="Courier New" w:hint="default"/>
      </w:rPr>
    </w:lvl>
    <w:lvl w:ilvl="8" w:tplc="0A7A285E">
      <w:start w:val="1"/>
      <w:numFmt w:val="bullet"/>
      <w:lvlText w:val=""/>
      <w:lvlJc w:val="left"/>
      <w:pPr>
        <w:ind w:left="6840" w:hanging="360"/>
      </w:pPr>
      <w:rPr>
        <w:rFonts w:ascii="Wingdings" w:hAnsi="Wingdings" w:hint="default"/>
      </w:rPr>
    </w:lvl>
  </w:abstractNum>
  <w:abstractNum w:abstractNumId="3" w15:restartNumberingAfterBreak="0">
    <w:nsid w:val="2797CECE"/>
    <w:multiLevelType w:val="hybridMultilevel"/>
    <w:tmpl w:val="6AF80950"/>
    <w:lvl w:ilvl="0" w:tplc="ACB2D1A4">
      <w:start w:val="1"/>
      <w:numFmt w:val="lowerLetter"/>
      <w:lvlText w:val="%1."/>
      <w:lvlJc w:val="left"/>
      <w:pPr>
        <w:ind w:left="1080" w:hanging="360"/>
      </w:pPr>
    </w:lvl>
    <w:lvl w:ilvl="1" w:tplc="3808EAA6">
      <w:start w:val="1"/>
      <w:numFmt w:val="lowerLetter"/>
      <w:lvlText w:val="%2."/>
      <w:lvlJc w:val="left"/>
      <w:pPr>
        <w:ind w:left="1800" w:hanging="360"/>
      </w:pPr>
    </w:lvl>
    <w:lvl w:ilvl="2" w:tplc="81A0722A">
      <w:start w:val="1"/>
      <w:numFmt w:val="lowerRoman"/>
      <w:lvlText w:val="%3."/>
      <w:lvlJc w:val="right"/>
      <w:pPr>
        <w:ind w:left="2520" w:hanging="180"/>
      </w:pPr>
    </w:lvl>
    <w:lvl w:ilvl="3" w:tplc="55CE24A4">
      <w:start w:val="1"/>
      <w:numFmt w:val="decimal"/>
      <w:lvlText w:val="%4."/>
      <w:lvlJc w:val="left"/>
      <w:pPr>
        <w:ind w:left="3240" w:hanging="360"/>
      </w:pPr>
    </w:lvl>
    <w:lvl w:ilvl="4" w:tplc="174C0D02">
      <w:start w:val="1"/>
      <w:numFmt w:val="lowerLetter"/>
      <w:lvlText w:val="%5."/>
      <w:lvlJc w:val="left"/>
      <w:pPr>
        <w:ind w:left="3960" w:hanging="360"/>
      </w:pPr>
    </w:lvl>
    <w:lvl w:ilvl="5" w:tplc="6054E208">
      <w:start w:val="1"/>
      <w:numFmt w:val="lowerRoman"/>
      <w:lvlText w:val="%6."/>
      <w:lvlJc w:val="right"/>
      <w:pPr>
        <w:ind w:left="4680" w:hanging="180"/>
      </w:pPr>
    </w:lvl>
    <w:lvl w:ilvl="6" w:tplc="CAD252EE">
      <w:start w:val="1"/>
      <w:numFmt w:val="decimal"/>
      <w:lvlText w:val="%7."/>
      <w:lvlJc w:val="left"/>
      <w:pPr>
        <w:ind w:left="5400" w:hanging="360"/>
      </w:pPr>
    </w:lvl>
    <w:lvl w:ilvl="7" w:tplc="EF08C3D2">
      <w:start w:val="1"/>
      <w:numFmt w:val="lowerLetter"/>
      <w:lvlText w:val="%8."/>
      <w:lvlJc w:val="left"/>
      <w:pPr>
        <w:ind w:left="6120" w:hanging="360"/>
      </w:pPr>
    </w:lvl>
    <w:lvl w:ilvl="8" w:tplc="FD08E910">
      <w:start w:val="1"/>
      <w:numFmt w:val="lowerRoman"/>
      <w:lvlText w:val="%9."/>
      <w:lvlJc w:val="right"/>
      <w:pPr>
        <w:ind w:left="6840" w:hanging="180"/>
      </w:pPr>
    </w:lvl>
  </w:abstractNum>
  <w:abstractNum w:abstractNumId="4" w15:restartNumberingAfterBreak="0">
    <w:nsid w:val="2F68C5CD"/>
    <w:multiLevelType w:val="hybridMultilevel"/>
    <w:tmpl w:val="9274E856"/>
    <w:lvl w:ilvl="0" w:tplc="B9267D62">
      <w:start w:val="1"/>
      <w:numFmt w:val="bullet"/>
      <w:lvlText w:val=""/>
      <w:lvlJc w:val="left"/>
      <w:pPr>
        <w:ind w:left="720" w:hanging="360"/>
      </w:pPr>
      <w:rPr>
        <w:rFonts w:ascii="Symbol" w:hAnsi="Symbol" w:hint="default"/>
      </w:rPr>
    </w:lvl>
    <w:lvl w:ilvl="1" w:tplc="9062748A">
      <w:start w:val="1"/>
      <w:numFmt w:val="bullet"/>
      <w:lvlText w:val="o"/>
      <w:lvlJc w:val="left"/>
      <w:pPr>
        <w:ind w:left="1440" w:hanging="360"/>
      </w:pPr>
      <w:rPr>
        <w:rFonts w:ascii="Courier New" w:hAnsi="Courier New" w:hint="default"/>
      </w:rPr>
    </w:lvl>
    <w:lvl w:ilvl="2" w:tplc="723A8E66">
      <w:start w:val="1"/>
      <w:numFmt w:val="bullet"/>
      <w:lvlText w:val=""/>
      <w:lvlJc w:val="left"/>
      <w:pPr>
        <w:ind w:left="2160" w:hanging="360"/>
      </w:pPr>
      <w:rPr>
        <w:rFonts w:ascii="Wingdings" w:hAnsi="Wingdings" w:hint="default"/>
      </w:rPr>
    </w:lvl>
    <w:lvl w:ilvl="3" w:tplc="645456D0">
      <w:start w:val="1"/>
      <w:numFmt w:val="bullet"/>
      <w:lvlText w:val=""/>
      <w:lvlJc w:val="left"/>
      <w:pPr>
        <w:ind w:left="2880" w:hanging="360"/>
      </w:pPr>
      <w:rPr>
        <w:rFonts w:ascii="Symbol" w:hAnsi="Symbol" w:hint="default"/>
      </w:rPr>
    </w:lvl>
    <w:lvl w:ilvl="4" w:tplc="0206F68C">
      <w:start w:val="1"/>
      <w:numFmt w:val="bullet"/>
      <w:lvlText w:val="o"/>
      <w:lvlJc w:val="left"/>
      <w:pPr>
        <w:ind w:left="3600" w:hanging="360"/>
      </w:pPr>
      <w:rPr>
        <w:rFonts w:ascii="Courier New" w:hAnsi="Courier New" w:hint="default"/>
      </w:rPr>
    </w:lvl>
    <w:lvl w:ilvl="5" w:tplc="00924C92">
      <w:start w:val="1"/>
      <w:numFmt w:val="bullet"/>
      <w:lvlText w:val=""/>
      <w:lvlJc w:val="left"/>
      <w:pPr>
        <w:ind w:left="4320" w:hanging="360"/>
      </w:pPr>
      <w:rPr>
        <w:rFonts w:ascii="Wingdings" w:hAnsi="Wingdings" w:hint="default"/>
      </w:rPr>
    </w:lvl>
    <w:lvl w:ilvl="6" w:tplc="E58CA6C4">
      <w:start w:val="1"/>
      <w:numFmt w:val="bullet"/>
      <w:lvlText w:val=""/>
      <w:lvlJc w:val="left"/>
      <w:pPr>
        <w:ind w:left="5040" w:hanging="360"/>
      </w:pPr>
      <w:rPr>
        <w:rFonts w:ascii="Symbol" w:hAnsi="Symbol" w:hint="default"/>
      </w:rPr>
    </w:lvl>
    <w:lvl w:ilvl="7" w:tplc="3990D268">
      <w:start w:val="1"/>
      <w:numFmt w:val="bullet"/>
      <w:lvlText w:val="o"/>
      <w:lvlJc w:val="left"/>
      <w:pPr>
        <w:ind w:left="5760" w:hanging="360"/>
      </w:pPr>
      <w:rPr>
        <w:rFonts w:ascii="Courier New" w:hAnsi="Courier New" w:hint="default"/>
      </w:rPr>
    </w:lvl>
    <w:lvl w:ilvl="8" w:tplc="9E8E16B6">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B6"/>
    <w:rsid w:val="00013AD2"/>
    <w:rsid w:val="001753E0"/>
    <w:rsid w:val="002B3A07"/>
    <w:rsid w:val="0061465D"/>
    <w:rsid w:val="00715069"/>
    <w:rsid w:val="00BE2DB6"/>
    <w:rsid w:val="00D91C91"/>
    <w:rsid w:val="00FF5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0F78"/>
  <w15:chartTrackingRefBased/>
  <w15:docId w15:val="{589D4D7D-3200-4704-A6F2-4C47A750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BB6"/>
    <w:pPr>
      <w:spacing w:line="279"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Baylor Scott and White Health</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Cha Nesha R</dc:creator>
  <cp:keywords/>
  <dc:description/>
  <cp:lastModifiedBy>Griffin, Cha Nesha R</cp:lastModifiedBy>
  <cp:revision>3</cp:revision>
  <dcterms:created xsi:type="dcterms:W3CDTF">2024-04-03T13:55:00Z</dcterms:created>
  <dcterms:modified xsi:type="dcterms:W3CDTF">2024-04-06T00:46:00Z</dcterms:modified>
</cp:coreProperties>
</file>