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48"/>
        </w:rPr>
        <w:t>Aprendizaje por refuerzo profundo</w:t>
        <w:br/>
        <w:t>aplicado a la Bolsa de Valores de Lima</w:t>
      </w:r>
    </w:p>
    <w:p>
      <w:pPr>
        <w:jc w:val="center"/>
      </w:pPr>
      <w:r>
        <w:rPr>
          <w:color w:val="595959"/>
          <w:sz w:val="26"/>
        </w:rPr>
        <w:t>Resumen del trabajo para revisión de especialista</w:t>
      </w:r>
    </w:p>
    <w:p/>
    <w:p>
      <w:pPr>
        <w:jc w:val="center"/>
      </w:pPr>
      <w:r>
        <w:rPr>
          <w:i/>
          <w:color w:val="8C1D18"/>
          <w:sz w:val="22"/>
        </w:rPr>
        <w:t>Estado: base de datos construida, clasificada y auditada · agente aún no entrenado</w:t>
      </w:r>
    </w:p>
    <w:p/>
    <w:p/>
    <w:p/>
    <w:p/>
    <w:p/>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759"/>
        <w:gridCol w:w="4759"/>
      </w:tblGrid>
      <w:tr>
        <w:tc>
          <w:tcPr>
            <w:tcW w:type="dxa" w:w="2835"/>
          </w:tcPr>
          <w:p>
            <w:r/>
            <w:r>
              <w:rPr>
                <w:b/>
                <w:sz w:val="21"/>
              </w:rPr>
              <w:t>Autor</w:t>
            </w:r>
          </w:p>
        </w:tc>
        <w:tc>
          <w:tcPr>
            <w:tcW w:type="dxa" w:w="5386"/>
          </w:tcPr>
          <w:p>
            <w:r/>
            <w:r>
              <w:rPr>
                <w:sz w:val="21"/>
              </w:rPr>
              <w:t>Rodrigo Holguín</w:t>
            </w:r>
          </w:p>
        </w:tc>
      </w:tr>
      <w:tr>
        <w:tc>
          <w:tcPr>
            <w:tcW w:type="dxa" w:w="2835"/>
          </w:tcPr>
          <w:p>
            <w:r/>
            <w:r>
              <w:rPr>
                <w:b/>
                <w:sz w:val="21"/>
              </w:rPr>
              <w:t>Asesor</w:t>
            </w:r>
          </w:p>
        </w:tc>
        <w:tc>
          <w:tcPr>
            <w:tcW w:type="dxa" w:w="5386"/>
          </w:tcPr>
          <w:p>
            <w:r/>
            <w:r>
              <w:rPr>
                <w:sz w:val="21"/>
              </w:rPr>
              <w:t>Dr. Edwin Villanueva</w:t>
            </w:r>
          </w:p>
        </w:tc>
      </w:tr>
      <w:tr>
        <w:tc>
          <w:tcPr>
            <w:tcW w:type="dxa" w:w="2835"/>
          </w:tcPr>
          <w:p>
            <w:r/>
            <w:r>
              <w:rPr>
                <w:b/>
                <w:sz w:val="21"/>
              </w:rPr>
              <w:t>Fecha</w:t>
            </w:r>
          </w:p>
        </w:tc>
        <w:tc>
          <w:tcPr>
            <w:tcW w:type="dxa" w:w="5386"/>
          </w:tcPr>
          <w:p>
            <w:r/>
            <w:r>
              <w:rPr>
                <w:sz w:val="21"/>
              </w:rPr>
              <w:t>2 de septiembre de 2026</w:t>
            </w:r>
          </w:p>
        </w:tc>
      </w:tr>
      <w:tr>
        <w:tc>
          <w:tcPr>
            <w:tcW w:type="dxa" w:w="2835"/>
          </w:tcPr>
          <w:p>
            <w:r/>
            <w:r>
              <w:rPr>
                <w:b/>
                <w:sz w:val="21"/>
              </w:rPr>
              <w:t>Horizonte de datos</w:t>
            </w:r>
          </w:p>
        </w:tc>
        <w:tc>
          <w:tcPr>
            <w:tcW w:type="dxa" w:w="5386"/>
          </w:tcPr>
          <w:p>
            <w:r/>
            <w:r>
              <w:rPr>
                <w:sz w:val="21"/>
              </w:rPr>
              <w:t>2 de enero de 2012 – 31 de diciembre de 2025</w:t>
            </w:r>
          </w:p>
        </w:tc>
      </w:tr>
      <w:tr>
        <w:tc>
          <w:tcPr>
            <w:tcW w:type="dxa" w:w="2835"/>
          </w:tcPr>
          <w:p>
            <w:r/>
            <w:r>
              <w:rPr>
                <w:b/>
                <w:sz w:val="21"/>
              </w:rPr>
              <w:t>Universo</w:t>
            </w:r>
          </w:p>
        </w:tc>
        <w:tc>
          <w:tcPr>
            <w:tcW w:type="dxa" w:w="5386"/>
          </w:tcPr>
          <w:p>
            <w:r/>
            <w:r>
              <w:rPr>
                <w:sz w:val="21"/>
              </w:rPr>
              <w:t>7 acciones de la BVL</w:t>
            </w:r>
          </w:p>
        </w:tc>
      </w:tr>
    </w:tbl>
    <w:p>
      <w:pPr>
        <w:spacing w:after="80"/>
      </w:pPr>
    </w:p>
    <w:p>
      <w:r>
        <w:br w:type="page"/>
      </w:r>
    </w:p>
    <w:p>
      <w:pPr>
        <w:pStyle w:val="Heading1"/>
      </w:pPr>
      <w:r>
        <w:rPr>
          <w:rFonts w:ascii="Calibri" w:hAnsi="Calibri"/>
          <w:color w:val="1F3A5F"/>
        </w:rPr>
        <w:t>Cómo leer este documento</w:t>
      </w:r>
    </w:p>
    <w:p>
      <w:pPr>
        <w:spacing w:after="120"/>
        <w:jc w:val="both"/>
      </w:pPr>
      <w:r>
        <w:rPr>
          <w:i w:val="0"/>
          <w:sz w:val="21"/>
        </w:rPr>
        <w:t>El informe tiene dos mitades con propósitos distintos.</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3173"/>
        <w:gridCol w:w="3173"/>
        <w:gridCol w:w="3173"/>
      </w:tblGrid>
      <w:tr>
        <w:tc>
          <w:tcPr>
            <w:tcW w:type="dxa" w:w="1871"/>
            <w:shd w:val="clear" w:fill="1F3A5F"/>
          </w:tcPr>
          <w:p>
            <w:r/>
            <w:r>
              <w:rPr>
                <w:b/>
                <w:color w:val="FFFFFF"/>
                <w:sz w:val="19"/>
              </w:rPr>
              <w:t>Parte</w:t>
            </w:r>
          </w:p>
        </w:tc>
        <w:tc>
          <w:tcPr>
            <w:tcW w:type="dxa" w:w="3742"/>
            <w:shd w:val="clear" w:fill="1F3A5F"/>
          </w:tcPr>
          <w:p>
            <w:r/>
            <w:r>
              <w:rPr>
                <w:b/>
                <w:color w:val="FFFFFF"/>
                <w:sz w:val="19"/>
              </w:rPr>
              <w:t>Contenido</w:t>
            </w:r>
          </w:p>
        </w:tc>
        <w:tc>
          <w:tcPr>
            <w:tcW w:type="dxa" w:w="2608"/>
            <w:shd w:val="clear" w:fill="1F3A5F"/>
          </w:tcPr>
          <w:p>
            <w:r/>
            <w:r>
              <w:rPr>
                <w:b/>
                <w:color w:val="FFFFFF"/>
                <w:sz w:val="19"/>
              </w:rPr>
              <w:t>Qué se le pide</w:t>
            </w:r>
          </w:p>
        </w:tc>
      </w:tr>
      <w:tr>
        <w:tc>
          <w:tcPr>
            <w:tcW w:type="dxa" w:w="1871"/>
          </w:tcPr>
          <w:p>
            <w:r/>
            <w:r>
              <w:rPr>
                <w:b/>
                <w:sz w:val="19"/>
              </w:rPr>
              <w:t>Secciones 1–7</w:t>
              <w:br/>
              <w:t>Lo construido</w:t>
            </w:r>
          </w:p>
        </w:tc>
        <w:tc>
          <w:tcPr>
            <w:tcW w:type="dxa" w:w="3742"/>
          </w:tcPr>
          <w:p>
            <w:r/>
            <w:r>
              <w:rPr>
                <w:sz w:val="19"/>
              </w:rPr>
              <w:t>Qué datos se reunieron, con qué criterios y qué limitaciones tienen.</w:t>
            </w:r>
          </w:p>
        </w:tc>
        <w:tc>
          <w:tcPr>
            <w:tcW w:type="dxa" w:w="2608"/>
          </w:tcPr>
          <w:p>
            <w:r/>
            <w:r>
              <w:rPr>
                <w:sz w:val="19"/>
              </w:rPr>
              <w:t>Detectar supuestos que un practicante del mercado peruano sabría que no se sostienen.</w:t>
            </w:r>
          </w:p>
        </w:tc>
      </w:tr>
      <w:tr>
        <w:tc>
          <w:tcPr>
            <w:tcW w:type="dxa" w:w="1871"/>
          </w:tcPr>
          <w:p>
            <w:r/>
            <w:r>
              <w:rPr>
                <w:b/>
                <w:sz w:val="19"/>
              </w:rPr>
              <w:t>Secciones 8–9</w:t>
              <w:br/>
              <w:t>Lo abierto</w:t>
            </w:r>
          </w:p>
        </w:tc>
        <w:tc>
          <w:tcPr>
            <w:tcW w:type="dxa" w:w="3742"/>
          </w:tcPr>
          <w:p>
            <w:r/>
            <w:r>
              <w:rPr>
                <w:sz w:val="19"/>
              </w:rPr>
              <w:t>Siete decisiones de diseño del agente que aún NO se han tomado: función objetivo, costos, capacidad, benchmarks y protocolo de evaluación.</w:t>
            </w:r>
          </w:p>
        </w:tc>
        <w:tc>
          <w:tcPr>
            <w:tcW w:type="dxa" w:w="2608"/>
          </w:tcPr>
          <w:p>
            <w:r/>
            <w:r>
              <w:rPr>
                <w:sz w:val="19"/>
              </w:rPr>
              <w:t>Opinar sobre criterio de inversión. Es donde su experiencia vale más.</w:t>
            </w:r>
          </w:p>
        </w:tc>
      </w:tr>
      <w:tr>
        <w:tc>
          <w:tcPr>
            <w:tcW w:type="dxa" w:w="1871"/>
          </w:tcPr>
          <w:p>
            <w:r/>
            <w:r>
              <w:rPr>
                <w:b/>
                <w:sz w:val="19"/>
              </w:rPr>
              <w:t>Hoja final</w:t>
              <w:br/>
              <w:t>Preguntas</w:t>
            </w:r>
          </w:p>
        </w:tc>
        <w:tc>
          <w:tcPr>
            <w:tcW w:type="dxa" w:w="3742"/>
          </w:tcPr>
          <w:p>
            <w:r/>
            <w:r>
              <w:rPr>
                <w:sz w:val="19"/>
              </w:rPr>
              <w:t>Diez preguntas concretas, ordenadas por impacto.</w:t>
            </w:r>
          </w:p>
        </w:tc>
        <w:tc>
          <w:tcPr>
            <w:tcW w:type="dxa" w:w="2608"/>
          </w:tcPr>
          <w:p>
            <w:r/>
            <w:r>
              <w:rPr>
                <w:sz w:val="19"/>
              </w:rPr>
              <w:t>Responderlas, aunque sea parcialmente.</w:t>
            </w:r>
          </w:p>
        </w:tc>
      </w:tr>
    </w:tbl>
    <w:p>
      <w:pPr>
        <w:spacing w:after="80"/>
      </w:pP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9518"/>
      </w:tblGrid>
      <w:tr>
        <w:tc>
          <w:tcPr>
            <w:tcW w:type="dxa" w:w="9518"/>
            <w:shd w:val="clear" w:fill="EEF2F7"/>
          </w:tcPr>
          <w:p>
            <w:r/>
            <w:r>
              <w:rPr>
                <w:b/>
                <w:color w:val="1F3A5F"/>
                <w:sz w:val="21"/>
              </w:rPr>
              <w:t>Por qué no hay resultados de desempeño todavía</w:t>
            </w:r>
          </w:p>
          <w:p>
            <w:pPr>
              <w:jc w:val="both"/>
            </w:pPr>
            <w:r>
              <w:rPr>
                <w:sz w:val="20"/>
              </w:rPr>
              <w:t>Es deliberado. El protocolo de evaluación se fija ANTES de entrenar, para no elegir la métrica después de ver los resultados. Esa decisión sigue abierta y es una de las que se consultan en la sección 8.</w:t>
            </w:r>
          </w:p>
        </w:tc>
      </w:tr>
    </w:tbl>
    <w:p>
      <w:pPr>
        <w:spacing w:after="80"/>
      </w:pPr>
    </w:p>
    <w:p>
      <w:pPr>
        <w:spacing w:after="120"/>
        <w:jc w:val="both"/>
      </w:pPr>
      <w:r>
        <w:rPr>
          <w:i/>
          <w:color w:val="595959"/>
          <w:sz w:val="20"/>
        </w:rPr>
        <w:t>Se omite todo detalle de implementación. Donde una decisión técnica tiene consecuencia económica, se explica la consecuencia, no el mecanismo.</w:t>
      </w:r>
    </w:p>
    <w:p>
      <w:r>
        <w:br w:type="page"/>
      </w:r>
    </w:p>
    <w:p>
      <w:pPr>
        <w:pStyle w:val="Heading1"/>
      </w:pPr>
      <w:r>
        <w:rPr>
          <w:rFonts w:ascii="Calibri" w:hAnsi="Calibri"/>
          <w:color w:val="1F3A5F"/>
        </w:rPr>
        <w:t>1. La tesis en una página</w:t>
      </w:r>
    </w:p>
    <w:p>
      <w:pPr>
        <w:pStyle w:val="Heading2"/>
      </w:pPr>
      <w:r>
        <w:rPr>
          <w:rFonts w:ascii="Calibri" w:hAnsi="Calibri"/>
          <w:color w:val="1F3A5F"/>
        </w:rPr>
        <w:t>La pregunta</w:t>
      </w:r>
    </w:p>
    <w:p>
      <w:pPr>
        <w:spacing w:after="120"/>
        <w:jc w:val="both"/>
      </w:pPr>
      <w:r>
        <w:rPr>
          <w:i w:val="0"/>
          <w:sz w:val="21"/>
        </w:rPr>
        <w:t>¿Puede un agente de aprendizaje por refuerzo profundo construir y rebalancear un portafolio de acciones de la BVL que supere, fuera de muestra y de forma robusta, a estrategias de referencia pasivas y clásicas?</w:t>
      </w:r>
    </w:p>
    <w:p>
      <w:pPr>
        <w:pStyle w:val="Heading2"/>
      </w:pPr>
      <w:r>
        <w:rPr>
          <w:rFonts w:ascii="Calibri" w:hAnsi="Calibri"/>
          <w:color w:val="1F3A5F"/>
        </w:rPr>
        <w:t>Qué es un agente de este tipo, en términos de portafolio</w:t>
      </w:r>
    </w:p>
    <w:p>
      <w:pPr>
        <w:spacing w:after="120"/>
        <w:jc w:val="both"/>
      </w:pPr>
      <w:r>
        <w:rPr>
          <w:i w:val="0"/>
          <w:sz w:val="21"/>
        </w:rPr>
        <w:t>Es una función que observa un vector de estado del mercado en la fecha t y devuelve un vector de pesos del portafolio para t+1. La diferencia con una optimización de media-varianza es que los pesos no salen de resolver un problema sobre momentos estimados, sino de una política aprendida por prueba y error sobre la serie histórica, maximizando una recompensa acumulada. No estima retornos esperados ni la matriz de covarianzas de forma explícita.</w:t>
      </w:r>
    </w:p>
    <w:p>
      <w:pPr>
        <w:pStyle w:val="Heading2"/>
      </w:pPr>
      <w:r>
        <w:rPr>
          <w:rFonts w:ascii="Calibri" w:hAnsi="Calibri"/>
          <w:color w:val="1F3A5F"/>
        </w:rPr>
        <w:t>Por qué la BVL y no un mercado desarrollado</w:t>
      </w:r>
    </w:p>
    <w:p>
      <w:pPr>
        <w:spacing w:after="120"/>
        <w:jc w:val="both"/>
      </w:pPr>
      <w:r>
        <w:rPr>
          <w:i w:val="0"/>
          <w:sz w:val="21"/>
        </w:rPr>
        <w:t>Porque es donde la pregunta no está contestada. La literatura de esta familia de métodos trabaja casi siempre sobre S&amp;P 500, cripto o futuros: mercados profundos, con datos abundantes y costos bajos. La BVL es lo contrario — pocos emisores líquidos, sesiones sin negociación, spreads amplios y cobertura informativa desigual. La tesis toma esas fricciones como objeto de estudio, no como estorbo.</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9518"/>
      </w:tblGrid>
      <w:tr>
        <w:tc>
          <w:tcPr>
            <w:tcW w:type="dxa" w:w="9518"/>
            <w:shd w:val="clear" w:fill="EEF2F7"/>
          </w:tcPr>
          <w:p>
            <w:r/>
            <w:r>
              <w:rPr>
                <w:b/>
                <w:color w:val="1F3A5F"/>
                <w:sz w:val="21"/>
              </w:rPr>
              <w:t>El criterio de éxito, fijado de antemano</w:t>
            </w:r>
          </w:p>
          <w:p>
            <w:pPr>
              <w:jc w:val="both"/>
            </w:pPr>
            <w:r>
              <w:rPr>
                <w:sz w:val="20"/>
              </w:rPr>
              <w:t>El objetivo mínimo defendible NO es «ganar dinero»: es superar de forma robusta y fuera de muestra a los baselines, con un estudio de ablación limpio que muestre qué canal de información aporta. Está escrito que si el canal de sentimiento no supera al baseline, el canal no se usa. Lo mismo para fundamentales y macro.</w:t>
            </w:r>
          </w:p>
        </w:tc>
      </w:tr>
    </w:tbl>
    <w:p>
      <w:pPr>
        <w:spacing w:after="80"/>
      </w:pPr>
    </w:p>
    <w:p>
      <w:pPr>
        <w:spacing w:after="120"/>
        <w:jc w:val="both"/>
      </w:pPr>
      <w:r>
        <w:rPr>
          <w:i w:val="0"/>
          <w:sz w:val="21"/>
        </w:rPr>
        <w:t>Aporte metodológico, más allá del resultado: buena parte del trabajo hecho es la construcción de un panel diario point-in-time para la BVL que reúne mercado, fundamentales, prensa y macro sobre 14 años. Ese panel y las decisiones documentadas para armarlo son reutilizables con independencia de si el agente gana o pierde.</w:t>
      </w:r>
    </w:p>
    <w:p>
      <w:r>
        <w:br w:type="page"/>
      </w:r>
    </w:p>
    <w:p>
      <w:pPr>
        <w:pStyle w:val="Heading1"/>
      </w:pPr>
      <w:r>
        <w:rPr>
          <w:rFonts w:ascii="Calibri" w:hAnsi="Calibri"/>
          <w:color w:val="1F3A5F"/>
        </w:rPr>
        <w:t>2. El universo: siete acciones, y por qué esas</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3173"/>
        <w:gridCol w:w="3173"/>
        <w:gridCol w:w="3173"/>
      </w:tblGrid>
      <w:tr>
        <w:tc>
          <w:tcPr>
            <w:tcW w:type="dxa" w:w="1474"/>
            <w:shd w:val="clear" w:fill="1F3A5F"/>
          </w:tcPr>
          <w:p>
            <w:r/>
            <w:r>
              <w:rPr>
                <w:b/>
                <w:color w:val="FFFFFF"/>
                <w:sz w:val="19"/>
              </w:rPr>
              <w:t>Ticker</w:t>
            </w:r>
          </w:p>
        </w:tc>
        <w:tc>
          <w:tcPr>
            <w:tcW w:type="dxa" w:w="3061"/>
            <w:shd w:val="clear" w:fill="1F3A5F"/>
          </w:tcPr>
          <w:p>
            <w:r/>
            <w:r>
              <w:rPr>
                <w:b/>
                <w:color w:val="FFFFFF"/>
                <w:sz w:val="19"/>
              </w:rPr>
              <w:t>Emisor</w:t>
            </w:r>
          </w:p>
        </w:tc>
        <w:tc>
          <w:tcPr>
            <w:tcW w:type="dxa" w:w="3685"/>
            <w:shd w:val="clear" w:fill="1F3A5F"/>
          </w:tcPr>
          <w:p>
            <w:r/>
            <w:r>
              <w:rPr>
                <w:b/>
                <w:color w:val="FFFFFF"/>
                <w:sz w:val="19"/>
              </w:rPr>
              <w:t>Sector</w:t>
            </w:r>
          </w:p>
        </w:tc>
      </w:tr>
      <w:tr>
        <w:tc>
          <w:tcPr>
            <w:tcW w:type="dxa" w:w="1474"/>
          </w:tcPr>
          <w:p>
            <w:r/>
            <w:r>
              <w:rPr>
                <w:b/>
                <w:sz w:val="19"/>
              </w:rPr>
              <w:t>CREDITC1</w:t>
            </w:r>
          </w:p>
        </w:tc>
        <w:tc>
          <w:tcPr>
            <w:tcW w:type="dxa" w:w="3061"/>
          </w:tcPr>
          <w:p>
            <w:r/>
            <w:r>
              <w:rPr>
                <w:sz w:val="19"/>
              </w:rPr>
              <w:t>Banco de Crédito del Perú</w:t>
            </w:r>
          </w:p>
        </w:tc>
        <w:tc>
          <w:tcPr>
            <w:tcW w:type="dxa" w:w="3685"/>
          </w:tcPr>
          <w:p>
            <w:r/>
            <w:r>
              <w:rPr>
                <w:sz w:val="19"/>
              </w:rPr>
              <w:t>Banca</w:t>
            </w:r>
          </w:p>
        </w:tc>
      </w:tr>
      <w:tr>
        <w:tc>
          <w:tcPr>
            <w:tcW w:type="dxa" w:w="1474"/>
          </w:tcPr>
          <w:p>
            <w:r/>
            <w:r>
              <w:rPr>
                <w:b/>
                <w:sz w:val="19"/>
              </w:rPr>
              <w:t>ALICORC1</w:t>
            </w:r>
          </w:p>
        </w:tc>
        <w:tc>
          <w:tcPr>
            <w:tcW w:type="dxa" w:w="3061"/>
          </w:tcPr>
          <w:p>
            <w:r/>
            <w:r>
              <w:rPr>
                <w:sz w:val="19"/>
              </w:rPr>
              <w:t>Alicorp</w:t>
            </w:r>
          </w:p>
        </w:tc>
        <w:tc>
          <w:tcPr>
            <w:tcW w:type="dxa" w:w="3685"/>
          </w:tcPr>
          <w:p>
            <w:r/>
            <w:r>
              <w:rPr>
                <w:sz w:val="19"/>
              </w:rPr>
              <w:t>Consumo masivo</w:t>
            </w:r>
          </w:p>
        </w:tc>
      </w:tr>
      <w:tr>
        <w:tc>
          <w:tcPr>
            <w:tcW w:type="dxa" w:w="1474"/>
          </w:tcPr>
          <w:p>
            <w:r/>
            <w:r>
              <w:rPr>
                <w:b/>
                <w:sz w:val="19"/>
              </w:rPr>
              <w:t>INRETC1</w:t>
            </w:r>
          </w:p>
        </w:tc>
        <w:tc>
          <w:tcPr>
            <w:tcW w:type="dxa" w:w="3061"/>
          </w:tcPr>
          <w:p>
            <w:r/>
            <w:r>
              <w:rPr>
                <w:sz w:val="19"/>
              </w:rPr>
              <w:t>InRetail Perú</w:t>
            </w:r>
          </w:p>
        </w:tc>
        <w:tc>
          <w:tcPr>
            <w:tcW w:type="dxa" w:w="3685"/>
          </w:tcPr>
          <w:p>
            <w:r/>
            <w:r>
              <w:rPr>
                <w:sz w:val="19"/>
              </w:rPr>
              <w:t>Retail: supermercados, farmacias, centros comerciales</w:t>
            </w:r>
          </w:p>
        </w:tc>
      </w:tr>
      <w:tr>
        <w:tc>
          <w:tcPr>
            <w:tcW w:type="dxa" w:w="1474"/>
          </w:tcPr>
          <w:p>
            <w:r/>
            <w:r>
              <w:rPr>
                <w:b/>
                <w:sz w:val="19"/>
              </w:rPr>
              <w:t>CPACASC1</w:t>
            </w:r>
          </w:p>
        </w:tc>
        <w:tc>
          <w:tcPr>
            <w:tcW w:type="dxa" w:w="3061"/>
          </w:tcPr>
          <w:p>
            <w:r/>
            <w:r>
              <w:rPr>
                <w:sz w:val="19"/>
              </w:rPr>
              <w:t>Cementos Pacasmayo</w:t>
            </w:r>
          </w:p>
        </w:tc>
        <w:tc>
          <w:tcPr>
            <w:tcW w:type="dxa" w:w="3685"/>
          </w:tcPr>
          <w:p>
            <w:r/>
            <w:r>
              <w:rPr>
                <w:sz w:val="19"/>
              </w:rPr>
              <w:t>Cemento</w:t>
            </w:r>
          </w:p>
        </w:tc>
      </w:tr>
      <w:tr>
        <w:tc>
          <w:tcPr>
            <w:tcW w:type="dxa" w:w="1474"/>
          </w:tcPr>
          <w:p>
            <w:r/>
            <w:r>
              <w:rPr>
                <w:b/>
                <w:sz w:val="19"/>
              </w:rPr>
              <w:t>FERREYC1</w:t>
            </w:r>
          </w:p>
        </w:tc>
        <w:tc>
          <w:tcPr>
            <w:tcW w:type="dxa" w:w="3061"/>
          </w:tcPr>
          <w:p>
            <w:r/>
            <w:r>
              <w:rPr>
                <w:sz w:val="19"/>
              </w:rPr>
              <w:t>Ferreycorp</w:t>
            </w:r>
          </w:p>
        </w:tc>
        <w:tc>
          <w:tcPr>
            <w:tcW w:type="dxa" w:w="3685"/>
          </w:tcPr>
          <w:p>
            <w:r/>
            <w:r>
              <w:rPr>
                <w:sz w:val="19"/>
              </w:rPr>
              <w:t>Bienes de capital (Caterpillar)</w:t>
            </w:r>
          </w:p>
        </w:tc>
      </w:tr>
      <w:tr>
        <w:tc>
          <w:tcPr>
            <w:tcW w:type="dxa" w:w="1474"/>
          </w:tcPr>
          <w:p>
            <w:r/>
            <w:r>
              <w:rPr>
                <w:b/>
                <w:sz w:val="19"/>
              </w:rPr>
              <w:t>MINSURI1</w:t>
            </w:r>
          </w:p>
        </w:tc>
        <w:tc>
          <w:tcPr>
            <w:tcW w:type="dxa" w:w="3061"/>
          </w:tcPr>
          <w:p>
            <w:r/>
            <w:r>
              <w:rPr>
                <w:sz w:val="19"/>
              </w:rPr>
              <w:t>Minsur (acción de inversión)</w:t>
            </w:r>
          </w:p>
        </w:tc>
        <w:tc>
          <w:tcPr>
            <w:tcW w:type="dxa" w:w="3685"/>
          </w:tcPr>
          <w:p>
            <w:r/>
            <w:r>
              <w:rPr>
                <w:sz w:val="19"/>
              </w:rPr>
              <w:t>Minería: estaño, cobre</w:t>
            </w:r>
          </w:p>
        </w:tc>
      </w:tr>
      <w:tr>
        <w:tc>
          <w:tcPr>
            <w:tcW w:type="dxa" w:w="1474"/>
          </w:tcPr>
          <w:p>
            <w:r/>
            <w:r>
              <w:rPr>
                <w:b/>
                <w:sz w:val="19"/>
              </w:rPr>
              <w:t>LUSURC1</w:t>
            </w:r>
          </w:p>
        </w:tc>
        <w:tc>
          <w:tcPr>
            <w:tcW w:type="dxa" w:w="3061"/>
          </w:tcPr>
          <w:p>
            <w:r/>
            <w:r>
              <w:rPr>
                <w:sz w:val="19"/>
              </w:rPr>
              <w:t>Luz del Sur</w:t>
            </w:r>
          </w:p>
        </w:tc>
        <w:tc>
          <w:tcPr>
            <w:tcW w:type="dxa" w:w="3685"/>
          </w:tcPr>
          <w:p>
            <w:r/>
            <w:r>
              <w:rPr>
                <w:sz w:val="19"/>
              </w:rPr>
              <w:t>Distribución eléctrica</w:t>
            </w:r>
          </w:p>
        </w:tc>
      </w:tr>
    </w:tbl>
    <w:p>
      <w:pPr>
        <w:spacing w:after="80"/>
      </w:pPr>
    </w:p>
    <w:p>
      <w:pPr>
        <w:pStyle w:val="Heading2"/>
      </w:pPr>
      <w:r>
        <w:rPr>
          <w:rFonts w:ascii="Calibri" w:hAnsi="Calibri"/>
          <w:color w:val="1F3A5F"/>
        </w:rPr>
        <w:t>La métrica de liquidez que se usó, y por qué esa</w:t>
      </w:r>
    </w:p>
    <w:p>
      <w:pPr>
        <w:spacing w:after="120"/>
        <w:jc w:val="both"/>
      </w:pPr>
      <w:r>
        <w:rPr>
          <w:i w:val="0"/>
          <w:sz w:val="21"/>
        </w:rPr>
        <w:t>En lugar del volumen reportado —que se verificó poco confiable para tickers de Lima— se usó el porcentaje de sesiones con precio distinto al de la sesión hábil anterior. Un precio que no se movió porque nadie transó no es información: es el precio anterior arrastrado.</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3173"/>
        <w:gridCol w:w="3173"/>
        <w:gridCol w:w="3173"/>
      </w:tblGrid>
      <w:tr>
        <w:tc>
          <w:tcPr>
            <w:tcW w:type="dxa" w:w="1928"/>
            <w:shd w:val="clear" w:fill="1F3A5F"/>
          </w:tcPr>
          <w:p>
            <w:r/>
            <w:r>
              <w:rPr>
                <w:b/>
                <w:color w:val="FFFFFF"/>
                <w:sz w:val="19"/>
              </w:rPr>
              <w:t>Emisor</w:t>
            </w:r>
          </w:p>
        </w:tc>
        <w:tc>
          <w:tcPr>
            <w:tcW w:type="dxa" w:w="3175"/>
            <w:shd w:val="clear" w:fill="1F3A5F"/>
          </w:tcPr>
          <w:p>
            <w:r/>
            <w:r>
              <w:rPr>
                <w:b/>
                <w:color w:val="FFFFFF"/>
                <w:sz w:val="19"/>
              </w:rPr>
              <w:t>% sesiones con precio nuevo</w:t>
            </w:r>
          </w:p>
        </w:tc>
        <w:tc>
          <w:tcPr>
            <w:tcW w:type="dxa" w:w="3118"/>
            <w:shd w:val="clear" w:fill="1F3A5F"/>
          </w:tcPr>
          <w:p>
            <w:r/>
            <w:r>
              <w:rPr>
                <w:b/>
                <w:color w:val="FFFFFF"/>
                <w:sz w:val="19"/>
              </w:rPr>
              <w:t>Situación</w:t>
            </w:r>
          </w:p>
        </w:tc>
      </w:tr>
      <w:tr>
        <w:tc>
          <w:tcPr>
            <w:tcW w:type="dxa" w:w="1928"/>
          </w:tcPr>
          <w:p>
            <w:r/>
            <w:r>
              <w:rPr>
                <w:b/>
                <w:sz w:val="19"/>
              </w:rPr>
              <w:t>ALICORC1</w:t>
            </w:r>
          </w:p>
        </w:tc>
        <w:tc>
          <w:tcPr>
            <w:tcW w:type="dxa" w:w="3175"/>
          </w:tcPr>
          <w:p>
            <w:r/>
            <w:r>
              <w:rPr>
                <w:sz w:val="19"/>
              </w:rPr>
              <w:t>75.9 %</w:t>
            </w:r>
          </w:p>
        </w:tc>
        <w:tc>
          <w:tcPr>
            <w:tcW w:type="dxa" w:w="3118"/>
          </w:tcPr>
          <w:p>
            <w:r/>
            <w:r>
              <w:rPr>
                <w:sz w:val="19"/>
              </w:rPr>
              <w:t>Sigue</w:t>
            </w:r>
          </w:p>
        </w:tc>
      </w:tr>
      <w:tr>
        <w:tc>
          <w:tcPr>
            <w:tcW w:type="dxa" w:w="1928"/>
          </w:tcPr>
          <w:p>
            <w:r/>
            <w:r>
              <w:rPr>
                <w:b/>
                <w:sz w:val="19"/>
              </w:rPr>
              <w:t>FERREYC1</w:t>
            </w:r>
          </w:p>
        </w:tc>
        <w:tc>
          <w:tcPr>
            <w:tcW w:type="dxa" w:w="3175"/>
          </w:tcPr>
          <w:p>
            <w:r/>
            <w:r>
              <w:rPr>
                <w:sz w:val="19"/>
              </w:rPr>
              <w:t>73.5 %</w:t>
            </w:r>
          </w:p>
        </w:tc>
        <w:tc>
          <w:tcPr>
            <w:tcW w:type="dxa" w:w="3118"/>
          </w:tcPr>
          <w:p>
            <w:r/>
            <w:r>
              <w:rPr>
                <w:sz w:val="19"/>
              </w:rPr>
              <w:t>Entró en jul-2026</w:t>
            </w:r>
          </w:p>
        </w:tc>
      </w:tr>
      <w:tr>
        <w:tc>
          <w:tcPr>
            <w:tcW w:type="dxa" w:w="1928"/>
          </w:tcPr>
          <w:p>
            <w:r/>
            <w:r>
              <w:rPr>
                <w:b/>
                <w:sz w:val="19"/>
              </w:rPr>
              <w:t>CPACASC1</w:t>
            </w:r>
          </w:p>
        </w:tc>
        <w:tc>
          <w:tcPr>
            <w:tcW w:type="dxa" w:w="3175"/>
          </w:tcPr>
          <w:p>
            <w:r/>
            <w:r>
              <w:rPr>
                <w:sz w:val="19"/>
              </w:rPr>
              <w:t>72.1 %</w:t>
            </w:r>
          </w:p>
        </w:tc>
        <w:tc>
          <w:tcPr>
            <w:tcW w:type="dxa" w:w="3118"/>
          </w:tcPr>
          <w:p>
            <w:r/>
            <w:r>
              <w:rPr>
                <w:sz w:val="19"/>
              </w:rPr>
              <w:t>Entró en jul-2026</w:t>
            </w:r>
          </w:p>
        </w:tc>
      </w:tr>
      <w:tr>
        <w:tc>
          <w:tcPr>
            <w:tcW w:type="dxa" w:w="1928"/>
          </w:tcPr>
          <w:p>
            <w:r/>
            <w:r>
              <w:rPr>
                <w:b/>
                <w:sz w:val="19"/>
              </w:rPr>
              <w:t>MINSURI1</w:t>
            </w:r>
          </w:p>
        </w:tc>
        <w:tc>
          <w:tcPr>
            <w:tcW w:type="dxa" w:w="3175"/>
          </w:tcPr>
          <w:p>
            <w:r/>
            <w:r>
              <w:rPr>
                <w:sz w:val="19"/>
              </w:rPr>
              <w:t>64.9 %</w:t>
            </w:r>
          </w:p>
        </w:tc>
        <w:tc>
          <w:tcPr>
            <w:tcW w:type="dxa" w:w="3118"/>
          </w:tcPr>
          <w:p>
            <w:r/>
            <w:r>
              <w:rPr>
                <w:sz w:val="19"/>
              </w:rPr>
              <w:t>Entró en jul-2026</w:t>
            </w:r>
          </w:p>
        </w:tc>
      </w:tr>
      <w:tr>
        <w:tc>
          <w:tcPr>
            <w:tcW w:type="dxa" w:w="1928"/>
          </w:tcPr>
          <w:p>
            <w:r/>
            <w:r>
              <w:rPr>
                <w:b/>
                <w:sz w:val="19"/>
              </w:rPr>
              <w:t>CREDITC1</w:t>
            </w:r>
          </w:p>
        </w:tc>
        <w:tc>
          <w:tcPr>
            <w:tcW w:type="dxa" w:w="3175"/>
          </w:tcPr>
          <w:p>
            <w:r/>
            <w:r>
              <w:rPr>
                <w:sz w:val="19"/>
              </w:rPr>
              <w:t>58.6 %</w:t>
            </w:r>
          </w:p>
        </w:tc>
        <w:tc>
          <w:tcPr>
            <w:tcW w:type="dxa" w:w="3118"/>
          </w:tcPr>
          <w:p>
            <w:r/>
            <w:r>
              <w:rPr>
                <w:sz w:val="19"/>
              </w:rPr>
              <w:t>Sigue</w:t>
            </w:r>
          </w:p>
        </w:tc>
      </w:tr>
      <w:tr>
        <w:tc>
          <w:tcPr>
            <w:tcW w:type="dxa" w:w="1928"/>
          </w:tcPr>
          <w:p>
            <w:r/>
            <w:r>
              <w:rPr>
                <w:b/>
                <w:sz w:val="19"/>
              </w:rPr>
              <w:t>LUSURC1</w:t>
            </w:r>
          </w:p>
        </w:tc>
        <w:tc>
          <w:tcPr>
            <w:tcW w:type="dxa" w:w="3175"/>
          </w:tcPr>
          <w:p>
            <w:r/>
            <w:r>
              <w:rPr>
                <w:sz w:val="19"/>
              </w:rPr>
              <w:t>56.5 %</w:t>
            </w:r>
          </w:p>
        </w:tc>
        <w:tc>
          <w:tcPr>
            <w:tcW w:type="dxa" w:w="3118"/>
          </w:tcPr>
          <w:p>
            <w:r/>
            <w:r>
              <w:rPr>
                <w:sz w:val="19"/>
              </w:rPr>
              <w:t>Entró en jul-2026</w:t>
            </w:r>
          </w:p>
        </w:tc>
      </w:tr>
      <w:tr>
        <w:tc>
          <w:tcPr>
            <w:tcW w:type="dxa" w:w="1928"/>
          </w:tcPr>
          <w:p>
            <w:r/>
            <w:r>
              <w:rPr>
                <w:b/>
                <w:sz w:val="19"/>
              </w:rPr>
              <w:t>INRETC1</w:t>
            </w:r>
          </w:p>
        </w:tc>
        <w:tc>
          <w:tcPr>
            <w:tcW w:type="dxa" w:w="3175"/>
          </w:tcPr>
          <w:p>
            <w:r/>
            <w:r>
              <w:rPr>
                <w:sz w:val="19"/>
              </w:rPr>
              <w:t>97.5 %</w:t>
            </w:r>
          </w:p>
        </w:tc>
        <w:tc>
          <w:tcPr>
            <w:tcW w:type="dxa" w:w="3118"/>
          </w:tcPr>
          <w:p>
            <w:r/>
            <w:r>
              <w:rPr>
                <w:sz w:val="19"/>
              </w:rPr>
              <w:t>Entró en jul-2026 (cotiza en USD)</w:t>
            </w:r>
          </w:p>
        </w:tc>
      </w:tr>
      <w:tr>
        <w:tc>
          <w:tcPr>
            <w:tcW w:type="dxa" w:w="1928"/>
          </w:tcPr>
          <w:p>
            <w:r/>
            <w:r>
              <w:rPr>
                <w:b/>
                <w:sz w:val="19"/>
              </w:rPr>
              <w:t>SAGAC1</w:t>
            </w:r>
          </w:p>
        </w:tc>
        <w:tc>
          <w:tcPr>
            <w:tcW w:type="dxa" w:w="3175"/>
          </w:tcPr>
          <w:p>
            <w:r/>
            <w:r>
              <w:rPr>
                <w:sz w:val="19"/>
              </w:rPr>
              <w:t>4.1 %</w:t>
            </w:r>
          </w:p>
        </w:tc>
        <w:tc>
          <w:tcPr>
            <w:tcW w:type="dxa" w:w="3118"/>
          </w:tcPr>
          <w:p>
            <w:r/>
            <w:r>
              <w:rPr>
                <w:sz w:val="19"/>
              </w:rPr>
              <w:t>SALIÓ del universo</w:t>
            </w:r>
          </w:p>
        </w:tc>
      </w:tr>
      <w:tr>
        <w:tc>
          <w:tcPr>
            <w:tcW w:type="dxa" w:w="1928"/>
          </w:tcPr>
          <w:p>
            <w:r/>
            <w:r>
              <w:rPr>
                <w:b/>
                <w:sz w:val="19"/>
              </w:rPr>
              <w:t>CORAREC1</w:t>
            </w:r>
          </w:p>
        </w:tc>
        <w:tc>
          <w:tcPr>
            <w:tcW w:type="dxa" w:w="3175"/>
          </w:tcPr>
          <w:p>
            <w:r/>
            <w:r>
              <w:rPr>
                <w:sz w:val="19"/>
              </w:rPr>
              <w:t>20.8 %</w:t>
            </w:r>
          </w:p>
        </w:tc>
        <w:tc>
          <w:tcPr>
            <w:tcW w:type="dxa" w:w="3118"/>
          </w:tcPr>
          <w:p>
            <w:r/>
            <w:r>
              <w:rPr>
                <w:sz w:val="19"/>
              </w:rPr>
              <w:t>SALIÓ del universo</w:t>
            </w:r>
          </w:p>
        </w:tc>
      </w:tr>
      <w:tr>
        <w:tc>
          <w:tcPr>
            <w:tcW w:type="dxa" w:w="1928"/>
          </w:tcPr>
          <w:p>
            <w:r/>
            <w:r>
              <w:rPr>
                <w:b/>
                <w:sz w:val="19"/>
              </w:rPr>
              <w:t>BUENAVC1</w:t>
            </w:r>
          </w:p>
        </w:tc>
        <w:tc>
          <w:tcPr>
            <w:tcW w:type="dxa" w:w="3175"/>
          </w:tcPr>
          <w:p>
            <w:r/>
            <w:r>
              <w:rPr>
                <w:sz w:val="19"/>
              </w:rPr>
              <w:t>23.7 %</w:t>
            </w:r>
          </w:p>
        </w:tc>
        <w:tc>
          <w:tcPr>
            <w:tcW w:type="dxa" w:w="3118"/>
          </w:tcPr>
          <w:p>
            <w:r/>
            <w:r>
              <w:rPr>
                <w:sz w:val="19"/>
              </w:rPr>
              <w:t>SALIÓ del universo</w:t>
            </w:r>
          </w:p>
        </w:tc>
      </w:tr>
    </w:tbl>
    <w:p>
      <w:pPr>
        <w:spacing w:after="80"/>
      </w:pP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9518"/>
      </w:tblGrid>
      <w:tr>
        <w:tc>
          <w:tcPr>
            <w:tcW w:type="dxa" w:w="9518"/>
            <w:shd w:val="clear" w:fill="EEF2F7"/>
          </w:tcPr>
          <w:p>
            <w:r/>
            <w:r>
              <w:rPr>
                <w:b/>
                <w:color w:val="1F3A5F"/>
                <w:sz w:val="21"/>
              </w:rPr>
              <w:t>Límite que se declara</w:t>
            </w:r>
          </w:p>
          <w:p>
            <w:pPr>
              <w:jc w:val="both"/>
            </w:pPr>
            <w:r>
              <w:rPr>
                <w:sz w:val="20"/>
              </w:rPr>
              <w:t>El piso del universo subió de 4.1 % a 56.5 %, pero ninguno de los siete es líquido en el sentido de un mercado desarrollado: el techo observado para un nombre BVL-nativo es ~75 %. Uno de cada tres o cuatro días, el precio de cierre de la mitad de la cartera no refleja una transacción de ese día.</w:t>
            </w:r>
          </w:p>
        </w:tc>
      </w:tr>
    </w:tbl>
    <w:p>
      <w:pPr>
        <w:spacing w:after="80"/>
      </w:pPr>
    </w:p>
    <w:p>
      <w:pPr>
        <w:pStyle w:val="Heading2"/>
      </w:pPr>
      <w:r>
        <w:rPr>
          <w:rFonts w:ascii="Calibri" w:hAnsi="Calibri"/>
          <w:color w:val="1F3A5F"/>
        </w:rPr>
        <w:t>Dos exclusiones deliberadas que conviene discutir</w:t>
      </w:r>
    </w:p>
    <w:p>
      <w:pPr>
        <w:pStyle w:val="ListBullet"/>
        <w:spacing w:after="60"/>
      </w:pPr>
      <w:r>
        <w:rPr>
          <w:sz w:val="21"/>
        </w:rPr>
        <w:t>Se evaluó y descartó reemplazar BCP por Credicorp (BAP en NYSE). BAP negocia ~1,200 veces lo que CREDITC1 en Lima, pero forma su precio en Nueva York: incluirlo rompería la premisa del trabajo. Además son valores distintos — Credicorp incluye Pacífico, Prima AFP y Mibanco.</w:t>
      </w:r>
    </w:p>
    <w:p>
      <w:pPr>
        <w:pStyle w:val="ListBullet"/>
        <w:spacing w:after="60"/>
      </w:pPr>
      <w:r>
        <w:rPr>
          <w:sz w:val="21"/>
        </w:rPr>
        <w:t>Pacasmayo tiene ADR en NYSE, pero está prácticamente muerto: US$ 47 mil al día contra ~US$ 235 mil en Lima. El 82 % se transa localmente.</w:t>
      </w:r>
    </w:p>
    <w:p>
      <w:r>
        <w:br w:type="page"/>
      </w:r>
    </w:p>
    <w:p>
      <w:pPr>
        <w:pStyle w:val="Heading1"/>
      </w:pPr>
      <w:r>
        <w:rPr>
          <w:rFonts w:ascii="Calibri" w:hAnsi="Calibri"/>
          <w:color w:val="1F3A5F"/>
        </w:rPr>
        <w:t>3. Las cuatro fuentes de información</w:t>
      </w:r>
    </w:p>
    <w:p>
      <w:pPr>
        <w:spacing w:after="120"/>
        <w:jc w:val="both"/>
      </w:pPr>
      <w:r>
        <w:rPr>
          <w:i w:val="0"/>
          <w:sz w:val="21"/>
        </w:rPr>
        <w:t>El agente observa cuatro bloques. Cada uno se construyó por separado, se auditó por separado, y en la evaluación final se prueba por separado.</w:t>
      </w:r>
    </w:p>
    <w:p>
      <w:pPr>
        <w:pStyle w:val="Heading2"/>
      </w:pPr>
      <w:r>
        <w:rPr>
          <w:rFonts w:ascii="Calibri" w:hAnsi="Calibri"/>
          <w:color w:val="1F3A5F"/>
        </w:rPr>
        <w:t>3.1 Mercado</w:t>
      </w:r>
    </w:p>
    <w:p>
      <w:pPr>
        <w:spacing w:after="120"/>
        <w:jc w:val="both"/>
      </w:pPr>
      <w:r>
        <w:rPr>
          <w:i w:val="0"/>
          <w:sz w:val="21"/>
        </w:rPr>
        <w:t>Fuente primaria: la propia BVL. Yahoo Finance se usó solo como validación cruzada, nunca como reemplazo — su volumen para tickers de Lima no reconcilia con el oficial.</w:t>
      </w:r>
    </w:p>
    <w:p>
      <w:pPr>
        <w:spacing w:after="120"/>
        <w:jc w:val="both"/>
      </w:pPr>
      <w:r>
        <w:rPr>
          <w:i w:val="0"/>
          <w:sz w:val="21"/>
        </w:rPr>
        <w:t>Se construyeron tres series de precio, separadas a propósito:</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759"/>
        <w:gridCol w:w="4759"/>
      </w:tblGrid>
      <w:tr>
        <w:tc>
          <w:tcPr>
            <w:tcW w:type="dxa" w:w="2551"/>
            <w:shd w:val="clear" w:fill="1F3A5F"/>
          </w:tcPr>
          <w:p>
            <w:r/>
            <w:r>
              <w:rPr>
                <w:b/>
                <w:color w:val="FFFFFF"/>
                <w:sz w:val="19"/>
              </w:rPr>
              <w:t>Serie</w:t>
            </w:r>
          </w:p>
        </w:tc>
        <w:tc>
          <w:tcPr>
            <w:tcW w:type="dxa" w:w="5669"/>
            <w:shd w:val="clear" w:fill="1F3A5F"/>
          </w:tcPr>
          <w:p>
            <w:r/>
            <w:r>
              <w:rPr>
                <w:b/>
                <w:color w:val="FFFFFF"/>
                <w:sz w:val="19"/>
              </w:rPr>
              <w:t>Para qué se usa</w:t>
            </w:r>
          </w:p>
        </w:tc>
      </w:tr>
      <w:tr>
        <w:tc>
          <w:tcPr>
            <w:tcW w:type="dxa" w:w="2551"/>
          </w:tcPr>
          <w:p>
            <w:r/>
            <w:r>
              <w:rPr>
                <w:b/>
                <w:sz w:val="19"/>
              </w:rPr>
              <w:t>Precio crudo</w:t>
            </w:r>
          </w:p>
        </w:tc>
        <w:tc>
          <w:tcPr>
            <w:tcW w:type="dxa" w:w="5669"/>
          </w:tcPr>
          <w:p>
            <w:r/>
            <w:r>
              <w:rPr>
                <w:sz w:val="19"/>
              </w:rPr>
              <w:t>El efectivamente negociado. Valoriza posiciones y da ratios contemporáneos como el P/E.</w:t>
            </w:r>
          </w:p>
        </w:tc>
      </w:tr>
      <w:tr>
        <w:tc>
          <w:tcPr>
            <w:tcW w:type="dxa" w:w="2551"/>
          </w:tcPr>
          <w:p>
            <w:r/>
            <w:r>
              <w:rPr>
                <w:b/>
                <w:sz w:val="19"/>
              </w:rPr>
              <w:t>Ajustado por splits</w:t>
            </w:r>
          </w:p>
        </w:tc>
        <w:tc>
          <w:tcPr>
            <w:tcW w:type="dxa" w:w="5669"/>
          </w:tcPr>
          <w:p>
            <w:r/>
            <w:r>
              <w:rPr>
                <w:sz w:val="19"/>
              </w:rPr>
              <w:t>Continuidad de las series técnicas.</w:t>
            </w:r>
          </w:p>
        </w:tc>
      </w:tr>
      <w:tr>
        <w:tc>
          <w:tcPr>
            <w:tcW w:type="dxa" w:w="2551"/>
          </w:tcPr>
          <w:p>
            <w:r/>
            <w:r>
              <w:rPr>
                <w:b/>
                <w:sz w:val="19"/>
              </w:rPr>
              <w:t>Retorno total</w:t>
            </w:r>
          </w:p>
        </w:tc>
        <w:tc>
          <w:tcPr>
            <w:tcW w:type="dxa" w:w="5669"/>
          </w:tcPr>
          <w:p>
            <w:r/>
            <w:r>
              <w:rPr>
                <w:sz w:val="19"/>
              </w:rPr>
              <w:t>Reinvirtiendo dividendos. Es el que mide desempeño.</w:t>
            </w:r>
          </w:p>
        </w:tc>
      </w:tr>
    </w:tbl>
    <w:p>
      <w:pPr>
        <w:spacing w:after="80"/>
      </w:pPr>
    </w:p>
    <w:p>
      <w:pPr>
        <w:spacing w:after="120"/>
        <w:jc w:val="both"/>
      </w:pPr>
      <w:r>
        <w:rPr>
          <w:i w:val="0"/>
          <w:sz w:val="21"/>
        </w:rPr>
        <w:t>Dividendos y acciones liberadas provienen del registro oficial de la BVL, no de un proveedor externo. Los importes en dólares se convierten a soles con el tipo de cambio del BCRP a la fecha de corte. Indicadores incluidos: medias móviles de 20 y 50 días, MACD, RSI de 14 días, volatilidad de 20 días y retorno diario.</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9518"/>
      </w:tblGrid>
      <w:tr>
        <w:tc>
          <w:tcPr>
            <w:tcW w:type="dxa" w:w="9518"/>
            <w:shd w:val="clear" w:fill="EEF2F7"/>
          </w:tcPr>
          <w:p>
            <w:r/>
            <w:r>
              <w:rPr>
                <w:b/>
                <w:color w:val="1F3A5F"/>
                <w:sz w:val="21"/>
              </w:rPr>
              <w:t>Dos banderas que acompañan cada fila, y que importan para la evaluación</w:t>
            </w:r>
          </w:p>
          <w:p>
            <w:pPr>
              <w:jc w:val="both"/>
            </w:pPr>
            <w:r>
              <w:rPr>
                <w:sz w:val="20"/>
              </w:rPr>
              <w:t>SIN NEGOCIACIÓN: la sesión existe en el calendario pero el papel no operó. PRECIO ARRASTRADO: el cierre es idéntico al de la sesión anterior — conjunto más amplio, captura los tramos estancados. Se guardan como señal cruda; qué hace el agente con ellas es una decisión abierta.</w:t>
            </w:r>
          </w:p>
        </w:tc>
      </w:tr>
    </w:tbl>
    <w:p>
      <w:pPr>
        <w:spacing w:after="80"/>
      </w:pPr>
    </w:p>
    <w:p>
      <w:r>
        <w:br w:type="page"/>
      </w:r>
    </w:p>
    <w:p>
      <w:pPr>
        <w:pStyle w:val="Heading2"/>
      </w:pPr>
      <w:r>
        <w:rPr>
          <w:rFonts w:ascii="Calibri" w:hAnsi="Calibri"/>
          <w:color w:val="1F3A5F"/>
        </w:rPr>
        <w:t>3.2 Fundamentales</w:t>
      </w:r>
    </w:p>
    <w:p>
      <w:pPr>
        <w:spacing w:after="120"/>
        <w:jc w:val="both"/>
      </w:pPr>
      <w:r>
        <w:rPr>
          <w:i w:val="0"/>
          <w:sz w:val="21"/>
        </w:rPr>
        <w:t>Estados financieros trimestrales de la SMV, 2012–2025, para los siete emisores. De ahí se derivan ROE, ROA, margen neto, deuda/patrimonio y deuda/activos; y con el precio diario, P/E y dividend yield.</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759"/>
        <w:gridCol w:w="4759"/>
      </w:tblGrid>
      <w:tr>
        <w:tc>
          <w:tcPr>
            <w:tcW w:type="dxa" w:w="2381"/>
            <w:shd w:val="clear" w:fill="1F3A5F"/>
          </w:tcPr>
          <w:p>
            <w:r/>
            <w:r>
              <w:rPr>
                <w:b/>
                <w:color w:val="FFFFFF"/>
                <w:sz w:val="19"/>
              </w:rPr>
              <w:t>Decisión</w:t>
            </w:r>
          </w:p>
        </w:tc>
        <w:tc>
          <w:tcPr>
            <w:tcW w:type="dxa" w:w="5839"/>
            <w:shd w:val="clear" w:fill="1F3A5F"/>
          </w:tcPr>
          <w:p>
            <w:r/>
            <w:r>
              <w:rPr>
                <w:b/>
                <w:color w:val="FFFFFF"/>
                <w:sz w:val="19"/>
              </w:rPr>
              <w:t>Qué se hizo y por qué</w:t>
            </w:r>
          </w:p>
        </w:tc>
      </w:tr>
      <w:tr>
        <w:tc>
          <w:tcPr>
            <w:tcW w:type="dxa" w:w="2381"/>
          </w:tcPr>
          <w:p>
            <w:r/>
            <w:r>
              <w:rPr>
                <w:b/>
                <w:sz w:val="19"/>
              </w:rPr>
              <w:t>P/E</w:t>
            </w:r>
          </w:p>
        </w:tc>
        <w:tc>
          <w:tcPr>
            <w:tcW w:type="dxa" w:w="5839"/>
          </w:tcPr>
          <w:p>
            <w:r/>
            <w:r>
              <w:rPr>
                <w:sz w:val="19"/>
              </w:rPr>
              <w:t>Con utilidad de doce meses móviles, reconstruida desde la serie acumulada del ejercicio para ser robusta a reexpresiones. No se reporta cuando la utilidad es negativa: en pérdidas el múltiplo no es informativo.</w:t>
            </w:r>
          </w:p>
        </w:tc>
      </w:tr>
      <w:tr>
        <w:tc>
          <w:tcPr>
            <w:tcW w:type="dxa" w:w="2381"/>
          </w:tcPr>
          <w:p>
            <w:r/>
            <w:r>
              <w:rPr>
                <w:b/>
                <w:sz w:val="19"/>
              </w:rPr>
              <w:t>Acciones en circulación</w:t>
            </w:r>
          </w:p>
        </w:tc>
        <w:tc>
          <w:tcPr>
            <w:tcW w:type="dxa" w:w="5839"/>
          </w:tcPr>
          <w:p>
            <w:r/>
            <w:r>
              <w:rPr>
                <w:sz w:val="19"/>
              </w:rPr>
              <w:t>Conteo híbrido: acciones emitidas y listadas del registro BVL (que tiene la fecha correcta) menos tesorería reportada a la SMV (que la BVL no descuenta). La tesorería llegó a 10 % en un emisor: no netearla habría distorsionado la capitalización.</w:t>
            </w:r>
          </w:p>
        </w:tc>
      </w:tr>
      <w:tr>
        <w:tc>
          <w:tcPr>
            <w:tcW w:type="dxa" w:w="2381"/>
          </w:tcPr>
          <w:p>
            <w:r/>
            <w:r>
              <w:rPr>
                <w:b/>
                <w:sz w:val="19"/>
              </w:rPr>
              <w:t>InRetail</w:t>
            </w:r>
          </w:p>
        </w:tc>
        <w:tc>
          <w:tcPr>
            <w:tcW w:type="dxa" w:w="5839"/>
          </w:tcPr>
          <w:p>
            <w:r/>
            <w:r>
              <w:rPr>
                <w:sz w:val="19"/>
              </w:rPr>
              <w:t>Se consume consolidado y no individual, porque es un holding cuyo estado individual reporta pérdida.</w:t>
            </w:r>
          </w:p>
        </w:tc>
      </w:tr>
    </w:tbl>
    <w:p>
      <w:pPr>
        <w:spacing w:after="80"/>
      </w:pPr>
    </w:p>
    <w:p>
      <w:pPr>
        <w:pStyle w:val="Heading3"/>
      </w:pPr>
      <w:r>
        <w:rPr>
          <w:rFonts w:ascii="Calibri" w:hAnsi="Calibri"/>
          <w:color w:val="1F3A5F"/>
        </w:rPr>
        <w:t>El punto de la fecha de conocimiento — lo más importante de esta sección</w:t>
      </w:r>
    </w:p>
    <w:p>
      <w:pPr>
        <w:spacing w:after="120"/>
        <w:jc w:val="both"/>
      </w:pPr>
      <w:r>
        <w:rPr>
          <w:i w:val="0"/>
          <w:sz w:val="21"/>
        </w:rPr>
        <w:t>Un estado financiero del cierre de junio no es información pública el 30 de junio. Si el agente lo «ve» en la fecha del período, opera con información que el mercado no tenía: sesgo de anticipación, y el backtest queda inflado.</w:t>
      </w:r>
    </w:p>
    <w:p>
      <w:pPr>
        <w:pStyle w:val="ListBullet"/>
        <w:spacing w:after="60"/>
      </w:pPr>
      <w:r>
        <w:rPr>
          <w:sz w:val="21"/>
        </w:rPr>
        <w:t>CUANDO EXISTE, se usa la fecha real de presentación, tomada del hecho de importancia que el emisor registra en la BVL. Si el registro es después de las 15:00 de Lima, se considera conocida al día siguiente: no era operable en el cierre del propio día.</w:t>
      </w:r>
    </w:p>
    <w:p>
      <w:pPr>
        <w:pStyle w:val="ListBullet"/>
        <w:spacing w:after="60"/>
      </w:pPr>
      <w:r>
        <w:rPr>
          <w:sz w:val="21"/>
        </w:rPr>
        <w:t>CUANDO NO EXISTE, se aplica un rezago estimado. La cobertura de fecha real empieza hacia 2018, así que el rezago aplica sobre todo a 2012–2017.</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759"/>
        <w:gridCol w:w="4759"/>
      </w:tblGrid>
      <w:tr>
        <w:tc>
          <w:tcPr>
            <w:tcW w:type="dxa" w:w="3402"/>
            <w:shd w:val="clear" w:fill="1F3A5F"/>
          </w:tcPr>
          <w:p>
            <w:r/>
            <w:r>
              <w:rPr>
                <w:b/>
                <w:color w:val="FFFFFF"/>
                <w:sz w:val="19"/>
              </w:rPr>
              <w:t>Tramo del panel</w:t>
            </w:r>
          </w:p>
        </w:tc>
        <w:tc>
          <w:tcPr>
            <w:tcW w:type="dxa" w:w="4819"/>
            <w:shd w:val="clear" w:fill="1F3A5F"/>
          </w:tcPr>
          <w:p>
            <w:r/>
            <w:r>
              <w:rPr>
                <w:b/>
                <w:color w:val="FFFFFF"/>
                <w:sz w:val="19"/>
              </w:rPr>
              <w:t>Observaciones con fecha real</w:t>
            </w:r>
          </w:p>
        </w:tc>
      </w:tr>
      <w:tr>
        <w:tc>
          <w:tcPr>
            <w:tcW w:type="dxa" w:w="3402"/>
          </w:tcPr>
          <w:p>
            <w:r/>
            <w:r>
              <w:rPr>
                <w:b/>
                <w:sz w:val="19"/>
              </w:rPr>
              <w:t>2005 – 2017</w:t>
            </w:r>
          </w:p>
        </w:tc>
        <w:tc>
          <w:tcPr>
            <w:tcW w:type="dxa" w:w="4819"/>
          </w:tcPr>
          <w:p>
            <w:r/>
            <w:r>
              <w:rPr>
                <w:sz w:val="19"/>
              </w:rPr>
              <w:t>0 %</w:t>
            </w:r>
          </w:p>
        </w:tc>
      </w:tr>
      <w:tr>
        <w:tc>
          <w:tcPr>
            <w:tcW w:type="dxa" w:w="3402"/>
          </w:tcPr>
          <w:p>
            <w:r/>
            <w:r>
              <w:rPr>
                <w:b/>
                <w:sz w:val="19"/>
              </w:rPr>
              <w:t>2019 – 2024</w:t>
            </w:r>
          </w:p>
        </w:tc>
        <w:tc>
          <w:tcPr>
            <w:tcW w:type="dxa" w:w="4819"/>
          </w:tcPr>
          <w:p>
            <w:r/>
            <w:r>
              <w:rPr>
                <w:sz w:val="19"/>
              </w:rPr>
              <w:t>~96 %</w:t>
            </w:r>
          </w:p>
        </w:tc>
      </w:tr>
      <w:tr>
        <w:tc>
          <w:tcPr>
            <w:tcW w:type="dxa" w:w="3402"/>
          </w:tcPr>
          <w:p>
            <w:r/>
            <w:r>
              <w:rPr>
                <w:b/>
                <w:sz w:val="19"/>
              </w:rPr>
              <w:t>Entrenamiento</w:t>
            </w:r>
          </w:p>
        </w:tc>
        <w:tc>
          <w:tcPr>
            <w:tcW w:type="dxa" w:w="4819"/>
          </w:tcPr>
          <w:p>
            <w:r/>
            <w:r>
              <w:rPr>
                <w:sz w:val="19"/>
              </w:rPr>
              <w:t>31.9 %</w:t>
            </w:r>
          </w:p>
        </w:tc>
      </w:tr>
      <w:tr>
        <w:tc>
          <w:tcPr>
            <w:tcW w:type="dxa" w:w="3402"/>
          </w:tcPr>
          <w:p>
            <w:r/>
            <w:r>
              <w:rPr>
                <w:b/>
                <w:sz w:val="19"/>
              </w:rPr>
              <w:t>Validación</w:t>
            </w:r>
          </w:p>
        </w:tc>
        <w:tc>
          <w:tcPr>
            <w:tcW w:type="dxa" w:w="4819"/>
          </w:tcPr>
          <w:p>
            <w:r/>
            <w:r>
              <w:rPr>
                <w:sz w:val="19"/>
              </w:rPr>
              <w:t>100 %</w:t>
            </w:r>
          </w:p>
        </w:tc>
      </w:tr>
      <w:tr>
        <w:tc>
          <w:tcPr>
            <w:tcW w:type="dxa" w:w="3402"/>
          </w:tcPr>
          <w:p>
            <w:r/>
            <w:r>
              <w:rPr>
                <w:b/>
                <w:sz w:val="19"/>
              </w:rPr>
              <w:t>Prueba</w:t>
            </w:r>
          </w:p>
        </w:tc>
        <w:tc>
          <w:tcPr>
            <w:tcW w:type="dxa" w:w="4819"/>
          </w:tcPr>
          <w:p>
            <w:r/>
            <w:r>
              <w:rPr>
                <w:sz w:val="19"/>
              </w:rPr>
              <w:t>100 %</w:t>
            </w:r>
          </w:p>
        </w:tc>
      </w:tr>
    </w:tbl>
    <w:p>
      <w:pPr>
        <w:spacing w:after="80"/>
      </w:pP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9518"/>
      </w:tblGrid>
      <w:tr>
        <w:tc>
          <w:tcPr>
            <w:tcW w:type="dxa" w:w="9518"/>
            <w:shd w:val="clear" w:fill="FBF0EF"/>
          </w:tcPr>
          <w:p>
            <w:r/>
            <w:r>
              <w:rPr>
                <w:b/>
                <w:color w:val="8C1D18"/>
                <w:sz w:val="21"/>
              </w:rPr>
              <w:t>Esto no es un faltante aleatorio: es un cambio de régimen alineado con la partición</w:t>
            </w:r>
          </w:p>
          <w:p>
            <w:pPr>
              <w:jc w:val="both"/>
            </w:pPr>
            <w:r>
              <w:rPr>
                <w:sz w:val="20"/>
              </w:rPr>
              <w:t>La variable significa una cosa en entrenamiento y otra en prueba. Es exactamente el punto que planteó el asesor.</w:t>
            </w:r>
          </w:p>
        </w:tc>
      </w:tr>
    </w:tbl>
    <w:p>
      <w:pPr>
        <w:spacing w:after="80"/>
      </w:pPr>
    </w:p>
    <w:p>
      <w:pPr>
        <w:pStyle w:val="Heading3"/>
      </w:pPr>
      <w:r>
        <w:rPr>
          <w:rFonts w:ascii="Calibri" w:hAnsi="Calibri"/>
          <w:color w:val="1F3A5F"/>
        </w:rPr>
        <w:t>Qué se hizo con eso</w:t>
      </w:r>
    </w:p>
    <w:p>
      <w:pPr>
        <w:spacing w:after="120"/>
        <w:jc w:val="both"/>
      </w:pPr>
      <w:r>
        <w:rPr>
          <w:i w:val="0"/>
          <w:sz w:val="21"/>
        </w:rPr>
        <w:t>El asesor planteó una alternativa razonable: si buena parte de los datos tiene la fecha estimada, quizá convenga eliminar la señal ahí en vez de darla con un rezago que puede ser ruido y hacer que el agente descarte los fundamentales en general. Se midió y se resolvió así:</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759"/>
        <w:gridCol w:w="4759"/>
      </w:tblGrid>
      <w:tr>
        <w:tc>
          <w:tcPr>
            <w:tcW w:type="dxa" w:w="2835"/>
            <w:shd w:val="clear" w:fill="1F3A5F"/>
          </w:tcPr>
          <w:p>
            <w:r/>
            <w:r>
              <w:rPr>
                <w:b/>
                <w:color w:val="FFFFFF"/>
                <w:sz w:val="19"/>
              </w:rPr>
              <w:t>Hallazgo</w:t>
            </w:r>
          </w:p>
        </w:tc>
        <w:tc>
          <w:tcPr>
            <w:tcW w:type="dxa" w:w="5386"/>
            <w:shd w:val="clear" w:fill="1F3A5F"/>
          </w:tcPr>
          <w:p>
            <w:r/>
            <w:r>
              <w:rPr>
                <w:b/>
                <w:color w:val="FFFFFF"/>
                <w:sz w:val="19"/>
              </w:rPr>
              <w:t>Consecuencia</w:t>
            </w:r>
          </w:p>
        </w:tc>
      </w:tr>
      <w:tr>
        <w:tc>
          <w:tcPr>
            <w:tcW w:type="dxa" w:w="2835"/>
          </w:tcPr>
          <w:p>
            <w:r/>
            <w:r>
              <w:rPr>
                <w:b/>
                <w:sz w:val="19"/>
              </w:rPr>
              <w:t>El rezago mediano es de 10 días</w:t>
            </w:r>
          </w:p>
        </w:tc>
        <w:tc>
          <w:tcPr>
            <w:tcW w:type="dxa" w:w="5386"/>
          </w:tcPr>
          <w:p>
            <w:r/>
            <w:r>
              <w:rPr>
                <w:sz w:val="19"/>
              </w:rPr>
              <w:t>Los fundamentales entran como NIVEL que se arrastra hasta el trimestre siguiente, no como sorpresa en el anuncio. Un corrimiento de 10 días sobre un escalón de ~90 deja ~11 % de los días con el valor previo. Diluye, no destruye.</w:t>
            </w:r>
          </w:p>
        </w:tc>
      </w:tr>
      <w:tr>
        <w:tc>
          <w:tcPr>
            <w:tcW w:type="dxa" w:w="2835"/>
          </w:tcPr>
          <w:p>
            <w:r/>
            <w:r>
              <w:rPr>
                <w:b/>
                <w:sz w:val="19"/>
              </w:rPr>
              <w:t>Eliminar vaciaría el entrenamiento, no la prueba</w:t>
            </w:r>
          </w:p>
        </w:tc>
        <w:tc>
          <w:tcPr>
            <w:tcW w:type="dxa" w:w="5386"/>
          </w:tcPr>
          <w:p>
            <w:r/>
            <w:r>
              <w:rPr>
                <w:sz w:val="19"/>
              </w:rPr>
              <w:t>Pasaría de 231 a 75 observaciones trimestrales. Se entrenaría un agente que casi no vio fundamentales y se lo evaluaría donde sí están y están bien fechados. El remedio sería peor.</w:t>
            </w:r>
          </w:p>
        </w:tc>
      </w:tr>
      <w:tr>
        <w:tc>
          <w:tcPr>
            <w:tcW w:type="dxa" w:w="2835"/>
          </w:tcPr>
          <w:p>
            <w:r/>
            <w:r>
              <w:rPr>
                <w:b/>
                <w:sz w:val="19"/>
              </w:rPr>
              <w:t>Se optó por MARCAR</w:t>
            </w:r>
          </w:p>
        </w:tc>
        <w:tc>
          <w:tcPr>
            <w:tcW w:type="dxa" w:w="5386"/>
          </w:tcPr>
          <w:p>
            <w:r/>
            <w:r>
              <w:rPr>
                <w:sz w:val="19"/>
              </w:rPr>
              <w:t>Cada observación lleva una bandera que indica si la fecha es real o estimada. El agente puede condicionar, y la propuesta de eliminar queda registrada como un brazo del estudio de ablación: se decide con evidencia, no a priori.</w:t>
            </w:r>
          </w:p>
        </w:tc>
      </w:tr>
    </w:tbl>
    <w:p>
      <w:pPr>
        <w:spacing w:after="80"/>
      </w:pP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9518"/>
      </w:tblGrid>
      <w:tr>
        <w:tc>
          <w:tcPr>
            <w:tcW w:type="dxa" w:w="9518"/>
            <w:shd w:val="clear" w:fill="FBF0EF"/>
          </w:tcPr>
          <w:p>
            <w:r/>
            <w:r>
              <w:rPr>
                <w:b/>
                <w:color w:val="8C1D18"/>
                <w:sz w:val="21"/>
              </w:rPr>
              <w:t>Un hallazgo colateral que sí era un error</w:t>
            </w:r>
          </w:p>
          <w:p>
            <w:pPr>
              <w:jc w:val="both"/>
            </w:pPr>
            <w:r>
              <w:rPr>
                <w:sz w:val="20"/>
              </w:rPr>
              <w:t>El rezago estimado estaba calibrado contra el universo ANTERIOR. InRetail entró después y presenta sus estados entre 43 y 47 días del cierre, cuando el resto lo hace hacia los 30. El rezago genérico le ADELANTABA la información entre cinco y siete días en cada trimestre del tramo estimado — sesgo de anticipación real. Se corrigió calibrando el rezago por emisor con su propia distribución histórica: el sesgo pasó de 12.6 % a 1.9 % de los períodos, y lo que queda son las prórrogas de emergencia por COVID, documentadas.</w:t>
            </w:r>
          </w:p>
        </w:tc>
      </w:tr>
    </w:tbl>
    <w:p>
      <w:pPr>
        <w:spacing w:after="80"/>
      </w:pPr>
    </w:p>
    <w:p>
      <w:r>
        <w:br w:type="page"/>
      </w:r>
    </w:p>
    <w:p>
      <w:pPr>
        <w:pStyle w:val="Heading2"/>
      </w:pPr>
      <w:r>
        <w:rPr>
          <w:rFonts w:ascii="Calibri" w:hAnsi="Calibri"/>
          <w:color w:val="1F3A5F"/>
        </w:rPr>
        <w:t>3.3 Sentimiento de prensa</w:t>
      </w:r>
    </w:p>
    <w:p>
      <w:pPr>
        <w:spacing w:after="120"/>
        <w:jc w:val="both"/>
      </w:pPr>
      <w:r>
        <w:rPr>
          <w:i w:val="0"/>
          <w:sz w:val="21"/>
        </w:rPr>
        <w:t>Es el canal más laborioso y el más incierto. Se explica con algo de detalle porque es donde la tesis se juega su componente de inteligencia artificial.</w:t>
      </w:r>
    </w:p>
    <w:p>
      <w:pPr>
        <w:spacing w:after="120"/>
        <w:jc w:val="both"/>
      </w:pPr>
      <w:r>
        <w:rPr>
          <w:i w:val="0"/>
          <w:sz w:val="21"/>
        </w:rPr>
        <w:t>Se recolectaron 19,528 titulares de prensa peruana (Gestión, El Comercio, La República) entre 2012 y 2025, para los siete emisores. Un modelo de lenguaje de código abierto, ejecutado localmente, clasifica cada titular en una de quince categorías de evento y, solo si la categoría es un hecho de la empresa, indica la polaridad esperada sobre el valor de la acción.</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9518"/>
      </w:tblGrid>
      <w:tr>
        <w:tc>
          <w:tcPr>
            <w:tcW w:type="dxa" w:w="9518"/>
            <w:shd w:val="clear" w:fill="EEF2F7"/>
          </w:tcPr>
          <w:p>
            <w:r/>
            <w:r>
              <w:rPr>
                <w:b/>
                <w:color w:val="1F3A5F"/>
                <w:sz w:val="21"/>
              </w:rPr>
              <w:t>La decisión de diseño central</w:t>
            </w:r>
          </w:p>
          <w:p>
            <w:pPr>
              <w:jc w:val="both"/>
            </w:pPr>
            <w:r>
              <w:rPr>
                <w:sz w:val="20"/>
              </w:rPr>
              <w:t>Al modelo se le pide una tarea OBJETIVA (¿de qué tipo es este evento?) y NO una tarea de juicio (¿qué tan importante es?). La importancia la fija el autor por adelantado, asignando cada categoría a un tramo de relevancia. Razones: la clasificación de tipo es auditable en la sustentación y un juicio de importancia emitido por un modelo no lo es; se midió que la autoevaluación del modelo no discrimina —su «confianza» es casi igual en aciertos que en errores—; y recalibrar la relevancia después no obliga a reprocesar el corpus.</w:t>
            </w:r>
          </w:p>
        </w:tc>
      </w:tr>
    </w:tbl>
    <w:p>
      <w:pPr>
        <w:spacing w:after="80"/>
      </w:pPr>
    </w:p>
    <w:p>
      <w:pPr>
        <w:spacing w:after="120"/>
        <w:jc w:val="both"/>
      </w:pPr>
      <w:r>
        <w:rPr>
          <w:i w:val="0"/>
          <w:sz w:val="21"/>
        </w:rPr>
        <w:t>Las categorías de relevancia cero son el filtro: en vez de un «no sé», las categorías que no son hechos de la empresa (mención incidental, crónica de bolsa, publicidad, nota sectorial) tienen relevancia cero por construcción, y se les fuerza polaridad nula aunque el modelo opine otra cosa. Esto eliminó por diseño el error dominante de la primera versión: 49 % de las etiquetas con signo venían de noticias que no hablaban de la empresa.</w:t>
      </w:r>
    </w:p>
    <w:p>
      <w:pPr>
        <w:pStyle w:val="Heading3"/>
      </w:pPr>
      <w:r>
        <w:rPr>
          <w:rFonts w:ascii="Calibri" w:hAnsi="Calibri"/>
          <w:color w:val="1F3A5F"/>
        </w:rPr>
        <w:t>Cuánto de ese corpus es realmente información</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759"/>
        <w:gridCol w:w="4759"/>
      </w:tblGrid>
      <w:tr>
        <w:tc>
          <w:tcPr>
            <w:tcW w:type="dxa" w:w="3402"/>
            <w:shd w:val="clear" w:fill="1F3A5F"/>
          </w:tcPr>
          <w:p>
            <w:r/>
            <w:r>
              <w:rPr>
                <w:b/>
                <w:color w:val="FFFFFF"/>
                <w:sz w:val="19"/>
              </w:rPr>
              <w:t>Medición</w:t>
            </w:r>
          </w:p>
        </w:tc>
        <w:tc>
          <w:tcPr>
            <w:tcW w:type="dxa" w:w="4819"/>
            <w:shd w:val="clear" w:fill="1F3A5F"/>
          </w:tcPr>
          <w:p>
            <w:r/>
            <w:r>
              <w:rPr>
                <w:b/>
                <w:color w:val="FFFFFF"/>
                <w:sz w:val="19"/>
              </w:rPr>
              <w:t>Resultado</w:t>
            </w:r>
          </w:p>
        </w:tc>
      </w:tr>
      <w:tr>
        <w:tc>
          <w:tcPr>
            <w:tcW w:type="dxa" w:w="3402"/>
          </w:tcPr>
          <w:p>
            <w:r/>
            <w:r>
              <w:rPr>
                <w:b/>
                <w:sz w:val="19"/>
              </w:rPr>
              <w:t>Titulares recolectados</w:t>
            </w:r>
          </w:p>
        </w:tc>
        <w:tc>
          <w:tcPr>
            <w:tcW w:type="dxa" w:w="4819"/>
          </w:tcPr>
          <w:p>
            <w:r/>
            <w:r>
              <w:rPr>
                <w:sz w:val="19"/>
              </w:rPr>
              <w:t>19,528 (2012–2025, siete emisores)</w:t>
            </w:r>
          </w:p>
        </w:tc>
      </w:tr>
      <w:tr>
        <w:tc>
          <w:tcPr>
            <w:tcW w:type="dxa" w:w="3402"/>
          </w:tcPr>
          <w:p>
            <w:r/>
            <w:r>
              <w:rPr>
                <w:b/>
                <w:sz w:val="19"/>
              </w:rPr>
              <w:t>Son un hecho concreto del emisor</w:t>
            </w:r>
          </w:p>
        </w:tc>
        <w:tc>
          <w:tcPr>
            <w:tcW w:type="dxa" w:w="4819"/>
          </w:tcPr>
          <w:p>
            <w:r/>
            <w:r>
              <w:rPr>
                <w:sz w:val="19"/>
              </w:rPr>
              <w:t>7.2 % ± 2.8 pp — sobre muestra de 550 titulares anotada a mano por el autor, a ciegas</w:t>
            </w:r>
          </w:p>
        </w:tc>
      </w:tr>
      <w:tr>
        <w:tc>
          <w:tcPr>
            <w:tcW w:type="dxa" w:w="3402"/>
          </w:tcPr>
          <w:p>
            <w:r/>
            <w:r>
              <w:rPr>
                <w:b/>
                <w:sz w:val="19"/>
              </w:rPr>
              <w:t>Titulares que nombran a la empresa</w:t>
            </w:r>
          </w:p>
        </w:tc>
        <w:tc>
          <w:tcPr>
            <w:tcW w:type="dxa" w:w="4819"/>
          </w:tcPr>
          <w:p>
            <w:r/>
            <w:r>
              <w:rPr>
                <w:sz w:val="19"/>
              </w:rPr>
              <w:t>16 % del corpus</w:t>
            </w:r>
          </w:p>
        </w:tc>
      </w:tr>
      <w:tr>
        <w:tc>
          <w:tcPr>
            <w:tcW w:type="dxa" w:w="3402"/>
          </w:tcPr>
          <w:p>
            <w:r/>
            <w:r>
              <w:rPr>
                <w:b/>
                <w:sz w:val="19"/>
              </w:rPr>
              <w:t>Relevancia en ese estrato</w:t>
            </w:r>
          </w:p>
        </w:tc>
        <w:tc>
          <w:tcPr>
            <w:tcW w:type="dxa" w:w="4819"/>
          </w:tcPr>
          <w:p>
            <w:r/>
            <w:r>
              <w:rPr>
                <w:sz w:val="19"/>
              </w:rPr>
              <w:t>63.8 %, contra 2.1 % en el resto</w:t>
            </w:r>
          </w:p>
        </w:tc>
      </w:tr>
    </w:tbl>
    <w:p>
      <w:pPr>
        <w:spacing w:after="80"/>
      </w:pPr>
    </w:p>
    <w:p>
      <w:pPr>
        <w:pStyle w:val="Heading3"/>
      </w:pPr>
      <w:r>
        <w:rPr>
          <w:rFonts w:ascii="Calibri" w:hAnsi="Calibri"/>
          <w:color w:val="1F3A5F"/>
        </w:rPr>
        <w:t>Resultado de la clasificación completa</w:t>
      </w:r>
    </w:p>
    <w:p>
      <w:pPr>
        <w:spacing w:after="120"/>
        <w:jc w:val="both"/>
      </w:pPr>
      <w:r>
        <w:rPr>
          <w:i w:val="0"/>
          <w:sz w:val="21"/>
        </w:rPr>
        <w:t>La corrida sobre los 19,513 titulares terminó el 1 de septiembre de 2026. El modelo etiqueta 2,237 como hecho de la empresa: 11.5 % del corpus. Ese número está por encima del 7.2 % porque el modelo sobre-declara relevancia — su precisión en esa tarea se midió en 59.3 %. Corrigiendo por ella, las dos vías de estimación convergen.</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3173"/>
        <w:gridCol w:w="3173"/>
        <w:gridCol w:w="3173"/>
      </w:tblGrid>
      <w:tr>
        <w:tc>
          <w:tcPr>
            <w:tcW w:type="dxa" w:w="2948"/>
            <w:shd w:val="clear" w:fill="1F3A5F"/>
          </w:tcPr>
          <w:p>
            <w:r/>
            <w:r>
              <w:rPr>
                <w:b/>
                <w:color w:val="FFFFFF"/>
                <w:sz w:val="19"/>
              </w:rPr>
              <w:t>Vía de estimación</w:t>
            </w:r>
          </w:p>
        </w:tc>
        <w:tc>
          <w:tcPr>
            <w:tcW w:type="dxa" w:w="2438"/>
            <w:shd w:val="clear" w:fill="1F3A5F"/>
          </w:tcPr>
          <w:p>
            <w:r/>
            <w:r>
              <w:rPr>
                <w:b/>
                <w:color w:val="FFFFFF"/>
                <w:sz w:val="19"/>
              </w:rPr>
              <w:t>Cálculo</w:t>
            </w:r>
          </w:p>
        </w:tc>
        <w:tc>
          <w:tcPr>
            <w:tcW w:type="dxa" w:w="2835"/>
            <w:shd w:val="clear" w:fill="1F3A5F"/>
          </w:tcPr>
          <w:p>
            <w:r/>
            <w:r>
              <w:rPr>
                <w:b/>
                <w:color w:val="FFFFFF"/>
                <w:sz w:val="19"/>
              </w:rPr>
              <w:t>Eventos verdaderos</w:t>
            </w:r>
          </w:p>
        </w:tc>
      </w:tr>
      <w:tr>
        <w:tc>
          <w:tcPr>
            <w:tcW w:type="dxa" w:w="2948"/>
          </w:tcPr>
          <w:p>
            <w:r/>
            <w:r>
              <w:rPr>
                <w:b/>
                <w:sz w:val="19"/>
              </w:rPr>
              <w:t>Por el clasificador</w:t>
            </w:r>
          </w:p>
        </w:tc>
        <w:tc>
          <w:tcPr>
            <w:tcW w:type="dxa" w:w="2438"/>
          </w:tcPr>
          <w:p>
            <w:r/>
            <w:r>
              <w:rPr>
                <w:sz w:val="19"/>
              </w:rPr>
              <w:t>2,237 × 0.593</w:t>
            </w:r>
          </w:p>
        </w:tc>
        <w:tc>
          <w:tcPr>
            <w:tcW w:type="dxa" w:w="2835"/>
          </w:tcPr>
          <w:p>
            <w:r/>
            <w:r>
              <w:rPr>
                <w:sz w:val="19"/>
              </w:rPr>
              <w:t>1,327</w:t>
            </w:r>
          </w:p>
        </w:tc>
      </w:tr>
      <w:tr>
        <w:tc>
          <w:tcPr>
            <w:tcW w:type="dxa" w:w="2948"/>
          </w:tcPr>
          <w:p>
            <w:r/>
            <w:r>
              <w:rPr>
                <w:b/>
                <w:sz w:val="19"/>
              </w:rPr>
              <w:t>Por la anotación humana</w:t>
            </w:r>
          </w:p>
        </w:tc>
        <w:tc>
          <w:tcPr>
            <w:tcW w:type="dxa" w:w="2438"/>
          </w:tcPr>
          <w:p>
            <w:r/>
            <w:r>
              <w:rPr>
                <w:sz w:val="19"/>
              </w:rPr>
              <w:t>19,513 × 0.072</w:t>
            </w:r>
          </w:p>
        </w:tc>
        <w:tc>
          <w:tcPr>
            <w:tcW w:type="dxa" w:w="2835"/>
          </w:tcPr>
          <w:p>
            <w:r/>
            <w:r>
              <w:rPr>
                <w:sz w:val="19"/>
              </w:rPr>
              <w:t>1,405</w:t>
            </w:r>
          </w:p>
        </w:tc>
      </w:tr>
      <w:tr>
        <w:tc>
          <w:tcPr>
            <w:tcW w:type="dxa" w:w="2948"/>
          </w:tcPr>
          <w:p>
            <w:r/>
            <w:r>
              <w:rPr>
                <w:b/>
                <w:sz w:val="19"/>
              </w:rPr>
              <w:t>Diferencia</w:t>
            </w:r>
          </w:p>
        </w:tc>
        <w:tc>
          <w:tcPr>
            <w:tcW w:type="dxa" w:w="2438"/>
          </w:tcPr>
          <w:p>
            <w:r/>
            <w:r>
              <w:rPr>
                <w:sz w:val="19"/>
              </w:rPr>
            </w:r>
          </w:p>
        </w:tc>
        <w:tc>
          <w:tcPr>
            <w:tcW w:type="dxa" w:w="2835"/>
          </w:tcPr>
          <w:p>
            <w:r/>
            <w:r>
              <w:rPr>
                <w:sz w:val="19"/>
              </w:rPr>
              <w:t>6 %</w:t>
            </w:r>
          </w:p>
        </w:tc>
      </w:tr>
    </w:tbl>
    <w:p>
      <w:pPr>
        <w:spacing w:after="80"/>
      </w:pP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9518"/>
      </w:tblGrid>
      <w:tr>
        <w:tc>
          <w:tcPr>
            <w:tcW w:type="dxa" w:w="9518"/>
            <w:shd w:val="clear" w:fill="EEF2F7"/>
          </w:tcPr>
          <w:p>
            <w:r/>
            <w:r>
              <w:rPr>
                <w:b/>
                <w:color w:val="1F3A5F"/>
                <w:sz w:val="21"/>
              </w:rPr>
              <w:t>Por qué esta coincidencia importa</w:t>
            </w:r>
          </w:p>
          <w:p>
            <w:pPr>
              <w:jc w:val="both"/>
            </w:pPr>
            <w:r>
              <w:rPr>
                <w:sz w:val="20"/>
              </w:rPr>
              <w:t>Dos caminos independientes —uno estadístico sobre una muestra anotada a mano, otro por conteo directo del clasificador corregido por su precisión— dan el mismo orden de magnitud. Es la validación más fuerte que tiene el canal hoy.</w:t>
            </w:r>
          </w:p>
        </w:tc>
      </w:tr>
    </w:tbl>
    <w:p>
      <w:pPr>
        <w:spacing w:after="80"/>
      </w:pP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1904"/>
        <w:gridCol w:w="1904"/>
        <w:gridCol w:w="1904"/>
        <w:gridCol w:w="1904"/>
        <w:gridCol w:w="1904"/>
      </w:tblGrid>
      <w:tr>
        <w:tc>
          <w:tcPr>
            <w:tcW w:type="dxa" w:w="1644"/>
            <w:shd w:val="clear" w:fill="1F3A5F"/>
          </w:tcPr>
          <w:p>
            <w:r/>
            <w:r>
              <w:rPr>
                <w:b/>
                <w:color w:val="FFFFFF"/>
                <w:sz w:val="19"/>
              </w:rPr>
              <w:t>Emisor</w:t>
            </w:r>
          </w:p>
        </w:tc>
        <w:tc>
          <w:tcPr>
            <w:tcW w:type="dxa" w:w="1644"/>
            <w:shd w:val="clear" w:fill="1F3A5F"/>
          </w:tcPr>
          <w:p>
            <w:r/>
            <w:r>
              <w:rPr>
                <w:b/>
                <w:color w:val="FFFFFF"/>
                <w:sz w:val="19"/>
              </w:rPr>
              <w:t>Artículos</w:t>
            </w:r>
          </w:p>
        </w:tc>
        <w:tc>
          <w:tcPr>
            <w:tcW w:type="dxa" w:w="1474"/>
            <w:shd w:val="clear" w:fill="1F3A5F"/>
          </w:tcPr>
          <w:p>
            <w:r/>
            <w:r>
              <w:rPr>
                <w:b/>
                <w:color w:val="FFFFFF"/>
                <w:sz w:val="19"/>
              </w:rPr>
              <w:t>Eventos</w:t>
            </w:r>
          </w:p>
        </w:tc>
        <w:tc>
          <w:tcPr>
            <w:tcW w:type="dxa" w:w="1701"/>
            <w:shd w:val="clear" w:fill="1F3A5F"/>
          </w:tcPr>
          <w:p>
            <w:r/>
            <w:r>
              <w:rPr>
                <w:b/>
                <w:color w:val="FFFFFF"/>
                <w:sz w:val="19"/>
              </w:rPr>
              <w:t>Eventos/año</w:t>
            </w:r>
          </w:p>
        </w:tc>
        <w:tc>
          <w:tcPr>
            <w:tcW w:type="dxa" w:w="1757"/>
            <w:shd w:val="clear" w:fill="1F3A5F"/>
          </w:tcPr>
          <w:p>
            <w:r/>
            <w:r>
              <w:rPr>
                <w:b/>
                <w:color w:val="FFFFFF"/>
                <w:sz w:val="19"/>
              </w:rPr>
              <w:t>Días con evento</w:t>
            </w:r>
          </w:p>
        </w:tc>
      </w:tr>
      <w:tr>
        <w:tc>
          <w:tcPr>
            <w:tcW w:type="dxa" w:w="1644"/>
          </w:tcPr>
          <w:p>
            <w:r/>
            <w:r>
              <w:rPr>
                <w:b/>
                <w:sz w:val="19"/>
              </w:rPr>
              <w:t>CREDITC1</w:t>
            </w:r>
          </w:p>
        </w:tc>
        <w:tc>
          <w:tcPr>
            <w:tcW w:type="dxa" w:w="1644"/>
          </w:tcPr>
          <w:p>
            <w:r/>
            <w:r>
              <w:rPr>
                <w:sz w:val="19"/>
              </w:rPr>
              <w:t>10,025</w:t>
            </w:r>
          </w:p>
        </w:tc>
        <w:tc>
          <w:tcPr>
            <w:tcW w:type="dxa" w:w="1474"/>
          </w:tcPr>
          <w:p>
            <w:r/>
            <w:r>
              <w:rPr>
                <w:sz w:val="19"/>
              </w:rPr>
              <w:t>889</w:t>
            </w:r>
          </w:p>
        </w:tc>
        <w:tc>
          <w:tcPr>
            <w:tcW w:type="dxa" w:w="1701"/>
          </w:tcPr>
          <w:p>
            <w:r/>
            <w:r>
              <w:rPr>
                <w:sz w:val="19"/>
              </w:rPr>
              <w:t>63.5</w:t>
            </w:r>
          </w:p>
        </w:tc>
        <w:tc>
          <w:tcPr>
            <w:tcW w:type="dxa" w:w="1757"/>
          </w:tcPr>
          <w:p>
            <w:r/>
            <w:r>
              <w:rPr>
                <w:sz w:val="19"/>
              </w:rPr>
              <w:t>631</w:t>
            </w:r>
          </w:p>
        </w:tc>
      </w:tr>
      <w:tr>
        <w:tc>
          <w:tcPr>
            <w:tcW w:type="dxa" w:w="1644"/>
          </w:tcPr>
          <w:p>
            <w:r/>
            <w:r>
              <w:rPr>
                <w:b/>
                <w:sz w:val="19"/>
              </w:rPr>
              <w:t>INRETC1</w:t>
            </w:r>
          </w:p>
        </w:tc>
        <w:tc>
          <w:tcPr>
            <w:tcW w:type="dxa" w:w="1644"/>
          </w:tcPr>
          <w:p>
            <w:r/>
            <w:r>
              <w:rPr>
                <w:sz w:val="19"/>
              </w:rPr>
              <w:t>3,199</w:t>
            </w:r>
          </w:p>
        </w:tc>
        <w:tc>
          <w:tcPr>
            <w:tcW w:type="dxa" w:w="1474"/>
          </w:tcPr>
          <w:p>
            <w:r/>
            <w:r>
              <w:rPr>
                <w:sz w:val="19"/>
              </w:rPr>
              <w:t>499</w:t>
            </w:r>
          </w:p>
        </w:tc>
        <w:tc>
          <w:tcPr>
            <w:tcW w:type="dxa" w:w="1701"/>
          </w:tcPr>
          <w:p>
            <w:r/>
            <w:r>
              <w:rPr>
                <w:sz w:val="19"/>
              </w:rPr>
              <w:t>35.7</w:t>
            </w:r>
          </w:p>
        </w:tc>
        <w:tc>
          <w:tcPr>
            <w:tcW w:type="dxa" w:w="1757"/>
          </w:tcPr>
          <w:p>
            <w:r/>
            <w:r>
              <w:rPr>
                <w:sz w:val="19"/>
              </w:rPr>
              <w:t>363</w:t>
            </w:r>
          </w:p>
        </w:tc>
      </w:tr>
      <w:tr>
        <w:tc>
          <w:tcPr>
            <w:tcW w:type="dxa" w:w="1644"/>
          </w:tcPr>
          <w:p>
            <w:r/>
            <w:r>
              <w:rPr>
                <w:b/>
                <w:sz w:val="19"/>
              </w:rPr>
              <w:t>ALICORC1</w:t>
            </w:r>
          </w:p>
        </w:tc>
        <w:tc>
          <w:tcPr>
            <w:tcW w:type="dxa" w:w="1644"/>
          </w:tcPr>
          <w:p>
            <w:r/>
            <w:r>
              <w:rPr>
                <w:sz w:val="19"/>
              </w:rPr>
              <w:t>1,719</w:t>
            </w:r>
          </w:p>
        </w:tc>
        <w:tc>
          <w:tcPr>
            <w:tcW w:type="dxa" w:w="1474"/>
          </w:tcPr>
          <w:p>
            <w:r/>
            <w:r>
              <w:rPr>
                <w:sz w:val="19"/>
              </w:rPr>
              <w:t>258</w:t>
            </w:r>
          </w:p>
        </w:tc>
        <w:tc>
          <w:tcPr>
            <w:tcW w:type="dxa" w:w="1701"/>
          </w:tcPr>
          <w:p>
            <w:r/>
            <w:r>
              <w:rPr>
                <w:sz w:val="19"/>
              </w:rPr>
              <w:t>18.4</w:t>
            </w:r>
          </w:p>
        </w:tc>
        <w:tc>
          <w:tcPr>
            <w:tcW w:type="dxa" w:w="1757"/>
          </w:tcPr>
          <w:p>
            <w:r/>
            <w:r>
              <w:rPr>
                <w:sz w:val="19"/>
              </w:rPr>
              <w:t>205</w:t>
            </w:r>
          </w:p>
        </w:tc>
      </w:tr>
      <w:tr>
        <w:tc>
          <w:tcPr>
            <w:tcW w:type="dxa" w:w="1644"/>
          </w:tcPr>
          <w:p>
            <w:r/>
            <w:r>
              <w:rPr>
                <w:b/>
                <w:sz w:val="19"/>
              </w:rPr>
              <w:t>LUSURC1</w:t>
            </w:r>
          </w:p>
        </w:tc>
        <w:tc>
          <w:tcPr>
            <w:tcW w:type="dxa" w:w="1644"/>
          </w:tcPr>
          <w:p>
            <w:r/>
            <w:r>
              <w:rPr>
                <w:sz w:val="19"/>
              </w:rPr>
              <w:t>1,055</w:t>
            </w:r>
          </w:p>
        </w:tc>
        <w:tc>
          <w:tcPr>
            <w:tcW w:type="dxa" w:w="1474"/>
          </w:tcPr>
          <w:p>
            <w:r/>
            <w:r>
              <w:rPr>
                <w:sz w:val="19"/>
              </w:rPr>
              <w:t>217</w:t>
            </w:r>
          </w:p>
        </w:tc>
        <w:tc>
          <w:tcPr>
            <w:tcW w:type="dxa" w:w="1701"/>
          </w:tcPr>
          <w:p>
            <w:r/>
            <w:r>
              <w:rPr>
                <w:sz w:val="19"/>
              </w:rPr>
              <w:t>15.5</w:t>
            </w:r>
          </w:p>
        </w:tc>
        <w:tc>
          <w:tcPr>
            <w:tcW w:type="dxa" w:w="1757"/>
          </w:tcPr>
          <w:p>
            <w:r/>
            <w:r>
              <w:rPr>
                <w:sz w:val="19"/>
              </w:rPr>
              <w:t>184</w:t>
            </w:r>
          </w:p>
        </w:tc>
      </w:tr>
      <w:tr>
        <w:tc>
          <w:tcPr>
            <w:tcW w:type="dxa" w:w="1644"/>
          </w:tcPr>
          <w:p>
            <w:r/>
            <w:r>
              <w:rPr>
                <w:b/>
                <w:sz w:val="19"/>
              </w:rPr>
              <w:t>MINSURI1</w:t>
            </w:r>
          </w:p>
        </w:tc>
        <w:tc>
          <w:tcPr>
            <w:tcW w:type="dxa" w:w="1644"/>
          </w:tcPr>
          <w:p>
            <w:r/>
            <w:r>
              <w:rPr>
                <w:sz w:val="19"/>
              </w:rPr>
              <w:t>920</w:t>
            </w:r>
          </w:p>
        </w:tc>
        <w:tc>
          <w:tcPr>
            <w:tcW w:type="dxa" w:w="1474"/>
          </w:tcPr>
          <w:p>
            <w:r/>
            <w:r>
              <w:rPr>
                <w:sz w:val="19"/>
              </w:rPr>
              <w:t>154</w:t>
            </w:r>
          </w:p>
        </w:tc>
        <w:tc>
          <w:tcPr>
            <w:tcW w:type="dxa" w:w="1701"/>
          </w:tcPr>
          <w:p>
            <w:r/>
            <w:r>
              <w:rPr>
                <w:sz w:val="19"/>
              </w:rPr>
              <w:t>11.0</w:t>
            </w:r>
          </w:p>
        </w:tc>
        <w:tc>
          <w:tcPr>
            <w:tcW w:type="dxa" w:w="1757"/>
          </w:tcPr>
          <w:p>
            <w:r/>
            <w:r>
              <w:rPr>
                <w:sz w:val="19"/>
              </w:rPr>
              <w:t>141</w:t>
            </w:r>
          </w:p>
        </w:tc>
      </w:tr>
      <w:tr>
        <w:tc>
          <w:tcPr>
            <w:tcW w:type="dxa" w:w="1644"/>
          </w:tcPr>
          <w:p>
            <w:r/>
            <w:r>
              <w:rPr>
                <w:b/>
                <w:sz w:val="19"/>
              </w:rPr>
              <w:t>FERREYC1</w:t>
            </w:r>
          </w:p>
        </w:tc>
        <w:tc>
          <w:tcPr>
            <w:tcW w:type="dxa" w:w="1644"/>
          </w:tcPr>
          <w:p>
            <w:r/>
            <w:r>
              <w:rPr>
                <w:sz w:val="19"/>
              </w:rPr>
              <w:t>1,752</w:t>
            </w:r>
          </w:p>
        </w:tc>
        <w:tc>
          <w:tcPr>
            <w:tcW w:type="dxa" w:w="1474"/>
          </w:tcPr>
          <w:p>
            <w:r/>
            <w:r>
              <w:rPr>
                <w:sz w:val="19"/>
              </w:rPr>
              <w:t>123</w:t>
            </w:r>
          </w:p>
        </w:tc>
        <w:tc>
          <w:tcPr>
            <w:tcW w:type="dxa" w:w="1701"/>
          </w:tcPr>
          <w:p>
            <w:r/>
            <w:r>
              <w:rPr>
                <w:sz w:val="19"/>
              </w:rPr>
              <w:t>8.8</w:t>
            </w:r>
          </w:p>
        </w:tc>
        <w:tc>
          <w:tcPr>
            <w:tcW w:type="dxa" w:w="1757"/>
          </w:tcPr>
          <w:p>
            <w:r/>
            <w:r>
              <w:rPr>
                <w:sz w:val="19"/>
              </w:rPr>
              <w:t>116</w:t>
            </w:r>
          </w:p>
        </w:tc>
      </w:tr>
      <w:tr>
        <w:tc>
          <w:tcPr>
            <w:tcW w:type="dxa" w:w="1644"/>
          </w:tcPr>
          <w:p>
            <w:r/>
            <w:r>
              <w:rPr>
                <w:b/>
                <w:sz w:val="19"/>
              </w:rPr>
              <w:t>CPACASC1</w:t>
            </w:r>
          </w:p>
        </w:tc>
        <w:tc>
          <w:tcPr>
            <w:tcW w:type="dxa" w:w="1644"/>
          </w:tcPr>
          <w:p>
            <w:r/>
            <w:r>
              <w:rPr>
                <w:sz w:val="19"/>
              </w:rPr>
              <w:t>843</w:t>
            </w:r>
          </w:p>
        </w:tc>
        <w:tc>
          <w:tcPr>
            <w:tcW w:type="dxa" w:w="1474"/>
          </w:tcPr>
          <w:p>
            <w:r/>
            <w:r>
              <w:rPr>
                <w:sz w:val="19"/>
              </w:rPr>
              <w:t>97</w:t>
            </w:r>
          </w:p>
        </w:tc>
        <w:tc>
          <w:tcPr>
            <w:tcW w:type="dxa" w:w="1701"/>
          </w:tcPr>
          <w:p>
            <w:r/>
            <w:r>
              <w:rPr>
                <w:sz w:val="19"/>
              </w:rPr>
              <w:t>6.9</w:t>
            </w:r>
          </w:p>
        </w:tc>
        <w:tc>
          <w:tcPr>
            <w:tcW w:type="dxa" w:w="1757"/>
          </w:tcPr>
          <w:p>
            <w:r/>
            <w:r>
              <w:rPr>
                <w:sz w:val="19"/>
              </w:rPr>
              <w:t>89</w:t>
            </w:r>
          </w:p>
        </w:tc>
      </w:tr>
      <w:tr>
        <w:tc>
          <w:tcPr>
            <w:tcW w:type="dxa" w:w="1644"/>
          </w:tcPr>
          <w:p>
            <w:r/>
            <w:r>
              <w:rPr>
                <w:b/>
                <w:sz w:val="19"/>
              </w:rPr>
              <w:t>TOTAL</w:t>
            </w:r>
          </w:p>
        </w:tc>
        <w:tc>
          <w:tcPr>
            <w:tcW w:type="dxa" w:w="1644"/>
          </w:tcPr>
          <w:p>
            <w:r/>
            <w:r>
              <w:rPr>
                <w:sz w:val="19"/>
              </w:rPr>
              <w:t>19,513</w:t>
            </w:r>
          </w:p>
        </w:tc>
        <w:tc>
          <w:tcPr>
            <w:tcW w:type="dxa" w:w="1474"/>
          </w:tcPr>
          <w:p>
            <w:r/>
            <w:r>
              <w:rPr>
                <w:sz w:val="19"/>
              </w:rPr>
              <w:t>2,237</w:t>
            </w:r>
          </w:p>
        </w:tc>
        <w:tc>
          <w:tcPr>
            <w:tcW w:type="dxa" w:w="1701"/>
          </w:tcPr>
          <w:p>
            <w:r/>
            <w:r>
              <w:rPr>
                <w:sz w:val="19"/>
              </w:rPr>
              <w:t>159.8</w:t>
            </w:r>
          </w:p>
        </w:tc>
        <w:tc>
          <w:tcPr>
            <w:tcW w:type="dxa" w:w="1757"/>
          </w:tcPr>
          <w:p>
            <w:r/>
            <w:r>
              <w:rPr>
                <w:sz w:val="19"/>
              </w:rPr>
              <w:t>—</w:t>
            </w:r>
          </w:p>
        </w:tc>
      </w:tr>
    </w:tbl>
    <w:p>
      <w:pPr>
        <w:spacing w:after="80"/>
      </w:pPr>
    </w:p>
    <w:p>
      <w:pPr>
        <w:spacing w:after="120"/>
        <w:jc w:val="both"/>
      </w:pPr>
      <w:r>
        <w:rPr>
          <w:i w:val="0"/>
          <w:sz w:val="21"/>
        </w:rPr>
        <w:t>Reparto de polaridad de esos 2,237 eventos: 46.0 % positivo, 34.9 % negativo, 19.2 % neutro. Los neutros son eventos que en el diseño anterior no entraban a ninguna columna y se perdían.</w:t>
      </w:r>
    </w:p>
    <w:p>
      <w:pPr>
        <w:spacing w:after="120"/>
        <w:jc w:val="both"/>
      </w:pPr>
      <w:r>
        <w:rPr>
          <w:i w:val="0"/>
          <w:sz w:val="21"/>
        </w:rPr>
        <w:t>La búsqueda opera sobre el cuerpo del artículo, así que entra todo el que mencione al emisor en cualquier parte: como fuente, como dato, como ejemplo. Decisión: se marca ese estrato pero no se descarta, y qué hacer con él se decide en la ablación.</w:t>
      </w:r>
    </w:p>
    <w:p>
      <w:pPr>
        <w:pStyle w:val="Heading3"/>
      </w:pPr>
      <w:r>
        <w:rPr>
          <w:rFonts w:ascii="Calibri" w:hAnsi="Calibri"/>
          <w:color w:val="1F3A5F"/>
        </w:rPr>
        <w:t>Cómo entra la temporalidad</w:t>
      </w:r>
    </w:p>
    <w:p>
      <w:pPr>
        <w:spacing w:after="120"/>
        <w:jc w:val="both"/>
      </w:pPr>
      <w:r>
        <w:rPr>
          <w:i w:val="0"/>
          <w:sz w:val="21"/>
        </w:rPr>
        <w:t>Un evento no vale lo mismo el día que ocurre que tres semanas después, pero tampoco desaparece de un día para otro. El tratamiento es:</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759"/>
        <w:gridCol w:w="4759"/>
      </w:tblGrid>
      <w:tr>
        <w:tc>
          <w:tcPr>
            <w:tcW w:type="dxa" w:w="2948"/>
            <w:shd w:val="clear" w:fill="1F3A5F"/>
          </w:tcPr>
          <w:p>
            <w:r/>
            <w:r>
              <w:rPr>
                <w:b/>
                <w:color w:val="FFFFFF"/>
                <w:sz w:val="19"/>
              </w:rPr>
              <w:t>Mecanismo</w:t>
            </w:r>
          </w:p>
        </w:tc>
        <w:tc>
          <w:tcPr>
            <w:tcW w:type="dxa" w:w="5272"/>
            <w:shd w:val="clear" w:fill="1F3A5F"/>
          </w:tcPr>
          <w:p>
            <w:r/>
            <w:r>
              <w:rPr>
                <w:b/>
                <w:color w:val="FFFFFF"/>
                <w:sz w:val="19"/>
              </w:rPr>
              <w:t>Por qué</w:t>
            </w:r>
          </w:p>
        </w:tc>
      </w:tr>
      <w:tr>
        <w:tc>
          <w:tcPr>
            <w:tcW w:type="dxa" w:w="2948"/>
          </w:tcPr>
          <w:p>
            <w:r/>
            <w:r>
              <w:rPr>
                <w:b/>
                <w:sz w:val="19"/>
              </w:rPr>
              <w:t>Decaimiento exponencial en tres escalas simultáneas: vidas medias de 5, 20 y 60 días hábiles</w:t>
            </w:r>
          </w:p>
        </w:tc>
        <w:tc>
          <w:tcPr>
            <w:tcW w:type="dxa" w:w="5272"/>
          </w:tcPr>
          <w:p>
            <w:r/>
            <w:r>
              <w:rPr>
                <w:sz w:val="19"/>
              </w:rPr>
              <w:t>El agente recibe las tres y aprende cuánto pesa cada una. Una mezcla de exponenciales representa más formas de decaimiento que una sola —por ejemplo, caída rápida con cola larga— y los pesos entran de forma lineal, que está mucho mejor condicionado que estimar una constante de decaimiento libre.</w:t>
            </w:r>
          </w:p>
        </w:tc>
      </w:tr>
      <w:tr>
        <w:tc>
          <w:tcPr>
            <w:tcW w:type="dxa" w:w="2948"/>
          </w:tcPr>
          <w:p>
            <w:r/>
            <w:r>
              <w:rPr>
                <w:b/>
                <w:sz w:val="19"/>
              </w:rPr>
              <w:t>Positivo, neutro y negativo en canales separados</w:t>
            </w:r>
          </w:p>
        </w:tc>
        <w:tc>
          <w:tcPr>
            <w:tcW w:type="dxa" w:w="5272"/>
          </w:tcPr>
          <w:p>
            <w:r/>
            <w:r>
              <w:rPr>
                <w:sz w:val="19"/>
              </w:rPr>
              <w:t>Una serie con signo colapsa: una buena y una mala el mismo día se cancelan y dan cero, indistinguible de «no pasó nada». Separadas permiten además reacción asimétrica, que es un hecho estilizado establecido.</w:t>
            </w:r>
          </w:p>
        </w:tc>
      </w:tr>
      <w:tr>
        <w:tc>
          <w:tcPr>
            <w:tcW w:type="dxa" w:w="2948"/>
          </w:tcPr>
          <w:p>
            <w:r/>
            <w:r>
              <w:rPr>
                <w:b/>
                <w:sz w:val="19"/>
              </w:rPr>
              <w:t>Las noticias de día no hábil se trasladan al siguiente día de negociación</w:t>
            </w:r>
          </w:p>
        </w:tc>
        <w:tc>
          <w:tcPr>
            <w:tcW w:type="dxa" w:w="5272"/>
          </w:tcPr>
          <w:p>
            <w:r/>
            <w:r>
              <w:rPr>
                <w:sz w:val="19"/>
              </w:rPr>
              <w:t>Nunca al anterior.</w:t>
            </w:r>
          </w:p>
        </w:tc>
      </w:tr>
      <w:tr>
        <w:tc>
          <w:tcPr>
            <w:tcW w:type="dxa" w:w="2948"/>
          </w:tcPr>
          <w:p>
            <w:r/>
            <w:r>
              <w:rPr>
                <w:b/>
                <w:sz w:val="19"/>
              </w:rPr>
              <w:t>No se re-fecha ninguna noticia</w:t>
            </w:r>
          </w:p>
        </w:tc>
        <w:tc>
          <w:tcPr>
            <w:tcW w:type="dxa" w:w="5272"/>
          </w:tcPr>
          <w:p>
            <w:r/>
            <w:r>
              <w:rPr>
                <w:sz w:val="19"/>
              </w:rPr>
              <w:t>Si un medio publicó tarde, se registra tarde. Mover una noticia al momento «real» del evento sería introducir información que el lector no tenía.</w:t>
            </w:r>
          </w:p>
        </w:tc>
      </w:tr>
    </w:tbl>
    <w:p>
      <w:pPr>
        <w:spacing w:after="80"/>
      </w:pP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9518"/>
      </w:tblGrid>
      <w:tr>
        <w:tc>
          <w:tcPr>
            <w:tcW w:type="dxa" w:w="9518"/>
            <w:shd w:val="clear" w:fill="FBF0EF"/>
          </w:tcPr>
          <w:p>
            <w:r/>
            <w:r>
              <w:rPr>
                <w:b/>
                <w:color w:val="8C1D18"/>
                <w:sz w:val="21"/>
              </w:rPr>
              <w:t>Una limitación reconocida y no resuelta</w:t>
            </w:r>
          </w:p>
          <w:p>
            <w:pPr>
              <w:jc w:val="both"/>
            </w:pPr>
            <w:r>
              <w:rPr>
                <w:sz w:val="20"/>
              </w:rPr>
              <w:t>La clasificación identifica el TIPO de evento pero es muda sobre si el evento es NUEVO. La prensa cubre el mismo hecho varias veces —anuncio, avance, cierre— y las tres se clasifican igual. Caso medido: la venta de Luz del Sur en 2019 aparece en siete titulares entre enero y octubre, todos «fusiones y adquisiciones», todos con la misma relevancia; pero el precio subió 43 % ANTES del anuncio oficial, y el titular que confirma la operación llegó diez sesiones DESPUÉS del salto de 41 % en un día.</w:t>
            </w:r>
          </w:p>
        </w:tc>
      </w:tr>
    </w:tbl>
    <w:p>
      <w:pPr>
        <w:spacing w:after="80"/>
      </w:pPr>
    </w:p>
    <w:p>
      <w:r>
        <w:br w:type="page"/>
      </w:r>
    </w:p>
    <w:p>
      <w:pPr>
        <w:pStyle w:val="Heading2"/>
      </w:pPr>
      <w:r>
        <w:rPr>
          <w:rFonts w:ascii="Calibri" w:hAnsi="Calibri"/>
          <w:color w:val="1F3A5F"/>
        </w:rPr>
        <w:t>3.4 Factores macroeconómicos</w:t>
      </w:r>
    </w:p>
    <w:p>
      <w:pPr>
        <w:spacing w:after="120"/>
        <w:jc w:val="both"/>
      </w:pPr>
      <w:r>
        <w:rPr>
          <w:i w:val="0"/>
          <w:sz w:val="21"/>
        </w:rPr>
        <w:t>Cinco series del BCRP, iguales para los siete activos en cada fecha: precio del cobre, tipo de cambio USD/PEN, EMBI+ Perú, tasa de referencia e inflación (IPC Lima).</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9518"/>
      </w:tblGrid>
      <w:tr>
        <w:tc>
          <w:tcPr>
            <w:tcW w:type="dxa" w:w="9518"/>
            <w:shd w:val="clear" w:fill="EEF2F7"/>
          </w:tcPr>
          <w:p>
            <w:r/>
            <w:r>
              <w:rPr>
                <w:b/>
                <w:color w:val="1F3A5F"/>
                <w:sz w:val="21"/>
              </w:rPr>
              <w:t>El criterio de inclusión cambió a mitad del trabajo, y es un resultado en sí mismo</w:t>
            </w:r>
          </w:p>
          <w:p>
            <w:pPr>
              <w:jc w:val="both"/>
            </w:pPr>
            <w:r>
              <w:rPr>
                <w:sz w:val="20"/>
              </w:rPr>
              <w:t>Originalmente los factores se eligieron por argumento económico y literatura. Luego se midió su efecto sobre los siete activos vigentes con una regresión multifactor con errores estándar de Newey-West, y con los factores rezagados un día —que es la especificación relevante si se opera al día siguiente.</w:t>
            </w:r>
          </w:p>
        </w:tc>
      </w:tr>
    </w:tbl>
    <w:p>
      <w:pPr>
        <w:spacing w:after="80"/>
      </w:pP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3173"/>
        <w:gridCol w:w="3173"/>
        <w:gridCol w:w="3173"/>
      </w:tblGrid>
      <w:tr>
        <w:tc>
          <w:tcPr>
            <w:tcW w:type="dxa" w:w="1587"/>
            <w:shd w:val="clear" w:fill="1F3A5F"/>
          </w:tcPr>
          <w:p>
            <w:r/>
            <w:r>
              <w:rPr>
                <w:b/>
                <w:color w:val="FFFFFF"/>
                <w:sz w:val="19"/>
              </w:rPr>
              <w:t>Factor</w:t>
            </w:r>
          </w:p>
        </w:tc>
        <w:tc>
          <w:tcPr>
            <w:tcW w:type="dxa" w:w="1474"/>
            <w:shd w:val="clear" w:fill="1F3A5F"/>
          </w:tcPr>
          <w:p>
            <w:r/>
            <w:r>
              <w:rPr>
                <w:b/>
                <w:color w:val="FFFFFF"/>
                <w:sz w:val="19"/>
              </w:rPr>
              <w:t>Decisión</w:t>
            </w:r>
          </w:p>
        </w:tc>
        <w:tc>
          <w:tcPr>
            <w:tcW w:type="dxa" w:w="5159"/>
            <w:shd w:val="clear" w:fill="1F3A5F"/>
          </w:tcPr>
          <w:p>
            <w:r/>
            <w:r>
              <w:rPr>
                <w:b/>
                <w:color w:val="FFFFFF"/>
                <w:sz w:val="19"/>
              </w:rPr>
              <w:t>Evidencia</w:t>
            </w:r>
          </w:p>
        </w:tc>
      </w:tr>
      <w:tr>
        <w:tc>
          <w:tcPr>
            <w:tcW w:type="dxa" w:w="1587"/>
          </w:tcPr>
          <w:p>
            <w:r/>
            <w:r>
              <w:rPr>
                <w:b/>
                <w:sz w:val="19"/>
              </w:rPr>
              <w:t>Oro</w:t>
            </w:r>
          </w:p>
        </w:tc>
        <w:tc>
          <w:tcPr>
            <w:tcW w:type="dxa" w:w="1474"/>
          </w:tcPr>
          <w:p>
            <w:r/>
            <w:r>
              <w:rPr>
                <w:sz w:val="19"/>
              </w:rPr>
              <w:t>ELIMINADO</w:t>
            </w:r>
          </w:p>
        </w:tc>
        <w:tc>
          <w:tcPr>
            <w:tcW w:type="dxa" w:w="5159"/>
          </w:tcPr>
          <w:p>
            <w:r/>
            <w:r>
              <w:rPr>
                <w:sz w:val="19"/>
              </w:rPr>
              <w:t>Estaba justificado por Buenaventura, que salió del universo. Ninguno de los siete produce oro y no tiene efecto propio en ninguno (0 de 7). Control de que el método funciona: sobre Buenaventura sale con t = +5.57.</w:t>
            </w:r>
          </w:p>
        </w:tc>
      </w:tr>
      <w:tr>
        <w:tc>
          <w:tcPr>
            <w:tcW w:type="dxa" w:w="1587"/>
          </w:tcPr>
          <w:p>
            <w:r/>
            <w:r>
              <w:rPr>
                <w:b/>
                <w:sz w:val="19"/>
              </w:rPr>
              <w:t>Estaño</w:t>
            </w:r>
          </w:p>
        </w:tc>
        <w:tc>
          <w:tcPr>
            <w:tcW w:type="dxa" w:w="1474"/>
          </w:tcPr>
          <w:p>
            <w:r/>
            <w:r>
              <w:rPr>
                <w:sz w:val="19"/>
              </w:rPr>
              <w:t>RECHAZADO</w:t>
            </w:r>
          </w:p>
        </w:tc>
        <w:tc>
          <w:tcPr>
            <w:tcW w:type="dxa" w:w="5159"/>
          </w:tcPr>
          <w:p>
            <w:r/>
            <w:r>
              <w:rPr>
                <w:sz w:val="19"/>
              </w:rPr>
              <w:t>Minsur es el 2º productor mundial, así que la hipótesis era natural. Pero a Minsur lo mueve el COBRE (t = +5.62). El resultado correcto no es «el estaño no importa»: es que el BCRP solo lo publica como promedio mensual, y una escalera de doce peldaños al año no explica retornos diarios.</w:t>
            </w:r>
          </w:p>
        </w:tc>
      </w:tr>
      <w:tr>
        <w:tc>
          <w:tcPr>
            <w:tcW w:type="dxa" w:w="1587"/>
          </w:tcPr>
          <w:p>
            <w:r/>
            <w:r>
              <w:rPr>
                <w:b/>
                <w:sz w:val="19"/>
              </w:rPr>
              <w:t>Cobre, TC y EMBI</w:t>
            </w:r>
          </w:p>
        </w:tc>
        <w:tc>
          <w:tcPr>
            <w:tcW w:type="dxa" w:w="1474"/>
          </w:tcPr>
          <w:p>
            <w:r/>
            <w:r>
              <w:rPr>
                <w:sz w:val="19"/>
              </w:rPr>
              <w:t>SE QUEDAN</w:t>
            </w:r>
          </w:p>
        </w:tc>
        <w:tc>
          <w:tcPr>
            <w:tcW w:type="dxa" w:w="5159"/>
          </w:tcPr>
          <w:p>
            <w:r/>
            <w:r>
              <w:rPr>
                <w:sz w:val="19"/>
              </w:rPr>
              <w:t>Hallazgo de fondo: el esqueleto macro de la BVL no son los commodities sino EL TIPO DE CAMBIO Y EL RIESGO PAÍS. El cobre tiene efecto propio solo en 4 de 7; en los demás lo absorben el TC y el EMBI. Coherente con el mecanismo conocido: el cobre mueve al sol y el sol mueve a la bolsa.</w:t>
            </w:r>
          </w:p>
        </w:tc>
      </w:tr>
      <w:tr>
        <w:tc>
          <w:tcPr>
            <w:tcW w:type="dxa" w:w="1587"/>
          </w:tcPr>
          <w:p>
            <w:r/>
            <w:r>
              <w:rPr>
                <w:b/>
                <w:sz w:val="19"/>
              </w:rPr>
              <w:t>Petróleo</w:t>
            </w:r>
          </w:p>
        </w:tc>
        <w:tc>
          <w:tcPr>
            <w:tcW w:type="dxa" w:w="1474"/>
          </w:tcPr>
          <w:p>
            <w:r/>
            <w:r>
              <w:rPr>
                <w:sz w:val="19"/>
              </w:rPr>
              <w:t>EN EVALUACIÓN</w:t>
            </w:r>
          </w:p>
        </w:tc>
        <w:tc>
          <w:tcPr>
            <w:tcW w:type="dxa" w:w="5159"/>
          </w:tcPr>
          <w:p>
            <w:r/>
            <w:r>
              <w:rPr>
                <w:sz w:val="19"/>
              </w:rPr>
              <w:t>Aparece en Minsur y Ferreycorp, que son los dos que uno predeciría. Pero 2 de 8 al 5 % es lo esperable por azar con ~48 pruebas. Se probará como brazo de ablación, no se da por bueno.</w:t>
            </w:r>
          </w:p>
        </w:tc>
      </w:tr>
    </w:tbl>
    <w:p>
      <w:pPr>
        <w:spacing w:after="80"/>
      </w:pPr>
    </w:p>
    <w:p>
      <w:pPr>
        <w:spacing w:after="120"/>
        <w:jc w:val="both"/>
      </w:pPr>
      <w:r>
        <w:rPr>
          <w:i w:val="0"/>
          <w:sz w:val="21"/>
        </w:rPr>
        <w:t>Se descartó un feed de noticias geopolíticas: el canal ya llega por precio. Una guerra o una crisis política se refleja en el EMBI, el tipo de cambio y el cobre antes de que se pueda clasificar la noticia.</w:t>
      </w:r>
    </w:p>
    <w:p>
      <w:r>
        <w:br w:type="page"/>
      </w:r>
    </w:p>
    <w:p>
      <w:pPr>
        <w:pStyle w:val="Heading1"/>
      </w:pPr>
      <w:r>
        <w:rPr>
          <w:rFonts w:ascii="Calibri" w:hAnsi="Calibri"/>
          <w:color w:val="1F3A5F"/>
        </w:rPr>
        <w:t>4. El panel: lo que el agente ve</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759"/>
        <w:gridCol w:w="4759"/>
      </w:tblGrid>
      <w:tr>
        <w:tc>
          <w:tcPr>
            <w:tcW w:type="dxa" w:w="2551"/>
            <w:shd w:val="clear" w:fill="1F3A5F"/>
          </w:tcPr>
          <w:p>
            <w:r/>
            <w:r>
              <w:rPr>
                <w:b/>
                <w:color w:val="FFFFFF"/>
                <w:sz w:val="19"/>
              </w:rPr>
              <w:t>Dimensión</w:t>
            </w:r>
          </w:p>
        </w:tc>
        <w:tc>
          <w:tcPr>
            <w:tcW w:type="dxa" w:w="5669"/>
            <w:shd w:val="clear" w:fill="1F3A5F"/>
          </w:tcPr>
          <w:p>
            <w:r/>
            <w:r>
              <w:rPr>
                <w:b/>
                <w:color w:val="FFFFFF"/>
                <w:sz w:val="19"/>
              </w:rPr>
              <w:t>Valor</w:t>
            </w:r>
          </w:p>
        </w:tc>
      </w:tr>
      <w:tr>
        <w:tc>
          <w:tcPr>
            <w:tcW w:type="dxa" w:w="2551"/>
          </w:tcPr>
          <w:p>
            <w:r/>
            <w:r>
              <w:rPr>
                <w:b/>
                <w:sz w:val="19"/>
              </w:rPr>
              <w:t>Filas</w:t>
            </w:r>
          </w:p>
        </w:tc>
        <w:tc>
          <w:tcPr>
            <w:tcW w:type="dxa" w:w="5669"/>
          </w:tcPr>
          <w:p>
            <w:r/>
            <w:r>
              <w:rPr>
                <w:sz w:val="19"/>
              </w:rPr>
              <w:t>24,591 (7 emisores × 3,513 sesiones)</w:t>
            </w:r>
          </w:p>
        </w:tc>
      </w:tr>
      <w:tr>
        <w:tc>
          <w:tcPr>
            <w:tcW w:type="dxa" w:w="2551"/>
          </w:tcPr>
          <w:p>
            <w:r/>
            <w:r>
              <w:rPr>
                <w:b/>
                <w:sz w:val="19"/>
              </w:rPr>
              <w:t>Estado</w:t>
            </w:r>
          </w:p>
        </w:tc>
        <w:tc>
          <w:tcPr>
            <w:tcW w:type="dxa" w:w="5669"/>
          </w:tcPr>
          <w:p>
            <w:r/>
            <w:r>
              <w:rPr>
                <w:sz w:val="19"/>
              </w:rPr>
              <w:t>Construido y verificado. Insumo cerrado para el agente.</w:t>
            </w:r>
          </w:p>
        </w:tc>
      </w:tr>
      <w:tr>
        <w:tc>
          <w:tcPr>
            <w:tcW w:type="dxa" w:w="2551"/>
          </w:tcPr>
          <w:p>
            <w:r/>
            <w:r>
              <w:rPr>
                <w:b/>
                <w:sz w:val="19"/>
              </w:rPr>
              <w:t>Columnas</w:t>
            </w:r>
          </w:p>
        </w:tc>
        <w:tc>
          <w:tcPr>
            <w:tcW w:type="dxa" w:w="5669"/>
          </w:tcPr>
          <w:p>
            <w:r/>
            <w:r>
              <w:rPr>
                <w:sz w:val="19"/>
              </w:rPr>
              <w:t>118</w:t>
            </w:r>
          </w:p>
        </w:tc>
      </w:tr>
      <w:tr>
        <w:tc>
          <w:tcPr>
            <w:tcW w:type="dxa" w:w="2551"/>
          </w:tcPr>
          <w:p>
            <w:r/>
            <w:r>
              <w:rPr>
                <w:b/>
                <w:sz w:val="19"/>
              </w:rPr>
              <w:t>Horizonte</w:t>
            </w:r>
          </w:p>
        </w:tc>
        <w:tc>
          <w:tcPr>
            <w:tcW w:type="dxa" w:w="5669"/>
          </w:tcPr>
          <w:p>
            <w:r/>
            <w:r>
              <w:rPr>
                <w:sz w:val="19"/>
              </w:rPr>
              <w:t>2 de enero de 2012 – 31 de diciembre de 2025</w:t>
            </w:r>
          </w:p>
        </w:tc>
      </w:tr>
    </w:tbl>
    <w:p>
      <w:pPr>
        <w:spacing w:after="80"/>
      </w:pPr>
    </w:p>
    <w:p>
      <w:pPr>
        <w:spacing w:after="120"/>
        <w:jc w:val="both"/>
      </w:pPr>
      <w:r>
        <w:rPr>
          <w:i w:val="0"/>
          <w:sz w:val="21"/>
        </w:rPr>
        <w:t>Las columnas se agrupan en conjuntos de señales que se prueban por separado. Esa es la estructura del estudio de ablación, que es la forma de responder «¿qué canal aporta y cuál no?» en vez de entrenar con todo y no saber por qué funciona.</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759"/>
        <w:gridCol w:w="4759"/>
      </w:tblGrid>
      <w:tr>
        <w:tc>
          <w:tcPr>
            <w:tcW w:type="dxa" w:w="3118"/>
            <w:shd w:val="clear" w:fill="1F3A5F"/>
          </w:tcPr>
          <w:p>
            <w:r/>
            <w:r>
              <w:rPr>
                <w:b/>
                <w:color w:val="FFFFFF"/>
                <w:sz w:val="19"/>
              </w:rPr>
              <w:t>Conjunto de señales</w:t>
            </w:r>
          </w:p>
        </w:tc>
        <w:tc>
          <w:tcPr>
            <w:tcW w:type="dxa" w:w="5102"/>
            <w:shd w:val="clear" w:fill="1F3A5F"/>
          </w:tcPr>
          <w:p>
            <w:r/>
            <w:r>
              <w:rPr>
                <w:b/>
                <w:color w:val="FFFFFF"/>
                <w:sz w:val="19"/>
              </w:rPr>
              <w:t>Contenido</w:t>
            </w:r>
          </w:p>
        </w:tc>
      </w:tr>
      <w:tr>
        <w:tc>
          <w:tcPr>
            <w:tcW w:type="dxa" w:w="3118"/>
          </w:tcPr>
          <w:p>
            <w:r/>
            <w:r>
              <w:rPr>
                <w:b/>
                <w:sz w:val="19"/>
              </w:rPr>
              <w:t>Solo mercado</w:t>
            </w:r>
          </w:p>
        </w:tc>
        <w:tc>
          <w:tcPr>
            <w:tcW w:type="dxa" w:w="5102"/>
          </w:tcPr>
          <w:p>
            <w:r/>
            <w:r>
              <w:rPr>
                <w:sz w:val="19"/>
              </w:rPr>
              <w:t>Precio, técnicos, banderas de liquidez</w:t>
            </w:r>
          </w:p>
        </w:tc>
      </w:tr>
      <w:tr>
        <w:tc>
          <w:tcPr>
            <w:tcW w:type="dxa" w:w="3118"/>
          </w:tcPr>
          <w:p>
            <w:r/>
            <w:r>
              <w:rPr>
                <w:b/>
                <w:sz w:val="19"/>
              </w:rPr>
              <w:t>Mercado + sentimiento</w:t>
            </w:r>
          </w:p>
        </w:tc>
        <w:tc>
          <w:tcPr>
            <w:tcW w:type="dxa" w:w="5102"/>
          </w:tcPr>
          <w:p>
            <w:r/>
            <w:r>
              <w:rPr>
                <w:sz w:val="19"/>
              </w:rPr>
              <w:t>+ los nueve canales de prensa</w:t>
            </w:r>
          </w:p>
        </w:tc>
      </w:tr>
      <w:tr>
        <w:tc>
          <w:tcPr>
            <w:tcW w:type="dxa" w:w="3118"/>
          </w:tcPr>
          <w:p>
            <w:r/>
            <w:r>
              <w:rPr>
                <w:b/>
                <w:sz w:val="19"/>
              </w:rPr>
              <w:t>Mercado + fundamentales</w:t>
            </w:r>
          </w:p>
        </w:tc>
        <w:tc>
          <w:tcPr>
            <w:tcW w:type="dxa" w:w="5102"/>
          </w:tcPr>
          <w:p>
            <w:r/>
            <w:r>
              <w:rPr>
                <w:sz w:val="19"/>
              </w:rPr>
              <w:t>+ ratios, P/E, DY, bandera de fecha</w:t>
            </w:r>
          </w:p>
        </w:tc>
      </w:tr>
      <w:tr>
        <w:tc>
          <w:tcPr>
            <w:tcW w:type="dxa" w:w="3118"/>
          </w:tcPr>
          <w:p>
            <w:r/>
            <w:r>
              <w:rPr>
                <w:b/>
                <w:sz w:val="19"/>
              </w:rPr>
              <w:t>Mercado + macro</w:t>
            </w:r>
          </w:p>
        </w:tc>
        <w:tc>
          <w:tcPr>
            <w:tcW w:type="dxa" w:w="5102"/>
          </w:tcPr>
          <w:p>
            <w:r/>
            <w:r>
              <w:rPr>
                <w:sz w:val="19"/>
              </w:rPr>
              <w:t>+ las cinco series del BCRP</w:t>
            </w:r>
          </w:p>
        </w:tc>
      </w:tr>
      <w:tr>
        <w:tc>
          <w:tcPr>
            <w:tcW w:type="dxa" w:w="3118"/>
          </w:tcPr>
          <w:p>
            <w:r/>
            <w:r>
              <w:rPr>
                <w:b/>
                <w:sz w:val="19"/>
              </w:rPr>
              <w:t>Completa</w:t>
            </w:r>
          </w:p>
        </w:tc>
        <w:tc>
          <w:tcPr>
            <w:tcW w:type="dxa" w:w="5102"/>
          </w:tcPr>
          <w:p>
            <w:r/>
            <w:r>
              <w:rPr>
                <w:sz w:val="19"/>
              </w:rPr>
              <w:t>Todo</w:t>
            </w:r>
          </w:p>
        </w:tc>
      </w:tr>
      <w:tr>
        <w:tc>
          <w:tcPr>
            <w:tcW w:type="dxa" w:w="3118"/>
          </w:tcPr>
          <w:p>
            <w:r/>
            <w:r>
              <w:rPr>
                <w:b/>
                <w:sz w:val="19"/>
              </w:rPr>
              <w:t>Sentimiento por tramo</w:t>
            </w:r>
          </w:p>
        </w:tc>
        <w:tc>
          <w:tcPr>
            <w:tcW w:type="dxa" w:w="5102"/>
          </w:tcPr>
          <w:p>
            <w:r/>
            <w:r>
              <w:rPr>
                <w:sz w:val="19"/>
              </w:rPr>
              <w:t>Variante: desagregado por magnitud del evento</w:t>
            </w:r>
          </w:p>
        </w:tc>
      </w:tr>
      <w:tr>
        <w:tc>
          <w:tcPr>
            <w:tcW w:type="dxa" w:w="3118"/>
          </w:tcPr>
          <w:p>
            <w:r/>
            <w:r>
              <w:rPr>
                <w:b/>
                <w:sz w:val="19"/>
              </w:rPr>
              <w:t>Sentimiento restringido</w:t>
            </w:r>
          </w:p>
        </w:tc>
        <w:tc>
          <w:tcPr>
            <w:tcW w:type="dxa" w:w="5102"/>
          </w:tcPr>
          <w:p>
            <w:r/>
            <w:r>
              <w:rPr>
                <w:sz w:val="19"/>
              </w:rPr>
              <w:t>Variante: solo titulares que nombran a la empresa</w:t>
            </w:r>
          </w:p>
        </w:tc>
      </w:tr>
      <w:tr>
        <w:tc>
          <w:tcPr>
            <w:tcW w:type="dxa" w:w="3118"/>
          </w:tcPr>
          <w:p>
            <w:r/>
            <w:r>
              <w:rPr>
                <w:b/>
                <w:sz w:val="19"/>
              </w:rPr>
              <w:t>Fundamentales con fecha real</w:t>
            </w:r>
          </w:p>
        </w:tc>
        <w:tc>
          <w:tcPr>
            <w:tcW w:type="dxa" w:w="5102"/>
          </w:tcPr>
          <w:p>
            <w:r/>
            <w:r>
              <w:rPr>
                <w:sz w:val="19"/>
              </w:rPr>
              <w:t>Variante: la propuesta de eliminar en vez de marcar</w:t>
            </w:r>
          </w:p>
        </w:tc>
      </w:tr>
    </w:tbl>
    <w:p>
      <w:pPr>
        <w:spacing w:after="80"/>
      </w:pP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9518"/>
      </w:tblGrid>
      <w:tr>
        <w:tc>
          <w:tcPr>
            <w:tcW w:type="dxa" w:w="9518"/>
            <w:shd w:val="clear" w:fill="EEF2F7"/>
          </w:tcPr>
          <w:p>
            <w:r/>
            <w:r>
              <w:rPr>
                <w:b/>
                <w:color w:val="1F3A5F"/>
                <w:sz w:val="21"/>
              </w:rPr>
              <w:t>Por qué importa que las variantes estén pre-registradas</w:t>
            </w:r>
          </w:p>
          <w:p>
            <w:pPr>
              <w:jc w:val="both"/>
            </w:pPr>
            <w:r>
              <w:rPr>
                <w:sz w:val="20"/>
              </w:rPr>
              <w:t>Están definidas ANTES de ver resultados. Eso evita elegir después la especificación que mejor se ve.</w:t>
            </w:r>
          </w:p>
        </w:tc>
      </w:tr>
    </w:tbl>
    <w:p>
      <w:pPr>
        <w:spacing w:after="80"/>
      </w:pPr>
    </w:p>
    <w:p>
      <w:pPr>
        <w:pStyle w:val="Heading1"/>
      </w:pPr>
      <w:r>
        <w:rPr>
          <w:rFonts w:ascii="Calibri" w:hAnsi="Calibri"/>
          <w:color w:val="1F3A5F"/>
        </w:rPr>
        <w:t>5. Disciplina causal: lo que más puede invalidar el trabajo</w:t>
      </w:r>
    </w:p>
    <w:p>
      <w:pPr>
        <w:spacing w:after="120"/>
        <w:jc w:val="both"/>
      </w:pPr>
      <w:r>
        <w:rPr>
          <w:i w:val="0"/>
          <w:sz w:val="21"/>
        </w:rPr>
        <w:t>Un backtest de aprendizaje automático es fácil de inflar sin darse cuenta. Las reglas que se fijaron:</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759"/>
        <w:gridCol w:w="4759"/>
      </w:tblGrid>
      <w:tr>
        <w:tc>
          <w:tcPr>
            <w:tcW w:type="dxa" w:w="2948"/>
            <w:shd w:val="clear" w:fill="1F3A5F"/>
          </w:tcPr>
          <w:p>
            <w:r/>
            <w:r>
              <w:rPr>
                <w:b/>
                <w:color w:val="FFFFFF"/>
                <w:sz w:val="19"/>
              </w:rPr>
              <w:t>Regla</w:t>
            </w:r>
          </w:p>
        </w:tc>
        <w:tc>
          <w:tcPr>
            <w:tcW w:type="dxa" w:w="5272"/>
            <w:shd w:val="clear" w:fill="1F3A5F"/>
          </w:tcPr>
          <w:p>
            <w:r/>
            <w:r>
              <w:rPr>
                <w:b/>
                <w:color w:val="FFFFFF"/>
                <w:sz w:val="19"/>
              </w:rPr>
              <w:t>Detalle</w:t>
            </w:r>
          </w:p>
        </w:tc>
      </w:tr>
      <w:tr>
        <w:tc>
          <w:tcPr>
            <w:tcW w:type="dxa" w:w="2948"/>
          </w:tcPr>
          <w:p>
            <w:r/>
            <w:r>
              <w:rPr>
                <w:b/>
                <w:sz w:val="19"/>
              </w:rPr>
              <w:t>Información en su fecha de conocimiento público</w:t>
            </w:r>
          </w:p>
        </w:tc>
        <w:tc>
          <w:tcPr>
            <w:tcW w:type="dxa" w:w="5272"/>
          </w:tcPr>
          <w:p>
            <w:r/>
            <w:r>
              <w:rPr>
                <w:sz w:val="19"/>
              </w:rPr>
              <w:t>No en la fecha a la que se refiere. Aplica a fundamentales y a prensa.</w:t>
            </w:r>
          </w:p>
        </w:tc>
      </w:tr>
      <w:tr>
        <w:tc>
          <w:tcPr>
            <w:tcW w:type="dxa" w:w="2948"/>
          </w:tcPr>
          <w:p>
            <w:r/>
            <w:r>
              <w:rPr>
                <w:b/>
                <w:sz w:val="19"/>
              </w:rPr>
              <w:t>Ejecución al día siguiente</w:t>
            </w:r>
          </w:p>
        </w:tc>
        <w:tc>
          <w:tcPr>
            <w:tcW w:type="dxa" w:w="5272"/>
          </w:tcPr>
          <w:p>
            <w:r/>
            <w:r>
              <w:rPr>
                <w:sz w:val="19"/>
              </w:rPr>
              <w:t>Lo que se observa al cierre de t se opera en t+1. Nada se decide y ejecuta el mismo día.</w:t>
            </w:r>
          </w:p>
        </w:tc>
      </w:tr>
      <w:tr>
        <w:tc>
          <w:tcPr>
            <w:tcW w:type="dxa" w:w="2948"/>
          </w:tcPr>
          <w:p>
            <w:r/>
            <w:r>
              <w:rPr>
                <w:b/>
                <w:sz w:val="19"/>
              </w:rPr>
              <w:t>Ninguna transformación mira hacia adelante</w:t>
            </w:r>
          </w:p>
        </w:tc>
        <w:tc>
          <w:tcPr>
            <w:tcW w:type="dxa" w:w="5272"/>
          </w:tcPr>
          <w:p>
            <w:r/>
            <w:r>
              <w:rPr>
                <w:sz w:val="19"/>
              </w:rPr>
              <w:t>Las normalizaciones se calculan solo con información hasta la fecha, nunca con la media de toda la muestra.</w:t>
            </w:r>
          </w:p>
        </w:tc>
      </w:tr>
      <w:tr>
        <w:tc>
          <w:tcPr>
            <w:tcW w:type="dxa" w:w="2948"/>
          </w:tcPr>
          <w:p>
            <w:r/>
            <w:r>
              <w:rPr>
                <w:b/>
                <w:sz w:val="19"/>
              </w:rPr>
              <w:t>Partición temporal y sin barajar</w:t>
            </w:r>
          </w:p>
        </w:tc>
        <w:tc>
          <w:tcPr>
            <w:tcW w:type="dxa" w:w="5272"/>
          </w:tcPr>
          <w:p>
            <w:r/>
            <w:r>
              <w:rPr>
                <w:sz w:val="19"/>
              </w:rPr>
              <w:t>Entrenamiento, validación y prueba en orden cronológico.</w:t>
            </w:r>
          </w:p>
        </w:tc>
      </w:tr>
    </w:tbl>
    <w:p>
      <w:pPr>
        <w:spacing w:after="80"/>
      </w:pP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9518"/>
      </w:tblGrid>
      <w:tr>
        <w:tc>
          <w:tcPr>
            <w:tcW w:type="dxa" w:w="9518"/>
            <w:shd w:val="clear" w:fill="EEF2F7"/>
          </w:tcPr>
          <w:p>
            <w:r/>
            <w:r>
              <w:rPr>
                <w:b/>
                <w:color w:val="1F3A5F"/>
                <w:sz w:val="21"/>
              </w:rPr>
              <w:t>Verificación hecha sobre el panel final</w:t>
            </w:r>
          </w:p>
          <w:p>
            <w:pPr>
              <w:jc w:val="both"/>
            </w:pPr>
            <w:r>
              <w:rPr>
                <w:sz w:val="20"/>
              </w:rPr>
              <w:t>Ninguna fila tiene un dato fundamental cuya fecha de conocimiento sea posterior a la fecha de la fila. Durante la auditoría aparecieron tres casos de «decisión tomada, código no actualizado» —entre ellos el rezago de InRetail, que era sesgo de anticipación real—. Están corregidos y registrados como riesgo de proceso, porque ninguno hacía fallar nada: el pipeline corría y los números salían.</w:t>
            </w:r>
          </w:p>
        </w:tc>
      </w:tr>
    </w:tbl>
    <w:p>
      <w:pPr>
        <w:spacing w:after="80"/>
      </w:pPr>
    </w:p>
    <w:p>
      <w:r>
        <w:br w:type="page"/>
      </w:r>
    </w:p>
    <w:p>
      <w:pPr>
        <w:pStyle w:val="Heading1"/>
      </w:pPr>
      <w:r>
        <w:rPr>
          <w:rFonts w:ascii="Calibri" w:hAnsi="Calibri"/>
          <w:color w:val="1F3A5F"/>
        </w:rPr>
        <w:t>6. Lo que se midió y se descartó</w:t>
      </w:r>
    </w:p>
    <w:p>
      <w:pPr>
        <w:spacing w:after="120"/>
        <w:jc w:val="both"/>
      </w:pPr>
      <w:r>
        <w:rPr>
          <w:i w:val="0"/>
          <w:sz w:val="21"/>
        </w:rPr>
        <w:t>Se incluye porque el criterio de descarte dice más del rigor del trabajo que los resultados positivos, y porque son lugares donde usted puede decir «midieron lo que no era».</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3173"/>
        <w:gridCol w:w="3173"/>
        <w:gridCol w:w="3173"/>
      </w:tblGrid>
      <w:tr>
        <w:tc>
          <w:tcPr>
            <w:tcW w:type="dxa" w:w="2268"/>
            <w:shd w:val="clear" w:fill="1F3A5F"/>
          </w:tcPr>
          <w:p>
            <w:r/>
            <w:r>
              <w:rPr>
                <w:b/>
                <w:color w:val="FFFFFF"/>
                <w:sz w:val="19"/>
              </w:rPr>
              <w:t>Propuesta</w:t>
            </w:r>
          </w:p>
        </w:tc>
        <w:tc>
          <w:tcPr>
            <w:tcW w:type="dxa" w:w="1701"/>
            <w:shd w:val="clear" w:fill="1F3A5F"/>
          </w:tcPr>
          <w:p>
            <w:r/>
            <w:r>
              <w:rPr>
                <w:b/>
                <w:color w:val="FFFFFF"/>
                <w:sz w:val="19"/>
              </w:rPr>
              <w:t>Resultado</w:t>
            </w:r>
          </w:p>
        </w:tc>
        <w:tc>
          <w:tcPr>
            <w:tcW w:type="dxa" w:w="4252"/>
            <w:shd w:val="clear" w:fill="1F3A5F"/>
          </w:tcPr>
          <w:p>
            <w:r/>
            <w:r>
              <w:rPr>
                <w:b/>
                <w:color w:val="FFFFFF"/>
                <w:sz w:val="19"/>
              </w:rPr>
              <w:t>Detalle</w:t>
            </w:r>
          </w:p>
        </w:tc>
      </w:tr>
      <w:tr>
        <w:tc>
          <w:tcPr>
            <w:tcW w:type="dxa" w:w="2268"/>
          </w:tcPr>
          <w:p>
            <w:r/>
            <w:r>
              <w:rPr>
                <w:b/>
                <w:sz w:val="19"/>
              </w:rPr>
              <w:t>Agregar un eje de «alcance» a la clasificación de noticias</w:t>
            </w:r>
          </w:p>
        </w:tc>
        <w:tc>
          <w:tcPr>
            <w:tcW w:type="dxa" w:w="1701"/>
          </w:tcPr>
          <w:p>
            <w:r/>
            <w:r>
              <w:rPr>
                <w:sz w:val="19"/>
              </w:rPr>
              <w:t>DESCARTADA</w:t>
            </w:r>
          </w:p>
        </w:tc>
        <w:tc>
          <w:tcPr>
            <w:tcW w:type="dxa" w:w="4252"/>
          </w:tcPr>
          <w:p>
            <w:r/>
            <w:r>
              <w:rPr>
                <w:sz w:val="19"/>
              </w:rPr>
              <w:t>No aumentaba la información del canal y empeoraba la desigualdad de cobertura entre emisores.</w:t>
            </w:r>
          </w:p>
        </w:tc>
      </w:tr>
      <w:tr>
        <w:tc>
          <w:tcPr>
            <w:tcW w:type="dxa" w:w="2268"/>
          </w:tcPr>
          <w:p>
            <w:r/>
            <w:r>
              <w:rPr>
                <w:b/>
                <w:sz w:val="19"/>
              </w:rPr>
              <w:t>Deducir la polaridad de una fusión según el papel de la empresa (comprada, compradora, vendedora)</w:t>
            </w:r>
          </w:p>
        </w:tc>
        <w:tc>
          <w:tcPr>
            <w:tcW w:type="dxa" w:w="1701"/>
          </w:tcPr>
          <w:p>
            <w:r/>
            <w:r>
              <w:rPr>
                <w:sz w:val="19"/>
              </w:rPr>
              <w:t>DESCARTADA en su forma automática</w:t>
            </w:r>
          </w:p>
        </w:tc>
        <w:tc>
          <w:tcPr>
            <w:tcW w:type="dxa" w:w="4252"/>
          </w:tcPr>
          <w:p>
            <w:r/>
            <w:r>
              <w:rPr>
                <w:sz w:val="19"/>
              </w:rPr>
              <w:t>La REGLA es buena: asignando el papel a mano, el acierto direccional duplica al del método actual. Pero el modelo no logra identificar el papel — en la compra de Pacasmayo por Holcim lo clasificó mal en las dos formulaciones probadas. Queda la opción de asignarlo a mano sobre ~130 artículos.</w:t>
            </w:r>
          </w:p>
        </w:tc>
      </w:tr>
      <w:tr>
        <w:tc>
          <w:tcPr>
            <w:tcW w:type="dxa" w:w="2268"/>
          </w:tcPr>
          <w:p>
            <w:r/>
            <w:r>
              <w:rPr>
                <w:b/>
                <w:sz w:val="19"/>
              </w:rPr>
              <w:t>Incorporar los Hechos de Importancia de la BVL como segunda fuente</w:t>
            </w:r>
          </w:p>
        </w:tc>
        <w:tc>
          <w:tcPr>
            <w:tcW w:type="dxa" w:w="1701"/>
          </w:tcPr>
          <w:p>
            <w:r/>
            <w:r>
              <w:rPr>
                <w:sz w:val="19"/>
              </w:rPr>
              <w:t>NO ADOPTADA</w:t>
            </w:r>
          </w:p>
        </w:tc>
        <w:tc>
          <w:tcPr>
            <w:tcW w:type="dxa" w:w="4252"/>
          </w:tcPr>
          <w:p>
            <w:r/>
            <w:r>
              <w:rPr>
                <w:sz w:val="19"/>
              </w:rPr>
              <w:t>La hipótesis era que la divulgación obligatoria corregiría la desigualdad de cobertura. Se anotaron a mano 140 hechos contra un criterio fijado de antemano.</w:t>
            </w:r>
          </w:p>
        </w:tc>
      </w:tr>
    </w:tbl>
    <w:p>
      <w:pPr>
        <w:spacing w:after="80"/>
      </w:pPr>
    </w:p>
    <w:p>
      <w:pPr>
        <w:spacing w:after="120"/>
        <w:jc w:val="both"/>
      </w:pPr>
      <w:r>
        <w:rPr>
          <w:i w:val="0"/>
          <w:sz w:val="21"/>
        </w:rPr>
        <w:t>El detalle del tercer caso merece su propia tabla, porque es el más interesante para discutir:</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759"/>
        <w:gridCol w:w="4759"/>
      </w:tblGrid>
      <w:tr>
        <w:tc>
          <w:tcPr>
            <w:tcW w:type="dxa" w:w="2381"/>
            <w:shd w:val="clear" w:fill="1F3A5F"/>
          </w:tcPr>
          <w:p>
            <w:r/>
            <w:r>
              <w:rPr>
                <w:b/>
                <w:color w:val="FFFFFF"/>
                <w:sz w:val="19"/>
              </w:rPr>
              <w:t>Dimensión</w:t>
            </w:r>
          </w:p>
        </w:tc>
        <w:tc>
          <w:tcPr>
            <w:tcW w:type="dxa" w:w="5839"/>
            <w:shd w:val="clear" w:fill="1F3A5F"/>
          </w:tcPr>
          <w:p>
            <w:r/>
            <w:r>
              <w:rPr>
                <w:b/>
                <w:color w:val="FFFFFF"/>
                <w:sz w:val="19"/>
              </w:rPr>
              <w:t>Resultado</w:t>
            </w:r>
          </w:p>
        </w:tc>
      </w:tr>
      <w:tr>
        <w:tc>
          <w:tcPr>
            <w:tcW w:type="dxa" w:w="2381"/>
          </w:tcPr>
          <w:p>
            <w:r/>
            <w:r>
              <w:rPr>
                <w:b/>
                <w:sz w:val="19"/>
              </w:rPr>
              <w:t>Calidad de la fuente</w:t>
            </w:r>
          </w:p>
        </w:tc>
        <w:tc>
          <w:tcPr>
            <w:tcW w:type="dxa" w:w="5839"/>
          </w:tcPr>
          <w:p>
            <w:r/>
            <w:r>
              <w:rPr>
                <w:sz w:val="19"/>
              </w:rPr>
              <w:t>BUENA: 53.4 % de los hechos son materiales, contra 7.2 % de la prensa. Siete veces más densa en señal.</w:t>
            </w:r>
          </w:p>
        </w:tc>
      </w:tr>
      <w:tr>
        <w:tc>
          <w:tcPr>
            <w:tcW w:type="dxa" w:w="2381"/>
          </w:tcPr>
          <w:p>
            <w:r/>
            <w:r>
              <w:rPr>
                <w:b/>
                <w:sz w:val="19"/>
              </w:rPr>
              <w:t>Lo que se le pidió</w:t>
            </w:r>
          </w:p>
        </w:tc>
        <w:tc>
          <w:tcPr>
            <w:tcW w:type="dxa" w:w="5839"/>
          </w:tcPr>
          <w:p>
            <w:r/>
            <w:r>
              <w:rPr>
                <w:sz w:val="19"/>
              </w:rPr>
              <w:t>NO LO RESUELVE: la desigualdad entre emisores baja de 16.8 a 6.4 veces, no por debajo de 6 como se había fijado. Pacasmayo no triplica sus eventos bajo ningún criterio razonable.</w:t>
            </w:r>
          </w:p>
        </w:tc>
      </w:tr>
      <w:tr>
        <w:tc>
          <w:tcPr>
            <w:tcW w:type="dxa" w:w="2381"/>
          </w:tcPr>
          <w:p>
            <w:r/>
            <w:r>
              <w:rPr>
                <w:b/>
                <w:sz w:val="19"/>
              </w:rPr>
              <w:t>Legibilidad</w:t>
            </w:r>
          </w:p>
        </w:tc>
        <w:tc>
          <w:tcPr>
            <w:tcW w:type="dxa" w:w="5839"/>
          </w:tcPr>
          <w:p>
            <w:r/>
            <w:r>
              <w:rPr>
                <w:sz w:val="19"/>
              </w:rPr>
              <w:t>El 14 % de los hechos es texto administrativo sin contenido («Acuerdos de sesión de directorio del 18 de abril»), y eso es ADEMÁS de 2,007 hechos ya excluidos por venir vacíos.</w:t>
            </w:r>
          </w:p>
        </w:tc>
      </w:tr>
      <w:tr>
        <w:tc>
          <w:tcPr>
            <w:tcW w:type="dxa" w:w="2381"/>
          </w:tcPr>
          <w:p>
            <w:r/>
            <w:r>
              <w:rPr>
                <w:b/>
                <w:sz w:val="19"/>
              </w:rPr>
              <w:t>Dónde sí son superiores</w:t>
            </w:r>
          </w:p>
        </w:tc>
        <w:tc>
          <w:tcPr>
            <w:tcW w:type="dxa" w:w="5839"/>
          </w:tcPr>
          <w:p>
            <w:r/>
            <w:r>
              <w:rPr>
                <w:sz w:val="19"/>
              </w:rPr>
              <w:t>En la FECHA, que es justo lo que el criterio no midió: son point-in-time por construcción. Queda anotado como propuesta reducida para después.</w:t>
            </w:r>
          </w:p>
        </w:tc>
      </w:tr>
    </w:tbl>
    <w:p>
      <w:pPr>
        <w:spacing w:after="80"/>
      </w:pPr>
    </w:p>
    <w:p>
      <w:r>
        <w:br w:type="page"/>
      </w:r>
    </w:p>
    <w:p>
      <w:pPr>
        <w:pStyle w:val="Heading1"/>
      </w:pPr>
      <w:r>
        <w:rPr>
          <w:rFonts w:ascii="Calibri" w:hAnsi="Calibri"/>
          <w:color w:val="1F3A5F"/>
        </w:rPr>
        <w:t>7. Limitaciones sin solución dentro del alcance</w:t>
      </w:r>
    </w:p>
    <w:p>
      <w:pPr>
        <w:spacing w:after="120"/>
        <w:jc w:val="both"/>
      </w:pPr>
      <w:r>
        <w:rPr>
          <w:i w:val="0"/>
          <w:sz w:val="21"/>
        </w:rPr>
        <w:t>Van al capítulo de limitaciones tal cual.</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759"/>
        <w:gridCol w:w="4759"/>
      </w:tblGrid>
      <w:tr>
        <w:tc>
          <w:tcPr>
            <w:tcW w:type="dxa" w:w="2608"/>
            <w:shd w:val="clear" w:fill="1F3A5F"/>
          </w:tcPr>
          <w:p>
            <w:r/>
            <w:r>
              <w:rPr>
                <w:b/>
                <w:color w:val="FFFFFF"/>
                <w:sz w:val="19"/>
              </w:rPr>
              <w:t>Limitación</w:t>
            </w:r>
          </w:p>
        </w:tc>
        <w:tc>
          <w:tcPr>
            <w:tcW w:type="dxa" w:w="5613"/>
            <w:shd w:val="clear" w:fill="1F3A5F"/>
          </w:tcPr>
          <w:p>
            <w:r/>
            <w:r>
              <w:rPr>
                <w:b/>
                <w:color w:val="FFFFFF"/>
                <w:sz w:val="19"/>
              </w:rPr>
              <w:t>Detalle</w:t>
            </w:r>
          </w:p>
        </w:tc>
      </w:tr>
      <w:tr>
        <w:tc>
          <w:tcPr>
            <w:tcW w:type="dxa" w:w="2608"/>
          </w:tcPr>
          <w:p>
            <w:r/>
            <w:r>
              <w:rPr>
                <w:b/>
                <w:sz w:val="19"/>
              </w:rPr>
              <w:t>La cobertura de prensa es muy desigual entre emisores</w:t>
            </w:r>
          </w:p>
        </w:tc>
        <w:tc>
          <w:tcPr>
            <w:tcW w:type="dxa" w:w="5613"/>
          </w:tcPr>
          <w:p>
            <w:r/>
            <w:r>
              <w:rPr>
                <w:sz w:val="19"/>
              </w:rPr>
              <w:t>Medido sobre la clasificación completa: BCP produce 63.5 eventos por año y Pacasmayo 6.9 — una razón de 9.2 veces. No existe fuente disponible que lo resuelva: es una propiedad de la prensa peruana, no del método (se probó y descartó una segunda fuente). Es lo que puede hacer que el canal no pase la ablación, y por eso el criterio de abandono está fijado de antemano. MATIZ: la desigualdad medida (9.2x) resultó bastante menor que la estimada antes de correr (16.8x), y el volumen total casi cuadruplicó el presupuesto previsto. El canal tiene más masa de la que se temía; lo que sigue sin resolverse es el reparto.</w:t>
            </w:r>
          </w:p>
        </w:tc>
      </w:tr>
      <w:tr>
        <w:tc>
          <w:tcPr>
            <w:tcW w:type="dxa" w:w="2608"/>
          </w:tcPr>
          <w:p>
            <w:r/>
            <w:r>
              <w:rPr>
                <w:b/>
                <w:sz w:val="19"/>
              </w:rPr>
              <w:t>El mercado anticipa lo que ninguna fuente pública muestra</w:t>
            </w:r>
          </w:p>
        </w:tc>
        <w:tc>
          <w:tcPr>
            <w:tcW w:type="dxa" w:w="5613"/>
          </w:tcPr>
          <w:p>
            <w:r/>
            <w:r>
              <w:rPr>
                <w:sz w:val="19"/>
              </w:rPr>
              <w:t>Luz del Sur subió 43 % antes del hecho de importancia que anunció su venta. Ninguna señal construida sobre información pública captura eso.</w:t>
            </w:r>
          </w:p>
        </w:tc>
      </w:tr>
      <w:tr>
        <w:tc>
          <w:tcPr>
            <w:tcW w:type="dxa" w:w="2608"/>
          </w:tcPr>
          <w:p>
            <w:r/>
            <w:r>
              <w:rPr>
                <w:b/>
                <w:sz w:val="19"/>
              </w:rPr>
              <w:t>Se clasifica sobre titulares, sin el cuerpo del artículo</w:t>
            </w:r>
          </w:p>
        </w:tc>
        <w:tc>
          <w:tcPr>
            <w:tcW w:type="dxa" w:w="5613"/>
          </w:tcPr>
          <w:p>
            <w:r/>
            <w:r>
              <w:rPr>
                <w:sz w:val="19"/>
              </w:rPr>
              <w:t>El proveedor de prensa no entrega el texto completo. La anotación humana de referencia se hizo con la misma información, así que la tarea es alcanzable, pero el techo es el titular.</w:t>
            </w:r>
          </w:p>
        </w:tc>
      </w:tr>
      <w:tr>
        <w:tc>
          <w:tcPr>
            <w:tcW w:type="dxa" w:w="2608"/>
          </w:tcPr>
          <w:p>
            <w:r/>
            <w:r>
              <w:rPr>
                <w:b/>
                <w:sz w:val="19"/>
              </w:rPr>
              <w:t>El volumen negociado no es confiable a nivel diario</w:t>
            </w:r>
          </w:p>
        </w:tc>
        <w:tc>
          <w:tcPr>
            <w:tcW w:type="dxa" w:w="5613"/>
          </w:tcPr>
          <w:p>
            <w:r/>
            <w:r>
              <w:rPr>
                <w:sz w:val="19"/>
              </w:rPr>
              <w:t>Para tickers de Lima. Se usó la frecuencia de negociación oficial de los informes bursátiles mensuales de la BVL como sustituto para medir capacidad.</w:t>
            </w:r>
          </w:p>
        </w:tc>
      </w:tr>
      <w:tr>
        <w:tc>
          <w:tcPr>
            <w:tcW w:type="dxa" w:w="2608"/>
          </w:tcPr>
          <w:p>
            <w:r/>
            <w:r>
              <w:rPr>
                <w:b/>
                <w:sz w:val="19"/>
              </w:rPr>
              <w:t>La muestra es chica para aprendizaje profundo</w:t>
            </w:r>
          </w:p>
        </w:tc>
        <w:tc>
          <w:tcPr>
            <w:tcW w:type="dxa" w:w="5613"/>
          </w:tcPr>
          <w:p>
            <w:r/>
            <w:r>
              <w:rPr>
                <w:sz w:val="19"/>
              </w:rPr>
              <w:t>~3,500 días por siete activos. Es el argumento principal para favorecer arquitecturas simples y regularización fuerte, y para desconfiar de cualquier resultado que dependa de una sola corrida.</w:t>
            </w:r>
          </w:p>
        </w:tc>
      </w:tr>
    </w:tbl>
    <w:p>
      <w:pPr>
        <w:spacing w:after="80"/>
      </w:pPr>
    </w:p>
    <w:p>
      <w:r>
        <w:br w:type="page"/>
      </w:r>
    </w:p>
    <w:p>
      <w:pPr>
        <w:pStyle w:val="Heading1"/>
      </w:pPr>
      <w:r>
        <w:rPr>
          <w:rFonts w:ascii="Calibri" w:hAnsi="Calibri"/>
          <w:color w:val="1F3A5F"/>
        </w:rPr>
        <w:t>8. Lo que está abierto — donde su opinión vale más</w:t>
      </w:r>
    </w:p>
    <w:p>
      <w:pPr>
        <w:spacing w:after="120"/>
        <w:jc w:val="both"/>
      </w:pPr>
      <w:r>
        <w:rPr>
          <w:i w:val="0"/>
          <w:sz w:val="21"/>
        </w:rPr>
        <w:t>Siete decisiones del entorno y el agente no se han tomado. Están deliberadamente abiertas porque son juicios de inversión antes que de programación.</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3173"/>
        <w:gridCol w:w="3173"/>
        <w:gridCol w:w="3173"/>
      </w:tblGrid>
      <w:tr>
        <w:tc>
          <w:tcPr>
            <w:tcW w:type="dxa" w:w="567"/>
            <w:shd w:val="clear" w:fill="1F3A5F"/>
          </w:tcPr>
          <w:p>
            <w:r/>
            <w:r>
              <w:rPr>
                <w:b/>
                <w:color w:val="FFFFFF"/>
                <w:sz w:val="19"/>
              </w:rPr>
              <w:t>#</w:t>
            </w:r>
          </w:p>
        </w:tc>
        <w:tc>
          <w:tcPr>
            <w:tcW w:type="dxa" w:w="2041"/>
            <w:shd w:val="clear" w:fill="1F3A5F"/>
          </w:tcPr>
          <w:p>
            <w:r/>
            <w:r>
              <w:rPr>
                <w:b/>
                <w:color w:val="FFFFFF"/>
                <w:sz w:val="19"/>
              </w:rPr>
              <w:t>Decisión</w:t>
            </w:r>
          </w:p>
        </w:tc>
        <w:tc>
          <w:tcPr>
            <w:tcW w:type="dxa" w:w="5613"/>
            <w:shd w:val="clear" w:fill="1F3A5F"/>
          </w:tcPr>
          <w:p>
            <w:r/>
            <w:r>
              <w:rPr>
                <w:b/>
                <w:color w:val="FFFFFF"/>
                <w:sz w:val="19"/>
              </w:rPr>
              <w:t>Estado y opciones</w:t>
            </w:r>
          </w:p>
        </w:tc>
      </w:tr>
      <w:tr>
        <w:tc>
          <w:tcPr>
            <w:tcW w:type="dxa" w:w="567"/>
          </w:tcPr>
          <w:p>
            <w:r/>
            <w:r>
              <w:rPr>
                <w:b/>
                <w:sz w:val="19"/>
              </w:rPr>
              <w:t>1</w:t>
            </w:r>
          </w:p>
        </w:tc>
        <w:tc>
          <w:tcPr>
            <w:tcW w:type="dxa" w:w="2041"/>
          </w:tcPr>
          <w:p>
            <w:r/>
            <w:r>
              <w:rPr>
                <w:sz w:val="19"/>
              </w:rPr>
              <w:t>Función objetivo</w:t>
            </w:r>
          </w:p>
        </w:tc>
        <w:tc>
          <w:tcPr>
            <w:tcW w:type="dxa" w:w="5613"/>
          </w:tcPr>
          <w:p>
            <w:r/>
            <w:r>
              <w:rPr>
                <w:sz w:val="19"/>
              </w:rPr>
              <w:t>¿Qué maximiza el agente? Retorno acumulado simple, Sharpe, Sortino, retorno penalizado por drawdown, o retorno en exceso sobre un benchmark. Cada una produce un comportamiento distinto y ninguna es obviamente correcta.</w:t>
            </w:r>
          </w:p>
        </w:tc>
      </w:tr>
      <w:tr>
        <w:tc>
          <w:tcPr>
            <w:tcW w:type="dxa" w:w="567"/>
          </w:tcPr>
          <w:p>
            <w:r/>
            <w:r>
              <w:rPr>
                <w:b/>
                <w:sz w:val="19"/>
              </w:rPr>
              <w:t>2</w:t>
            </w:r>
          </w:p>
        </w:tc>
        <w:tc>
          <w:tcPr>
            <w:tcW w:type="dxa" w:w="2041"/>
          </w:tcPr>
          <w:p>
            <w:r/>
            <w:r>
              <w:rPr>
                <w:sz w:val="19"/>
              </w:rPr>
              <w:t>Costos de transacción y slippage</w:t>
            </w:r>
          </w:p>
        </w:tc>
        <w:tc>
          <w:tcPr>
            <w:tcW w:type="dxa" w:w="5613"/>
          </w:tcPr>
          <w:p>
            <w:r/>
            <w:r>
              <w:rPr>
                <w:sz w:val="19"/>
              </w:rPr>
              <w:t>Se observaron spreads de compra-venta entre 8 y 220 puntos básicos de ida y vuelta según el papel. Cruzar el spread de Luz del Sur una vez cuesta ~110 pbs. Con esos números la frecuencia de rebalanceo deja de ser un detalle y pasa a ser la decisión central.</w:t>
            </w:r>
          </w:p>
        </w:tc>
      </w:tr>
      <w:tr>
        <w:tc>
          <w:tcPr>
            <w:tcW w:type="dxa" w:w="567"/>
          </w:tcPr>
          <w:p>
            <w:r/>
            <w:r>
              <w:rPr>
                <w:b/>
                <w:sz w:val="19"/>
              </w:rPr>
              <w:t>3</w:t>
            </w:r>
          </w:p>
        </w:tc>
        <w:tc>
          <w:tcPr>
            <w:tcW w:type="dxa" w:w="2041"/>
          </w:tcPr>
          <w:p>
            <w:r/>
            <w:r>
              <w:rPr>
                <w:sz w:val="19"/>
              </w:rPr>
              <w:t>Capacidad del portafolio</w:t>
            </w:r>
          </w:p>
        </w:tc>
        <w:tc>
          <w:tcPr>
            <w:tcW w:type="dxa" w:w="5613"/>
          </w:tcPr>
          <w:p>
            <w:r/>
            <w:r>
              <w:rPr>
                <w:sz w:val="19"/>
              </w:rPr>
              <w:t>Con la liquidez observada, el tamaño realista está en el orden de S/ 1.8 millones, y el activo que lo limita es BCP.</w:t>
            </w:r>
          </w:p>
        </w:tc>
      </w:tr>
      <w:tr>
        <w:tc>
          <w:tcPr>
            <w:tcW w:type="dxa" w:w="567"/>
          </w:tcPr>
          <w:p>
            <w:r/>
            <w:r>
              <w:rPr>
                <w:b/>
                <w:sz w:val="19"/>
              </w:rPr>
              <w:t>4</w:t>
            </w:r>
          </w:p>
        </w:tc>
        <w:tc>
          <w:tcPr>
            <w:tcW w:type="dxa" w:w="2041"/>
          </w:tcPr>
          <w:p>
            <w:r/>
            <w:r>
              <w:rPr>
                <w:sz w:val="19"/>
              </w:rPr>
              <w:t>Qué hacer en días sin negociación</w:t>
            </w:r>
          </w:p>
        </w:tc>
        <w:tc>
          <w:tcPr>
            <w:tcW w:type="dxa" w:w="5613"/>
          </w:tcPr>
          <w:p>
            <w:r/>
            <w:r>
              <w:rPr>
                <w:sz w:val="19"/>
              </w:rPr>
              <w:t>¿Se le impide al agente operar ese activo ese día, o se le permite y se le penaliza el intento?</w:t>
            </w:r>
          </w:p>
        </w:tc>
      </w:tr>
      <w:tr>
        <w:tc>
          <w:tcPr>
            <w:tcW w:type="dxa" w:w="567"/>
          </w:tcPr>
          <w:p>
            <w:r/>
            <w:r>
              <w:rPr>
                <w:b/>
                <w:sz w:val="19"/>
              </w:rPr>
              <w:t>5</w:t>
            </w:r>
          </w:p>
        </w:tc>
        <w:tc>
          <w:tcPr>
            <w:tcW w:type="dxa" w:w="2041"/>
          </w:tcPr>
          <w:p>
            <w:r/>
            <w:r>
              <w:rPr>
                <w:sz w:val="19"/>
              </w:rPr>
              <w:t>Tasa libre de riesgo y benchmark</w:t>
            </w:r>
          </w:p>
        </w:tc>
        <w:tc>
          <w:tcPr>
            <w:tcW w:type="dxa" w:w="5613"/>
          </w:tcPr>
          <w:p>
            <w:r/>
            <w:r>
              <w:rPr>
                <w:sz w:val="19"/>
              </w:rPr>
              <w:t>Si la recompensa usa Sharpe o exceso de retorno hace falta una tasa libre de riesgo, y hoy no está en el panel.</w:t>
            </w:r>
          </w:p>
        </w:tc>
      </w:tr>
      <w:tr>
        <w:tc>
          <w:tcPr>
            <w:tcW w:type="dxa" w:w="567"/>
          </w:tcPr>
          <w:p>
            <w:r/>
            <w:r>
              <w:rPr>
                <w:b/>
                <w:sz w:val="19"/>
              </w:rPr>
              <w:t>6</w:t>
            </w:r>
          </w:p>
        </w:tc>
        <w:tc>
          <w:tcPr>
            <w:tcW w:type="dxa" w:w="2041"/>
          </w:tcPr>
          <w:p>
            <w:r/>
            <w:r>
              <w:rPr>
                <w:sz w:val="19"/>
              </w:rPr>
              <w:t>Normalización de las señales</w:t>
            </w:r>
          </w:p>
        </w:tc>
        <w:tc>
          <w:tcPr>
            <w:tcW w:type="dxa" w:w="5613"/>
          </w:tcPr>
          <w:p>
            <w:r/>
            <w:r>
              <w:rPr>
                <w:sz w:val="19"/>
              </w:rPr>
              <w:t>Debe ser causal (solo datos hasta la fecha) y probablemente por activo, dado que los siete tienen escalas muy distintas. Falta fijar la ventana.</w:t>
            </w:r>
          </w:p>
        </w:tc>
      </w:tr>
      <w:tr>
        <w:tc>
          <w:tcPr>
            <w:tcW w:type="dxa" w:w="567"/>
          </w:tcPr>
          <w:p>
            <w:r/>
            <w:r>
              <w:rPr>
                <w:b/>
                <w:sz w:val="19"/>
              </w:rPr>
              <w:t>7</w:t>
            </w:r>
          </w:p>
        </w:tc>
        <w:tc>
          <w:tcPr>
            <w:tcW w:type="dxa" w:w="2041"/>
          </w:tcPr>
          <w:p>
            <w:r/>
            <w:r>
              <w:rPr>
                <w:sz w:val="19"/>
              </w:rPr>
              <w:t>Protocolo de evaluación</w:t>
            </w:r>
          </w:p>
        </w:tc>
        <w:tc>
          <w:tcPr>
            <w:tcW w:type="dxa" w:w="5613"/>
          </w:tcPr>
          <w:p>
            <w:r/>
            <w:r>
              <w:rPr>
                <w:sz w:val="19"/>
              </w:rPr>
              <w:t>A fijar ANTES de entrenar. Baselines previstos: comprar y mantener, equiponderado 1/N, momentum y media-varianza. Métricas: retorno acumulado, Sharpe, Sortino, máximo drawdown, rotación. Múltiples semillas y una medida de significancia, para no concluir sobre una corrida afortunada.</w:t>
            </w:r>
          </w:p>
        </w:tc>
      </w:tr>
    </w:tbl>
    <w:p>
      <w:pPr>
        <w:spacing w:after="80"/>
      </w:pPr>
    </w:p>
    <w:p>
      <w:r>
        <w:br w:type="page"/>
      </w:r>
    </w:p>
    <w:p>
      <w:pPr>
        <w:jc w:val="center"/>
      </w:pPr>
      <w:r>
        <w:rPr>
          <w:b/>
          <w:color w:val="1F3A5F"/>
          <w:sz w:val="40"/>
        </w:rPr>
        <w:t>PREGUNTAS PARA LA REUNIÓN</w:t>
      </w:r>
    </w:p>
    <w:p>
      <w:pPr>
        <w:jc w:val="center"/>
      </w:pPr>
      <w:r>
        <w:rPr>
          <w:i/>
          <w:color w:val="595959"/>
          <w:sz w:val="22"/>
        </w:rPr>
        <w:t>Ordenadas por lo que más cambiaría el trabajo si la respuesta es inesperada</w:t>
      </w:r>
    </w:p>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3173"/>
        <w:gridCol w:w="3173"/>
        <w:gridCol w:w="3173"/>
      </w:tblGrid>
      <w:tr>
        <w:tc>
          <w:tcPr>
            <w:tcW w:type="dxa" w:w="567"/>
            <w:shd w:val="clear" w:fill="1F3A5F"/>
          </w:tcPr>
          <w:p>
            <w:r/>
            <w:r>
              <w:rPr>
                <w:b/>
                <w:color w:val="FFFFFF"/>
                <w:sz w:val="19"/>
              </w:rPr>
              <w:t>#</w:t>
            </w:r>
          </w:p>
        </w:tc>
        <w:tc>
          <w:tcPr>
            <w:tcW w:type="dxa" w:w="4819"/>
            <w:shd w:val="clear" w:fill="1F3A5F"/>
          </w:tcPr>
          <w:p>
            <w:r/>
            <w:r>
              <w:rPr>
                <w:b/>
                <w:color w:val="FFFFFF"/>
                <w:sz w:val="19"/>
              </w:rPr>
              <w:t>Pregunta</w:t>
            </w:r>
          </w:p>
        </w:tc>
        <w:tc>
          <w:tcPr>
            <w:tcW w:type="dxa" w:w="2835"/>
            <w:shd w:val="clear" w:fill="1F3A5F"/>
          </w:tcPr>
          <w:p>
            <w:r/>
            <w:r>
              <w:rPr>
                <w:b/>
                <w:color w:val="FFFFFF"/>
                <w:sz w:val="19"/>
              </w:rPr>
              <w:t>Por qué importa</w:t>
            </w:r>
          </w:p>
        </w:tc>
      </w:tr>
      <w:tr>
        <w:tc>
          <w:tcPr>
            <w:tcW w:type="dxa" w:w="567"/>
          </w:tcPr>
          <w:p>
            <w:r/>
            <w:r>
              <w:rPr>
                <w:b/>
                <w:sz w:val="19"/>
              </w:rPr>
              <w:t>P1</w:t>
            </w:r>
          </w:p>
        </w:tc>
        <w:tc>
          <w:tcPr>
            <w:tcW w:type="dxa" w:w="4819"/>
          </w:tcPr>
          <w:p>
            <w:r/>
            <w:r>
              <w:rPr>
                <w:sz w:val="19"/>
              </w:rPr>
              <w:t>Frecuencia de rebalanceo. Con spreads de 8 a 220 pbs, ¿a qué frecuencia tiene sentido rebalancear una cartera de siete nombres de la BVL? ¿Diaria es directamente inviable? ¿Semanal, mensual?</w:t>
            </w:r>
          </w:p>
        </w:tc>
        <w:tc>
          <w:tcPr>
            <w:tcW w:type="dxa" w:w="2835"/>
          </w:tcPr>
          <w:p>
            <w:r/>
            <w:r>
              <w:rPr>
                <w:sz w:val="19"/>
              </w:rPr>
              <w:t>Puede invalidar el diseño entero del entorno.</w:t>
            </w:r>
          </w:p>
        </w:tc>
      </w:tr>
      <w:tr>
        <w:tc>
          <w:tcPr>
            <w:tcW w:type="dxa" w:w="567"/>
          </w:tcPr>
          <w:p>
            <w:r/>
            <w:r>
              <w:rPr>
                <w:b/>
                <w:sz w:val="19"/>
              </w:rPr>
              <w:t>P2</w:t>
            </w:r>
          </w:p>
        </w:tc>
        <w:tc>
          <w:tcPr>
            <w:tcW w:type="dxa" w:w="4819"/>
          </w:tcPr>
          <w:p>
            <w:r/>
            <w:r>
              <w:rPr>
                <w:sz w:val="19"/>
              </w:rPr>
              <w:t>Función objetivo. ¿Qué optimiza realmente un director de portafolios en un mercado como este? ¿Sharpe, drawdown, tracking error? ¿Tiene sentido que un agente maximice Sharpe diario?</w:t>
            </w:r>
          </w:p>
        </w:tc>
        <w:tc>
          <w:tcPr>
            <w:tcW w:type="dxa" w:w="2835"/>
          </w:tcPr>
          <w:p>
            <w:r/>
            <w:r>
              <w:rPr>
                <w:sz w:val="19"/>
              </w:rPr>
              <w:t>Define la recompensa del agente: es la decisión más determinante.</w:t>
            </w:r>
          </w:p>
        </w:tc>
      </w:tr>
      <w:tr>
        <w:tc>
          <w:tcPr>
            <w:tcW w:type="dxa" w:w="567"/>
          </w:tcPr>
          <w:p>
            <w:r/>
            <w:r>
              <w:rPr>
                <w:b/>
                <w:sz w:val="19"/>
              </w:rPr>
              <w:t>P3</w:t>
            </w:r>
          </w:p>
        </w:tc>
        <w:tc>
          <w:tcPr>
            <w:tcW w:type="dxa" w:w="4819"/>
          </w:tcPr>
          <w:p>
            <w:r/>
            <w:r>
              <w:rPr>
                <w:sz w:val="19"/>
              </w:rPr>
              <w:t>Benchmark justo. ¿Los cuatro baselines previstos son los que un profesional exigiría? ¿Contra qué índice se compara honestamente una cartera de siete acciones peruanas?</w:t>
            </w:r>
          </w:p>
        </w:tc>
        <w:tc>
          <w:tcPr>
            <w:tcW w:type="dxa" w:w="2835"/>
          </w:tcPr>
          <w:p>
            <w:r/>
            <w:r>
              <w:rPr>
                <w:sz w:val="19"/>
              </w:rPr>
              <w:t>Sin el benchmark correcto, cualquier resultado es discutible.</w:t>
            </w:r>
          </w:p>
        </w:tc>
      </w:tr>
      <w:tr>
        <w:tc>
          <w:tcPr>
            <w:tcW w:type="dxa" w:w="567"/>
          </w:tcPr>
          <w:p>
            <w:r/>
            <w:r>
              <w:rPr>
                <w:b/>
                <w:sz w:val="19"/>
              </w:rPr>
              <w:t>P4</w:t>
            </w:r>
          </w:p>
        </w:tc>
        <w:tc>
          <w:tcPr>
            <w:tcW w:type="dxa" w:w="4819"/>
          </w:tcPr>
          <w:p>
            <w:r/>
            <w:r>
              <w:rPr>
                <w:sz w:val="19"/>
              </w:rPr>
              <w:t>Restricciones realistas. Se asume solo posiciones largas, sin apalancamiento. ¿Es lo correcto para la BVL? ¿Hay límites de concentración por emisor que un mandato real impondría?</w:t>
            </w:r>
          </w:p>
        </w:tc>
        <w:tc>
          <w:tcPr>
            <w:tcW w:type="dxa" w:w="2835"/>
          </w:tcPr>
          <w:p>
            <w:r/>
            <w:r>
              <w:rPr>
                <w:sz w:val="19"/>
              </w:rPr>
              <w:t>Cambia el espacio de acción del agente.</w:t>
            </w:r>
          </w:p>
        </w:tc>
      </w:tr>
      <w:tr>
        <w:tc>
          <w:tcPr>
            <w:tcW w:type="dxa" w:w="567"/>
          </w:tcPr>
          <w:p>
            <w:r/>
            <w:r>
              <w:rPr>
                <w:b/>
                <w:sz w:val="19"/>
              </w:rPr>
              <w:t>P5</w:t>
            </w:r>
          </w:p>
        </w:tc>
        <w:tc>
          <w:tcPr>
            <w:tcW w:type="dxa" w:w="4819"/>
          </w:tcPr>
          <w:p>
            <w:r/>
            <w:r>
              <w:rPr>
                <w:sz w:val="19"/>
              </w:rPr>
              <w:t>Sentimiento de prensa. ¿La prensa local anticipa o registra? ¿Vale la pena el canal, o el flujo de no residentes y el cobre explican casi todo?</w:t>
            </w:r>
          </w:p>
        </w:tc>
        <w:tc>
          <w:tcPr>
            <w:tcW w:type="dxa" w:w="2835"/>
          </w:tcPr>
          <w:p>
            <w:r/>
            <w:r>
              <w:rPr>
                <w:sz w:val="19"/>
              </w:rPr>
              <w:t>Si solo registra, el canal tiene un techo bajo por construcción.</w:t>
            </w:r>
          </w:p>
        </w:tc>
      </w:tr>
      <w:tr>
        <w:tc>
          <w:tcPr>
            <w:tcW w:type="dxa" w:w="567"/>
          </w:tcPr>
          <w:p>
            <w:r/>
            <w:r>
              <w:rPr>
                <w:b/>
                <w:sz w:val="19"/>
              </w:rPr>
              <w:t>P6</w:t>
            </w:r>
          </w:p>
        </w:tc>
        <w:tc>
          <w:tcPr>
            <w:tcW w:type="dxa" w:w="4819"/>
          </w:tcPr>
          <w:p>
            <w:r/>
            <w:r>
              <w:rPr>
                <w:sz w:val="19"/>
              </w:rPr>
              <w:t>Fundamentales y tiempo. ¿Un rezago mediano de 10 días en un indicador trimestral cambia una decisión de portafolio, o es irrelevante en la práctica?</w:t>
            </w:r>
          </w:p>
        </w:tc>
        <w:tc>
          <w:tcPr>
            <w:tcW w:type="dxa" w:w="2835"/>
          </w:tcPr>
          <w:p>
            <w:r/>
            <w:r>
              <w:rPr>
                <w:sz w:val="19"/>
              </w:rPr>
              <w:t>Decide si vale la pena el trabajo de fechado point-in-time.</w:t>
            </w:r>
          </w:p>
        </w:tc>
      </w:tr>
      <w:tr>
        <w:tc>
          <w:tcPr>
            <w:tcW w:type="dxa" w:w="567"/>
          </w:tcPr>
          <w:p>
            <w:r/>
            <w:r>
              <w:rPr>
                <w:b/>
                <w:sz w:val="19"/>
              </w:rPr>
              <w:t>P7</w:t>
            </w:r>
          </w:p>
        </w:tc>
        <w:tc>
          <w:tcPr>
            <w:tcW w:type="dxa" w:w="4819"/>
          </w:tcPr>
          <w:p>
            <w:r/>
            <w:r>
              <w:rPr>
                <w:sz w:val="19"/>
              </w:rPr>
              <w:t>Quiebres de régimen. El horizonte 2012–2025 incluye el ciclo de commodities, la crisis política 2016–2023, la pandemia y el gobierno de Castillo. ¿Hay subperíodos que excluiría o trataría aparte?</w:t>
            </w:r>
          </w:p>
        </w:tc>
        <w:tc>
          <w:tcPr>
            <w:tcW w:type="dxa" w:w="2835"/>
          </w:tcPr>
          <w:p>
            <w:r/>
            <w:r>
              <w:rPr>
                <w:sz w:val="19"/>
              </w:rPr>
              <w:t>Afecta la partición y la interpretación de los resultados.</w:t>
            </w:r>
          </w:p>
        </w:tc>
      </w:tr>
      <w:tr>
        <w:tc>
          <w:tcPr>
            <w:tcW w:type="dxa" w:w="567"/>
          </w:tcPr>
          <w:p>
            <w:r/>
            <w:r>
              <w:rPr>
                <w:b/>
                <w:sz w:val="19"/>
              </w:rPr>
              <w:t>P8</w:t>
            </w:r>
          </w:p>
        </w:tc>
        <w:tc>
          <w:tcPr>
            <w:tcW w:type="dxa" w:w="4819"/>
          </w:tcPr>
          <w:p>
            <w:r/>
            <w:r>
              <w:rPr>
                <w:sz w:val="19"/>
              </w:rPr>
              <w:t>El universo. ¿Siete nombres alcanzan? ¿Agregaría efectivo remunerado o renta fija como activo, para que el agente pueda «salirse» del mercado?</w:t>
            </w:r>
          </w:p>
        </w:tc>
        <w:tc>
          <w:tcPr>
            <w:tcW w:type="dxa" w:w="2835"/>
          </w:tcPr>
          <w:p>
            <w:r/>
            <w:r>
              <w:rPr>
                <w:sz w:val="19"/>
              </w:rPr>
              <w:t>Cambia la naturaleza del problema de asignación.</w:t>
            </w:r>
          </w:p>
        </w:tc>
      </w:tr>
      <w:tr>
        <w:tc>
          <w:tcPr>
            <w:tcW w:type="dxa" w:w="567"/>
          </w:tcPr>
          <w:p>
            <w:r/>
            <w:r>
              <w:rPr>
                <w:b/>
                <w:sz w:val="19"/>
              </w:rPr>
              <w:t>P9</w:t>
            </w:r>
          </w:p>
        </w:tc>
        <w:tc>
          <w:tcPr>
            <w:tcW w:type="dxa" w:w="4819"/>
          </w:tcPr>
          <w:p>
            <w:r/>
            <w:r>
              <w:rPr>
                <w:sz w:val="19"/>
              </w:rPr>
              <w:t>Capacidad. ¿S/ 1.8 millones es un tamaño con el que un resultado sería creíble, o es tan pequeño que el ejercicio pierde interés práctico?</w:t>
            </w:r>
          </w:p>
        </w:tc>
        <w:tc>
          <w:tcPr>
            <w:tcW w:type="dxa" w:w="2835"/>
          </w:tcPr>
          <w:p>
            <w:r/>
            <w:r>
              <w:rPr>
                <w:sz w:val="19"/>
              </w:rPr>
              <w:t>Determina si el trabajo tiene relevancia aplicada.</w:t>
            </w:r>
          </w:p>
        </w:tc>
      </w:tr>
      <w:tr>
        <w:tc>
          <w:tcPr>
            <w:tcW w:type="dxa" w:w="567"/>
          </w:tcPr>
          <w:p>
            <w:r/>
            <w:r>
              <w:rPr>
                <w:b/>
                <w:sz w:val="19"/>
              </w:rPr>
              <w:t>P10</w:t>
            </w:r>
          </w:p>
        </w:tc>
        <w:tc>
          <w:tcPr>
            <w:tcW w:type="dxa" w:w="4819"/>
          </w:tcPr>
          <w:p>
            <w:r/>
            <w:r>
              <w:rPr>
                <w:sz w:val="19"/>
              </w:rPr>
              <w:t>Lo que no estamos viendo. Con lo descrito acá, ¿qué supuesto le parece más frágil?</w:t>
            </w:r>
          </w:p>
        </w:tc>
        <w:tc>
          <w:tcPr>
            <w:tcW w:type="dxa" w:w="2835"/>
          </w:tcPr>
          <w:p>
            <w:r/>
            <w:r>
              <w:rPr>
                <w:sz w:val="19"/>
              </w:rPr>
              <w:t>Es la pregunta más valiosa de la lista.</w:t>
            </w:r>
          </w:p>
        </w:tc>
      </w:tr>
    </w:tbl>
    <w:p>
      <w:pPr>
        <w:spacing w:after="80"/>
      </w:pP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9518"/>
      </w:tblGrid>
      <w:tr>
        <w:tc>
          <w:tcPr>
            <w:tcW w:type="dxa" w:w="9518"/>
            <w:shd w:val="clear" w:fill="FBF0EF"/>
          </w:tcPr>
          <w:p>
            <w:r/>
            <w:r>
              <w:rPr>
                <w:b/>
                <w:color w:val="8C1D18"/>
                <w:sz w:val="21"/>
              </w:rPr>
              <w:t>Si el tiempo se acorta</w:t>
            </w:r>
          </w:p>
          <w:p>
            <w:pPr>
              <w:jc w:val="both"/>
            </w:pPr>
            <w:r>
              <w:rPr>
                <w:sz w:val="20"/>
              </w:rPr>
              <w:t>Priorizar P1 (frecuencia de rebalanceo), P2 (función objetivo) y P5 (si la prensa anticipa o registra). Las tres pueden cambiar el diseño, y las tres son cosas que un practicante sabe y nosotros no podemos medir.</w:t>
            </w:r>
          </w:p>
        </w:tc>
      </w:tr>
    </w:tbl>
    <w:p>
      <w:pPr>
        <w:spacing w:after="80"/>
      </w:pPr>
    </w:p>
    <w:p>
      <w:r>
        <w:br w:type="page"/>
      </w:r>
    </w:p>
    <w:p>
      <w:pPr>
        <w:pStyle w:val="Heading1"/>
      </w:pPr>
      <w:r>
        <w:rPr>
          <w:rFonts w:ascii="Calibri" w:hAnsi="Calibri"/>
          <w:color w:val="1F3A5F"/>
        </w:rPr>
        <w:t>Anexo — Glosario</w:t>
      </w:r>
    </w:p>
    <w:tbl>
      <w:tblPr>
        <w:tblW w:type="auto" w:w="0"/>
        <w:jc w:val="center"/>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759"/>
        <w:gridCol w:w="4759"/>
      </w:tblGrid>
      <w:tr>
        <w:tc>
          <w:tcPr>
            <w:tcW w:type="dxa" w:w="2381"/>
            <w:shd w:val="clear" w:fill="1F3A5F"/>
          </w:tcPr>
          <w:p>
            <w:r/>
            <w:r>
              <w:rPr>
                <w:b/>
                <w:color w:val="FFFFFF"/>
                <w:sz w:val="19"/>
              </w:rPr>
              <w:t>Término</w:t>
            </w:r>
          </w:p>
        </w:tc>
        <w:tc>
          <w:tcPr>
            <w:tcW w:type="dxa" w:w="5839"/>
            <w:shd w:val="clear" w:fill="1F3A5F"/>
          </w:tcPr>
          <w:p>
            <w:r/>
            <w:r>
              <w:rPr>
                <w:b/>
                <w:color w:val="FFFFFF"/>
                <w:sz w:val="19"/>
              </w:rPr>
              <w:t>Definición</w:t>
            </w:r>
          </w:p>
        </w:tc>
      </w:tr>
      <w:tr>
        <w:tc>
          <w:tcPr>
            <w:tcW w:type="dxa" w:w="2381"/>
          </w:tcPr>
          <w:p>
            <w:r/>
            <w:r>
              <w:rPr>
                <w:b/>
                <w:sz w:val="19"/>
              </w:rPr>
              <w:t>Aprendizaje por refuerzo profundo</w:t>
            </w:r>
          </w:p>
        </w:tc>
        <w:tc>
          <w:tcPr>
            <w:tcW w:type="dxa" w:w="5839"/>
          </w:tcPr>
          <w:p>
            <w:r/>
            <w:r>
              <w:rPr>
                <w:sz w:val="19"/>
              </w:rPr>
              <w:t>Familia de métodos donde un agente aprende una política —una regla que mapea estado a acción— maximizando una recompensa acumulada, sin que se le den ejemplos de la acción correcta.</w:t>
            </w:r>
          </w:p>
        </w:tc>
      </w:tr>
      <w:tr>
        <w:tc>
          <w:tcPr>
            <w:tcW w:type="dxa" w:w="2381"/>
          </w:tcPr>
          <w:p>
            <w:r/>
            <w:r>
              <w:rPr>
                <w:b/>
                <w:sz w:val="19"/>
              </w:rPr>
              <w:t>Ablación</w:t>
            </w:r>
          </w:p>
        </w:tc>
        <w:tc>
          <w:tcPr>
            <w:tcW w:type="dxa" w:w="5839"/>
          </w:tcPr>
          <w:p>
            <w:r/>
            <w:r>
              <w:rPr>
                <w:sz w:val="19"/>
              </w:rPr>
              <w:t>Entrenar el mismo modelo quitando un bloque de información por vez, para atribuir el desempeño a un canal concreto en vez de al conjunto.</w:t>
            </w:r>
          </w:p>
        </w:tc>
      </w:tr>
      <w:tr>
        <w:tc>
          <w:tcPr>
            <w:tcW w:type="dxa" w:w="2381"/>
          </w:tcPr>
          <w:p>
            <w:r/>
            <w:r>
              <w:rPr>
                <w:b/>
                <w:sz w:val="19"/>
              </w:rPr>
              <w:t>Point-in-time</w:t>
            </w:r>
          </w:p>
        </w:tc>
        <w:tc>
          <w:tcPr>
            <w:tcW w:type="dxa" w:w="5839"/>
          </w:tcPr>
          <w:p>
            <w:r/>
            <w:r>
              <w:rPr>
                <w:sz w:val="19"/>
              </w:rPr>
              <w:t>Disciplina de reconstruir, para cada fecha, solo la información que era pública en esa fecha.</w:t>
            </w:r>
          </w:p>
        </w:tc>
      </w:tr>
      <w:tr>
        <w:tc>
          <w:tcPr>
            <w:tcW w:type="dxa" w:w="2381"/>
          </w:tcPr>
          <w:p>
            <w:r/>
            <w:r>
              <w:rPr>
                <w:b/>
                <w:sz w:val="19"/>
              </w:rPr>
              <w:t>Sesgo de anticipación (look-ahead)</w:t>
            </w:r>
          </w:p>
        </w:tc>
        <w:tc>
          <w:tcPr>
            <w:tcW w:type="dxa" w:w="5839"/>
          </w:tcPr>
          <w:p>
            <w:r/>
            <w:r>
              <w:rPr>
                <w:sz w:val="19"/>
              </w:rPr>
              <w:t>Usar en una decisión histórica información que en ese momento no existía. Infla el backtest y lo invalida.</w:t>
            </w:r>
          </w:p>
        </w:tc>
      </w:tr>
      <w:tr>
        <w:tc>
          <w:tcPr>
            <w:tcW w:type="dxa" w:w="2381"/>
          </w:tcPr>
          <w:p>
            <w:r/>
            <w:r>
              <w:rPr>
                <w:b/>
                <w:sz w:val="19"/>
              </w:rPr>
              <w:t>Vida media</w:t>
            </w:r>
          </w:p>
        </w:tc>
        <w:tc>
          <w:tcPr>
            <w:tcW w:type="dxa" w:w="5839"/>
          </w:tcPr>
          <w:p>
            <w:r/>
            <w:r>
              <w:rPr>
                <w:sz w:val="19"/>
              </w:rPr>
              <w:t>En un decaimiento exponencial, número de días tras el cual el peso de un evento pasado se reduce a la mitad.</w:t>
            </w:r>
          </w:p>
        </w:tc>
      </w:tr>
      <w:tr>
        <w:tc>
          <w:tcPr>
            <w:tcW w:type="dxa" w:w="2381"/>
          </w:tcPr>
          <w:p>
            <w:r/>
            <w:r>
              <w:rPr>
                <w:b/>
                <w:sz w:val="19"/>
              </w:rPr>
              <w:t>Fuera de muestra</w:t>
            </w:r>
          </w:p>
        </w:tc>
        <w:tc>
          <w:tcPr>
            <w:tcW w:type="dxa" w:w="5839"/>
          </w:tcPr>
          <w:p>
            <w:r/>
            <w:r>
              <w:rPr>
                <w:sz w:val="19"/>
              </w:rPr>
              <w:t>Evaluado sobre datos que no se usaron para ajustar el modelo.</w:t>
            </w:r>
          </w:p>
        </w:tc>
      </w:tr>
      <w:tr>
        <w:tc>
          <w:tcPr>
            <w:tcW w:type="dxa" w:w="2381"/>
          </w:tcPr>
          <w:p>
            <w:r/>
            <w:r>
              <w:rPr>
                <w:b/>
                <w:sz w:val="19"/>
              </w:rPr>
              <w:t>Partición walk-forward</w:t>
            </w:r>
          </w:p>
        </w:tc>
        <w:tc>
          <w:tcPr>
            <w:tcW w:type="dxa" w:w="5839"/>
          </w:tcPr>
          <w:p>
            <w:r/>
            <w:r>
              <w:rPr>
                <w:sz w:val="19"/>
              </w:rPr>
              <w:t>División temporal en entrenamiento, validación y prueba, respetando el orden cronológico y sin barajar.</w:t>
            </w:r>
          </w:p>
        </w:tc>
      </w:tr>
    </w:tbl>
    <w:p>
      <w:pPr>
        <w:spacing w:after="80"/>
      </w:pP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