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CÂMARA DOS DEPUTADOS</w:t>
      </w:r>
    </w:p>
    <w:p>
      <w:pPr>
        <w:jc w:val="center"/>
      </w:pPr>
      <w:r>
        <w:rPr>
          <w:color w:val="2E75B6"/>
          <w:sz w:val="22"/>
        </w:rPr>
        <w:t>Portaria 227/2025, Arts. 23-24, 34</w:t>
      </w:r>
    </w:p>
    <w:p>
      <w:pPr>
        <w:jc w:val="center"/>
      </w:pPr>
      <w:r>
        <w:rPr>
          <w:b/>
          <w:color w:val="1F4E79"/>
          <w:sz w:val="26"/>
        </w:rPr>
        <w:t>PARECER DO COMITÊ DE ÉTICA NO USO DA INTELIGÊNCIA ARTIFICIAL (CETIA)</w:t>
      </w:r>
    </w:p>
    <w:p>
      <w:pPr>
        <w:jc w:val="center"/>
      </w:pPr>
      <w:r>
        <w:rPr>
          <w:color w:val="2E75B6"/>
          <w:sz w:val="20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before="240"/>
      </w:pPr>
      <w:r>
        <w:rPr>
          <w:b/>
          <w:color w:val="1F4E79"/>
          <w:sz w:val="24"/>
        </w:rPr>
        <w:t>DADOS DO PARECER</w:t>
      </w:r>
    </w:p>
    <w:p>
      <w:r>
        <w:rPr>
          <w:b/>
          <w:sz w:val="20"/>
        </w:rPr>
        <w:t>Parecer CETIA nº: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b/>
          <w:sz w:val="20"/>
        </w:rPr>
        <w:t>Data: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b/>
          <w:sz w:val="20"/>
        </w:rPr>
        <w:t>Tipo: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b w:val="0"/>
          <w:i w:val="0"/>
          <w:sz w:val="20"/>
        </w:rPr>
        <w:t>( ) Avaliação de nova demanda de sistema de IA [Art. 34-I]</w:t>
        <w:br/>
        <w:t>( ) Avaliação de sistema em desenvolvimento/operação [Art. 34-II]</w:t>
        <w:br/>
        <w:t>( ) Relatório executivo periódico [Art. 34-IV]</w:t>
      </w:r>
    </w:p>
    <w:p>
      <w:pPr>
        <w:spacing w:before="240"/>
      </w:pPr>
      <w:r>
        <w:rPr>
          <w:b/>
          <w:color w:val="1F4E79"/>
          <w:sz w:val="24"/>
        </w:rPr>
        <w:t>1. PROJETO / DEMANDA AVALIADA</w:t>
      </w:r>
    </w:p>
    <w:p>
      <w:r>
        <w:rPr>
          <w:b/>
          <w:sz w:val="20"/>
        </w:rPr>
        <w:t>Nome do projeto/sistema de IA: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b/>
          <w:sz w:val="20"/>
        </w:rPr>
        <w:t>Unidade demandante: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b/>
          <w:sz w:val="20"/>
        </w:rPr>
        <w:t>Responsável técnico (Ditec):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b/>
          <w:sz w:val="20"/>
        </w:rPr>
        <w:t>Descrição resumida: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before="240"/>
      </w:pPr>
      <w:r>
        <w:rPr>
          <w:b/>
          <w:color w:val="1F4E79"/>
          <w:sz w:val="24"/>
        </w:rPr>
        <w:t>2. RESUMO DA AVALIAÇÃO DE RISCOS DA DITEC [Art. 24, caput]</w:t>
      </w:r>
    </w:p>
    <w:p>
      <w:r>
        <w:rPr>
          <w:b w:val="0"/>
          <w:i w:val="0"/>
          <w:sz w:val="20"/>
        </w:rPr>
        <w:t>A Ditec realizou avaliação de riscos quanto à violação dos princípios éticos desta Portaria, conforme Art. 24, cujo resumo segue:</w:t>
      </w:r>
    </w:p>
    <w:p>
      <w:r>
        <w:rPr>
          <w:b/>
          <w:sz w:val="20"/>
        </w:rPr>
        <w:t>Classificação de risco atribuída pela Ditec: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b/>
          <w:sz w:val="20"/>
        </w:rPr>
        <w:t>Principais riscos identificados: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b/>
          <w:sz w:val="20"/>
        </w:rPr>
        <w:t>Medidas de mitigação propostas pela Ditec: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before="240"/>
      </w:pPr>
      <w:r>
        <w:rPr>
          <w:b/>
          <w:color w:val="1F4E79"/>
          <w:sz w:val="24"/>
        </w:rPr>
        <w:t>3. ANÁLISE POR PRINCÍPIO ÉTICO [Art. 4º]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Inciso</w:t>
            </w:r>
          </w:p>
        </w:tc>
        <w:tc>
          <w:tcPr>
            <w:tcW w:type="dxa" w:w="2160"/>
            <w:shd w:fill="2E75B6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Princípio</w:t>
            </w:r>
          </w:p>
        </w:tc>
        <w:tc>
          <w:tcPr>
            <w:tcW w:type="dxa" w:w="2160"/>
            <w:shd w:fill="2E75B6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Análise do CETIA</w:t>
            </w:r>
          </w:p>
        </w:tc>
        <w:tc>
          <w:tcPr>
            <w:tcW w:type="dxa" w:w="2160"/>
            <w:shd w:fill="2E75B6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Tratamento de dados com boa fé e finalidade legítima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II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Proteção do direito à privacidade e dos dados pessoais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III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Transparência e publicidade responsável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IV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Responsabilização e prestação de contas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V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Resultados justos, isentos de vieses, não discriminatórios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VI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Operação conforme propósitos, resiliência a falhas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VII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Primazia da decisão humana, supervisão contínua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VIII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Respeito à propriedade intelectual e direitos autorais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before="240"/>
      </w:pPr>
      <w:r>
        <w:rPr>
          <w:b/>
          <w:color w:val="1F4E79"/>
          <w:sz w:val="24"/>
        </w:rPr>
        <w:t>4. VERIFICAÇÃO DE VEDAÇÕES [Art. 15]</w:t>
      </w:r>
    </w:p>
    <w:p>
      <w:r>
        <w:rPr>
          <w:b w:val="0"/>
          <w:i w:val="0"/>
          <w:sz w:val="20"/>
        </w:rPr>
        <w:t>O CETIA verificou se a demanda envolve:</w:t>
      </w:r>
    </w:p>
    <w:p>
      <w:r>
        <w:rPr>
          <w:b w:val="0"/>
          <w:i w:val="0"/>
          <w:sz w:val="20"/>
        </w:rPr>
        <w:t>( ) Geração de resultados discriminatórios ilícitos ou abusivos [Art. 15-I]</w:t>
      </w:r>
    </w:p>
    <w:p>
      <w:r>
        <w:rPr>
          <w:b w:val="0"/>
          <w:i w:val="0"/>
          <w:sz w:val="20"/>
        </w:rPr>
        <w:t>( ) Criação ou reforço de vieses contra entidades representadas nos dados [Art. 15-II]</w:t>
      </w:r>
    </w:p>
    <w:p>
      <w:r>
        <w:rPr>
          <w:b w:val="0"/>
          <w:i w:val="0"/>
          <w:sz w:val="20"/>
        </w:rPr>
        <w:t>( ) Valoração de traços de personalidade ou perfilamento [Art. 15-III]</w:t>
      </w:r>
    </w:p>
    <w:p>
      <w:r>
        <w:rPr>
          <w:b/>
          <w:sz w:val="20"/>
        </w:rPr>
        <w:t>Resultado da verificação de vedações: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before="240"/>
      </w:pPr>
      <w:r>
        <w:rPr>
          <w:b/>
          <w:color w:val="1F4E79"/>
          <w:sz w:val="24"/>
        </w:rPr>
        <w:t>5. CLASSIFICAÇÃO DE RISCO PELO CETIA</w:t>
      </w:r>
    </w:p>
    <w:p>
      <w:r>
        <w:rPr>
          <w:b w:val="0"/>
          <w:i w:val="0"/>
          <w:sz w:val="20"/>
        </w:rPr>
        <w:t>Com base na análise realizada, o CETIA classifica o risco da demanda como:</w:t>
      </w:r>
    </w:p>
    <w:p>
      <w:r>
        <w:rPr>
          <w:b w:val="0"/>
          <w:i w:val="0"/>
          <w:sz w:val="20"/>
        </w:rPr>
        <w:t>( ) BAIXO — aprovação simplificada</w:t>
        <w:br/>
        <w:t>( ) MÉDIO — aprovação com condições padrão</w:t>
        <w:br/>
        <w:t>( ) ALTO — REJEIÇÃO AUTOMÁTICA (Art. 24, §2º)</w:t>
        <w:br/>
        <w:t xml:space="preserve">       Justificativas serão comunicadas à Ditec, ao CDTI e ao CGE.</w:t>
      </w:r>
    </w:p>
    <w:p>
      <w:r>
        <w:rPr>
          <w:b w:val="0"/>
          <w:i/>
          <w:sz w:val="18"/>
        </w:rPr>
        <w:t>Art. 24, §2º: "Caso o parecer do CETIA indique alto risco para a Câmara dos Deputados ou para os cidadãos, a demanda será rejeitada, sendo as justificativas comunicadas à Ditec, ao Comitê Diretivo de TIC (CDTI) e ao Comitê de Gestão Estratégica (CGE)."</w:t>
      </w:r>
    </w:p>
    <w:p>
      <w:pPr>
        <w:spacing w:before="240"/>
      </w:pPr>
      <w:r>
        <w:rPr>
          <w:b/>
          <w:color w:val="1F4E79"/>
          <w:sz w:val="24"/>
        </w:rPr>
        <w:t>6. CONDIÇÕES DE APROVAÇÃO [Art. 24, §1º]</w:t>
      </w:r>
    </w:p>
    <w:p>
      <w:r>
        <w:rPr>
          <w:b w:val="0"/>
          <w:i/>
          <w:sz w:val="18"/>
        </w:rPr>
        <w:t>Art. 24, §1º: "A análise do CETIA indicará se há condições para a demanda obter aprovação, observados o modelo de governança de TIC, assim como o nível de documentação e de monitoramento necessários."</w:t>
      </w:r>
    </w:p>
    <w:p>
      <w:r>
        <w:rPr>
          <w:b/>
          <w:sz w:val="20"/>
        </w:rPr>
        <w:t>Condições para aprovação: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before="240"/>
      </w:pPr>
      <w:r>
        <w:rPr>
          <w:b/>
          <w:color w:val="1F4E79"/>
          <w:sz w:val="24"/>
        </w:rPr>
        <w:t>7. NÍVEL DE DOCUMENTAÇÃO EXIGIDO [Art. 24, §1º]</w:t>
      </w:r>
    </w:p>
    <w:p>
      <w:r>
        <w:rPr>
          <w:b w:val="0"/>
          <w:i w:val="0"/>
          <w:sz w:val="20"/>
        </w:rPr>
        <w:t>( ) Documentação básica (formulário de uso contínuo)</w:t>
        <w:br/>
        <w:t>( ) Documentação intermediária (mapeamento de dados + avaliação de riscos)</w:t>
        <w:br/>
        <w:t>( ) Documentação completa (todos os artefatos do ciclo de vida)</w:t>
      </w:r>
    </w:p>
    <w:p>
      <w:pPr>
        <w:spacing w:before="240"/>
      </w:pPr>
      <w:r>
        <w:rPr>
          <w:b/>
          <w:color w:val="1F4E79"/>
          <w:sz w:val="24"/>
        </w:rPr>
        <w:t>8. NÍVEL DE MONITORAMENTO EXIGIDO [Art. 24, §1º]</w:t>
      </w:r>
    </w:p>
    <w:p>
      <w:r>
        <w:rPr>
          <w:b w:val="0"/>
          <w:i w:val="0"/>
          <w:sz w:val="20"/>
        </w:rPr>
        <w:t>( ) Monitoramento padrão (supervisão contínua compartilhada — Art. 27)</w:t>
        <w:br/>
        <w:t>( ) Monitoramento reforçado (relatórios mensais + testes éticos trimestrais)</w:t>
        <w:br/>
        <w:t>( ) Monitoramento intensivo (relatórios quinzenais + testes éticos mensais)</w:t>
      </w:r>
    </w:p>
    <w:p>
      <w:pPr>
        <w:spacing w:before="240"/>
      </w:pPr>
      <w:r>
        <w:rPr>
          <w:b/>
          <w:color w:val="1F4E79"/>
          <w:sz w:val="24"/>
        </w:rPr>
        <w:t>9. CONSULTA AO CGSIC [Art. 24, §3º]</w:t>
      </w:r>
    </w:p>
    <w:p>
      <w:r>
        <w:rPr>
          <w:b w:val="0"/>
          <w:i/>
          <w:sz w:val="18"/>
        </w:rPr>
        <w:t>Art. 24, §3º: "Caso envolvam aspectos de segurança da informação e cibernética, antes de emitir seu parecer, o CETIA deve consultar o CGSIC."</w:t>
      </w:r>
    </w:p>
    <w:p>
      <w:r>
        <w:rPr>
          <w:b w:val="0"/>
          <w:i w:val="0"/>
          <w:sz w:val="20"/>
        </w:rPr>
        <w:t>( ) Consulta ao CGSIC realizada — Parecer anexo</w:t>
        <w:br/>
        <w:t>( ) Consulta ao CGSIC não necessária</w:t>
      </w:r>
    </w:p>
    <w:p>
      <w:r>
        <w:rPr>
          <w:b/>
          <w:sz w:val="20"/>
        </w:rPr>
        <w:t>Resumo do parecer do CGSIC (se aplicável):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before="240"/>
      </w:pPr>
      <w:r>
        <w:rPr>
          <w:b/>
          <w:color w:val="1F4E79"/>
          <w:sz w:val="24"/>
        </w:rPr>
        <w:t>10. CONCLUSÃO</w:t>
      </w:r>
    </w:p>
    <w:p>
      <w:r>
        <w:rPr>
          <w:b w:val="0"/>
          <w:i w:val="0"/>
          <w:sz w:val="20"/>
        </w:rPr>
        <w:t>( ) APROVADO — com as condições acima estabelecidas</w:t>
        <w:br/>
        <w:t>( ) APROVADO COM RESSALVAS — requer adequações antes da implantação</w:t>
        <w:br/>
        <w:t>( ) REJEITADO — alto risco (Art. 24§2º) — comunicar Ditec, CDTI e CGE</w:t>
        <w:br/>
        <w:t>( ) RETORNAR À DITEC — informações insuficientes para análise</w:t>
      </w:r>
    </w:p>
    <w:p>
      <w:r>
        <w:rPr>
          <w:b/>
          <w:sz w:val="20"/>
        </w:rPr>
        <w:t>Justificativa: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before="240"/>
      </w:pPr>
      <w:r>
        <w:rPr>
          <w:b/>
          <w:color w:val="1F4E79"/>
          <w:sz w:val="24"/>
        </w:rPr>
        <w:t>11. COMUNICAÇÃO [Art. 34-III]</w:t>
      </w:r>
    </w:p>
    <w:p>
      <w:r>
        <w:rPr>
          <w:b w:val="0"/>
          <w:i/>
          <w:sz w:val="18"/>
        </w:rPr>
        <w:t>Art. 34-III: "comunicar os pareceres e recomendações emitidos sobre os riscos de IA avaliados à Ditec, ao CDTI e ao CGE"</w:t>
      </w:r>
    </w:p>
    <w:p>
      <w:r>
        <w:rPr>
          <w:b w:val="0"/>
          <w:i w:val="0"/>
          <w:sz w:val="20"/>
        </w:rPr>
        <w:t>Comunicar a:</w:t>
        <w:br/>
        <w:t>( ) Ditec</w:t>
        <w:br/>
        <w:t>( ) CDTI</w:t>
        <w:br/>
        <w:t>( ) CGE</w:t>
      </w:r>
    </w:p>
    <w:p>
      <w:pPr>
        <w:spacing w:before="240"/>
      </w:pPr>
      <w:r>
        <w:rPr>
          <w:b/>
          <w:color w:val="1F4E79"/>
          <w:sz w:val="24"/>
        </w:rPr>
        <w:t>12. ASSINATURAS — MEMBROS DO CETIA [Art. 23]</w:t>
      </w:r>
    </w:p>
    <w:p/>
    <w:p>
      <w:pPr>
        <w:spacing w:before="480"/>
        <w:jc w:val="left"/>
      </w:pPr>
      <w:r>
        <w:rPr>
          <w:sz w:val="20"/>
        </w:rPr>
        <w:t>__________________________________________________</w:t>
      </w:r>
    </w:p>
    <w:p>
      <w:r>
        <w:rPr>
          <w:b/>
          <w:sz w:val="20"/>
        </w:rPr>
        <w:t>Presidente — Assessoria de Projetos e Gestão (Aproge) [Art. 23-I]</w:t>
      </w:r>
    </w:p>
    <w:p>
      <w:r>
        <w:rPr>
          <w:sz w:val="20"/>
        </w:rPr>
        <w:t>Data: ____/____/________</w:t>
      </w:r>
    </w:p>
    <w:p>
      <w:pPr>
        <w:spacing w:before="480"/>
        <w:jc w:val="left"/>
      </w:pPr>
      <w:r>
        <w:rPr>
          <w:sz w:val="20"/>
        </w:rPr>
        <w:t>__________________________________________________</w:t>
      </w:r>
    </w:p>
    <w:p>
      <w:r>
        <w:rPr>
          <w:b/>
          <w:sz w:val="20"/>
        </w:rPr>
        <w:t>Representante — Secretaria-Geral da Mesa [Art. 23-II]</w:t>
      </w:r>
    </w:p>
    <w:p>
      <w:r>
        <w:rPr>
          <w:sz w:val="20"/>
        </w:rPr>
        <w:t>Data: ____/____/________</w:t>
      </w:r>
    </w:p>
    <w:p>
      <w:pPr>
        <w:spacing w:before="480"/>
        <w:jc w:val="left"/>
      </w:pPr>
      <w:r>
        <w:rPr>
          <w:sz w:val="20"/>
        </w:rPr>
        <w:t>__________________________________________________</w:t>
      </w:r>
    </w:p>
    <w:p>
      <w:r>
        <w:rPr>
          <w:b/>
          <w:sz w:val="20"/>
        </w:rPr>
        <w:t>Representante — Advocacia da Câmara dos Deputados [Art. 23-III]</w:t>
      </w:r>
    </w:p>
    <w:p>
      <w:r>
        <w:rPr>
          <w:sz w:val="20"/>
        </w:rPr>
        <w:t>Data: ____/____/________</w:t>
      </w:r>
    </w:p>
    <w:p>
      <w:pPr>
        <w:spacing w:before="480"/>
        <w:jc w:val="left"/>
      </w:pPr>
      <w:r>
        <w:rPr>
          <w:sz w:val="20"/>
        </w:rPr>
        <w:t>__________________________________________________</w:t>
      </w:r>
    </w:p>
    <w:p>
      <w:r>
        <w:rPr>
          <w:b/>
          <w:sz w:val="20"/>
        </w:rPr>
        <w:t>Representante — Diretoria de Inovação e Tecnologia da Informação (Ditec) [Art. 23-IV]</w:t>
      </w:r>
    </w:p>
    <w:p>
      <w:r>
        <w:rPr>
          <w:sz w:val="20"/>
        </w:rPr>
        <w:t>Data: ____/____/________</w:t>
      </w:r>
    </w:p>
    <w:p>
      <w:pPr>
        <w:spacing w:before="480"/>
        <w:jc w:val="left"/>
      </w:pPr>
      <w:r>
        <w:rPr>
          <w:sz w:val="20"/>
        </w:rPr>
        <w:t>__________________________________________________</w:t>
      </w:r>
    </w:p>
    <w:p>
      <w:r>
        <w:rPr>
          <w:b/>
          <w:sz w:val="20"/>
        </w:rPr>
        <w:t>Representante — Diretoria de Gestão de Pessoas / Coord. Resp. Social [Art. 23-V]</w:t>
      </w:r>
    </w:p>
    <w:p>
      <w:r>
        <w:rPr>
          <w:sz w:val="20"/>
        </w:rPr>
        <w:t>Data: ____/____/________</w:t>
      </w:r>
    </w:p>
    <w:p>
      <w:pPr>
        <w:spacing w:before="480"/>
        <w:jc w:val="left"/>
      </w:pPr>
      <w:r>
        <w:rPr>
          <w:sz w:val="20"/>
        </w:rPr>
        <w:t>__________________________________________________</w:t>
      </w:r>
    </w:p>
    <w:p>
      <w:r>
        <w:rPr>
          <w:b/>
          <w:sz w:val="20"/>
        </w:rPr>
        <w:t>Representante — Centro de Documentação e Informação (Cedi) [Art. 23-VI]</w:t>
      </w:r>
    </w:p>
    <w:p>
      <w:r>
        <w:rPr>
          <w:sz w:val="20"/>
        </w:rPr>
        <w:t>Data: ____/____/________</w:t>
      </w:r>
    </w:p>
    <w:p>
      <w:pPr>
        <w:spacing w:before="480"/>
        <w:jc w:val="left"/>
      </w:pPr>
      <w:r>
        <w:rPr>
          <w:sz w:val="20"/>
        </w:rPr>
        <w:t>__________________________________________________</w:t>
      </w:r>
    </w:p>
    <w:p>
      <w:r>
        <w:rPr>
          <w:b/>
          <w:sz w:val="20"/>
        </w:rPr>
        <w:t>Encarregado de Proteção de Dados Pessoais [Art. 23, caput]</w:t>
      </w:r>
    </w:p>
    <w:p>
      <w:r>
        <w:rPr>
          <w:sz w:val="20"/>
        </w:rPr>
        <w:t>Data: ____/____/________</w:t>
      </w:r>
    </w:p>
    <w:p/>
    <w:p>
      <w:pPr>
        <w:jc w:val="center"/>
      </w:pPr>
      <w:r>
        <w:rPr>
          <w:color w:val="CCCCCC"/>
          <w:sz w:val="18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jc w:val="center"/>
      </w:pPr>
      <w:r>
        <w:rPr>
          <w:i/>
          <w:color w:val="666666"/>
          <w:sz w:val="18"/>
        </w:rPr>
        <w:t>Portaria 227/2025 — Política de Governança de IA — Câmara dos Deputados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