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Light" w:hAnsi="Helvetica Light" w:cs="Helvetica Light"/>
          <w:sz w:val="24"/>
          <w:sz-cs w:val="24"/>
        </w:rPr>
        <w:t xml:space="preserve">Уход после мытья для окрашенных волос: увлажняет и помогает поддерживать цвет между окрашиваниями.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Применение: после шампуня распределите по длине, оставьте на 2–3 минуты, смойте.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CocoaOOXMLWriter/2685.4</generator>
</meta>
</file>