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drawing>
          <wp:inline distT="0" distB="0" distL="0" distR="0">
            <wp:extent cx="6172200" cy="4114800"/>
            <wp:effectExtent t="0" r="0" b="0" l="0"/>
            <wp:docPr id="1" name="hero_part1.png" descr="hero_part1.png" title="hero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4114800"/>
                    </a:xfrm>
                    <a:prstGeom prst="rect">
                      <a:avLst/>
                    </a:prstGeom>
                  </pic:spPr>
                </pic:pic>
              </a:graphicData>
            </a:graphic>
          </wp:inline>
        </w:drawing>
      </w:r>
    </w:p>
    <w:p>
      <w:r>
        <w:br w:type="page"/>
      </w:r>
    </w:p>
    <w:p>
      <w:pPr>
        <w:spacing w:after="200" w:before="0"/>
        <w:jc w:val="center"/>
      </w:pPr>
      <w:r>
        <w:drawing>
          <wp:inline distT="0" distB="0" distL="0" distR="0">
            <wp:extent cx="5905500" cy="733425"/>
            <wp:effectExtent t="0" r="0" b="0" l="0"/>
            <wp:docPr id="1" name="masthead_enterprise_ai.png" descr="masthead_enterprise_ai.png" title="masthead_enterprise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733425"/>
                    </a:xfrm>
                    <a:prstGeom prst="rect">
                      <a:avLst/>
                    </a:prstGeom>
                  </pic:spPr>
                </pic:pic>
              </a:graphicData>
            </a:graphic>
          </wp:inline>
        </w:drawing>
      </w:r>
    </w:p>
    <w:p>
      <w:pPr>
        <w:spacing w:after="40" w:before="60"/>
      </w:pPr>
      <w:r>
        <w:rPr>
          <w:rFonts w:ascii="Calibri" w:cs="Calibri" w:eastAsia="Calibri" w:hAnsi="Calibri"/>
          <w:b/>
          <w:bCs/>
          <w:color w:val="2874A6"/>
          <w:spacing w:val="40"/>
          <w:sz w:val="18"/>
          <w:szCs w:val="18"/>
        </w:rPr>
        <w:t xml:space="preserve">AI IN FINANCIAL SERVICES  //  MISCONCEPTIONS &amp; FIRST PRINCIPLES</w:t>
      </w:r>
    </w:p>
    <w:p>
      <w:pPr>
        <w:spacing w:after="160" w:before="40"/>
      </w:pPr>
      <w:r>
        <w:rPr>
          <w:rFonts w:ascii="Calibri" w:cs="Calibri" w:eastAsia="Calibri" w:hAnsi="Calibri"/>
          <w:color w:val="C9A227"/>
          <w:spacing w:val="60"/>
          <w:sz w:val="18"/>
          <w:szCs w:val="18"/>
        </w:rPr>
        <w:t xml:space="preserve">PART 1 OF 4  //  BANKS</w:t>
      </w:r>
    </w:p>
    <w:p>
      <w:pPr>
        <w:spacing w:after="200"/>
      </w:pPr>
      <w:r>
        <w:rPr>
          <w:rFonts w:ascii="Calibri" w:cs="Calibri" w:eastAsia="Calibri" w:hAnsi="Calibri"/>
          <w:b/>
          <w:bCs/>
          <w:color w:val="0D1B2A"/>
          <w:sz w:val="40"/>
          <w:szCs w:val="40"/>
        </w:rPr>
        <w:t xml:space="preserve">The most expensive misconception in banking AI.</w:t>
      </w:r>
    </w:p>
    <w:p>
      <w:pPr>
        <w:spacing w:after="200" w:before="0" w:line="340"/>
        <w:jc w:val="left"/>
      </w:pPr>
      <w:r>
        <w:rPr>
          <w:rFonts w:ascii="Calibri" w:cs="Calibri" w:eastAsia="Calibri" w:hAnsi="Calibri"/>
          <w:b w:val="false"/>
          <w:bCs w:val="false"/>
          <w:i w:val="false"/>
          <w:iCs w:val="false"/>
          <w:color w:val="1F2933"/>
          <w:sz w:val="26"/>
          <w:szCs w:val="26"/>
        </w:rPr>
        <w:t xml:space="preserve">There is a misconception that is quietly burning through AI budgets in every major bank I advise.</w:t>
      </w:r>
    </w:p>
    <w:tbl>
      <w:tblPr>
        <w:tblW w:type="dxa" w:w="9360"/>
        <w:tblBorders>
          <w:top w:val="single" w:color="2874A6" w:sz="1"/>
          <w:left w:val="single" w:color="B22222"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val="false"/>
                <w:bCs w:val="false"/>
                <w:i/>
                <w:iCs/>
                <w:color w:val="B22222"/>
                <w:sz w:val="28"/>
                <w:szCs w:val="28"/>
              </w:rPr>
              <w:t xml:space="preserve">"We gave the model our financial data and asked it to write the credit memo."</w:t>
            </w:r>
          </w:p>
        </w:tc>
      </w:tr>
    </w:tbl>
    <w:p>
      <w:pPr>
        <w:spacing w:after="200"/>
      </w:pPr>
      <w:r>
        <w:rPr>
          <w:rFonts w:ascii="Calibri" w:cs="Calibri" w:eastAsia="Calibri" w:hAnsi="Calibri"/>
          <w:b w:val="false"/>
          <w:bCs w:val="false"/>
          <w:i w:val="false"/>
          <w:iCs w:val="false"/>
          <w:color w:val="1F2933"/>
          <w:sz w:val="26"/>
          <w:szCs w:val="26"/>
        </w:rPr>
        <w:t xml:space="preserve"/>
      </w:r>
    </w:p>
    <w:p>
      <w:pPr>
        <w:spacing w:after="200" w:before="0" w:line="340"/>
        <w:jc w:val="left"/>
      </w:pPr>
      <w:r>
        <w:rPr>
          <w:rFonts w:ascii="Calibri" w:cs="Calibri" w:eastAsia="Calibri" w:hAnsi="Calibri"/>
          <w:b w:val="false"/>
          <w:bCs w:val="false"/>
          <w:i w:val="false"/>
          <w:iCs w:val="false"/>
          <w:color w:val="1F2933"/>
          <w:sz w:val="26"/>
          <w:szCs w:val="26"/>
        </w:rPr>
        <w:t xml:space="preserve">Then the committee received a memo where the DSCR was 2.56x in one paragraph and 2.81x three paragraphs later. Same borrower. Same data. Two different numbers.</w:t>
      </w:r>
    </w:p>
    <w:p>
      <w:pPr>
        <w:spacing w:after="200" w:before="0" w:line="340"/>
        <w:jc w:val="left"/>
      </w:pPr>
      <w:r>
        <w:rPr>
          <w:rFonts w:ascii="Calibri" w:cs="Calibri" w:eastAsia="Calibri" w:hAnsi="Calibri"/>
          <w:b w:val="false"/>
          <w:bCs w:val="false"/>
          <w:i w:val="false"/>
          <w:iCs w:val="false"/>
          <w:color w:val="1F2933"/>
          <w:sz w:val="26"/>
          <w:szCs w:val="26"/>
        </w:rPr>
        <w:t xml:space="preserve">I have spent twenty years building AI and data capabilities inside banks — HSBC, UBS, Lloyds, Deloitte. The pattern I see in 2026 is the same one I saw in 2018 with RPA: </w:t>
      </w:r>
      <w:r>
        <w:rPr>
          <w:rFonts w:ascii="Calibri" w:cs="Calibri" w:eastAsia="Calibri" w:hAnsi="Calibri"/>
          <w:b/>
          <w:bCs/>
          <w:i w:val="false"/>
          <w:iCs w:val="false"/>
          <w:color w:val="1F2933"/>
          <w:sz w:val="26"/>
          <w:szCs w:val="26"/>
        </w:rPr>
        <w:t xml:space="preserve">banks deploy the technology before designing the architecture.</w:t>
      </w:r>
    </w:p>
    <w:tbl>
      <w:tblPr>
        <w:tblW w:type="dxa" w:w="9360"/>
        <w:tblBorders>
          <w:top w:val="single" w:color="2874A6" w:sz="1"/>
          <w:left w:val="single" w:color="C9A227"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bCs/>
                <w:i w:val="false"/>
                <w:iCs w:val="false"/>
                <w:color w:val="0D1B2A"/>
                <w:sz w:val="26"/>
                <w:szCs w:val="26"/>
              </w:rPr>
              <w:t xml:space="preserve">The result is always the same. Impressive demos. Failed pilots. Sceptical boards.</w:t>
            </w:r>
          </w:p>
        </w:tc>
      </w:tr>
    </w:tbl>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AI IN FS: MISCONCEPTIONS &amp; FIRST PRINCIPLES  //  PART 1 OF 4  //  02</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MISCONCEPTION</w:t>
      </w:r>
    </w:p>
    <w:tbl>
      <w:tblPr>
        <w:tblW w:type="dxa" w:w="9360"/>
        <w:tblBorders>
          <w:top w:val="single" w:color="0D1B2A" w:sz="1"/>
          <w:left w:val="single" w:color="0D1B2A" w:sz="1"/>
          <w:bottom w:val="single" w:color="0D1B2A" w:sz="1"/>
          <w:right w:val="single" w:color="0D1B2A" w:sz="1"/>
          <w:insideH w:val="none" w:color="FFFFFF" w:sz="0"/>
          <w:insideV w:val="none" w:color="FFFFFF" w:sz="0"/>
        </w:tblBorders>
      </w:tblPr>
      <w:tblGrid>
        <w:gridCol w:w="9360"/>
      </w:tblGrid>
      <w:tr>
        <w:tc>
          <w:tcPr>
            <w:tcW w:type="dxa" w:w="9360"/>
            <w:shd w:fill="0D1B2A" w:val="clear"/>
            <w:tcMar>
              <w:top w:type="dxa" w:w="300"/>
              <w:left w:type="dxa" w:w="360"/>
              <w:bottom w:type="dxa" w:w="300"/>
              <w:right w:type="dxa" w:w="360"/>
            </w:tcMar>
          </w:tcPr>
          <w:p>
            <w:pPr>
              <w:spacing w:after="60"/>
            </w:pPr>
            <w:r>
              <w:rPr>
                <w:rFonts w:ascii="Calibri" w:cs="Calibri" w:eastAsia="Calibri" w:hAnsi="Calibri"/>
                <w:b/>
                <w:bCs/>
                <w:color w:val="BFD4E8"/>
                <w:spacing w:val="80"/>
                <w:sz w:val="20"/>
                <w:szCs w:val="20"/>
              </w:rPr>
              <w:t xml:space="preserve">THE MISCONCEPTION</w:t>
            </w:r>
          </w:p>
          <w:p>
            <w:pPr>
              <w:spacing w:after="100"/>
            </w:pPr>
            <w:r>
              <w:rPr>
                <w:rFonts w:ascii="Calibri" w:cs="Calibri" w:eastAsia="Calibri" w:hAnsi="Calibri"/>
                <w:b/>
                <w:bCs/>
                <w:color w:val="FFFFFF"/>
                <w:sz w:val="52"/>
                <w:szCs w:val="52"/>
              </w:rPr>
              <w:t xml:space="preserve">"AI should do everything."</w:t>
            </w:r>
          </w:p>
          <w:p>
            <w:pPr>
              <w:spacing w:after="40" w:line="340"/>
            </w:pPr>
            <w:r>
              <w:rPr>
                <w:rFonts w:ascii="Calibri" w:cs="Calibri" w:eastAsia="Calibri" w:hAnsi="Calibri"/>
                <w:color w:val="FFFFFF"/>
                <w:sz w:val="26"/>
                <w:szCs w:val="26"/>
              </w:rPr>
              <w:t xml:space="preserve">Ingest the data. Compute the ratios. Assess the risks. Write the narrative. Assign the rating. Produce the memo.</w:t>
            </w:r>
          </w:p>
          <w:p>
            <w:r>
              <w:rPr>
                <w:rFonts w:ascii="Calibri" w:cs="Calibri" w:eastAsia="Calibri" w:hAnsi="Calibri"/>
                <w:i/>
                <w:iCs/>
                <w:color w:val="9FB6CC"/>
                <w:sz w:val="22"/>
                <w:szCs w:val="22"/>
              </w:rPr>
              <w:t xml:space="preserve"/>
            </w:r>
          </w:p>
        </w:tc>
      </w:tr>
    </w:tbl>
    <w:p>
      <w:pPr>
        <w:spacing w:after="300"/>
      </w:pPr>
      <w:r>
        <w:rPr>
          <w:rFonts w:ascii="Calibri" w:cs="Calibri" w:eastAsia="Calibri" w:hAnsi="Calibri"/>
          <w:b w:val="false"/>
          <w:bCs w:val="false"/>
          <w:i w:val="false"/>
          <w:iCs w:val="false"/>
          <w:color w:val="1F2933"/>
          <w:sz w:val="26"/>
          <w:szCs w:val="26"/>
        </w:rPr>
        <w:t xml:space="preserve"/>
      </w:r>
    </w:p>
    <w:p>
      <w:pPr>
        <w:spacing w:after="240" w:before="0" w:line="340"/>
        <w:jc w:val="left"/>
      </w:pPr>
      <w:r>
        <w:rPr>
          <w:rFonts w:ascii="Calibri" w:cs="Calibri" w:eastAsia="Calibri" w:hAnsi="Calibri"/>
          <w:b w:val="false"/>
          <w:bCs w:val="false"/>
          <w:i w:val="false"/>
          <w:iCs w:val="false"/>
          <w:color w:val="1F2933"/>
          <w:sz w:val="26"/>
          <w:szCs w:val="26"/>
        </w:rPr>
        <w:t xml:space="preserve">Large language models are </w:t>
      </w:r>
      <w:r>
        <w:rPr>
          <w:rFonts w:ascii="Calibri" w:cs="Calibri" w:eastAsia="Calibri" w:hAnsi="Calibri"/>
          <w:b/>
          <w:bCs/>
          <w:i w:val="false"/>
          <w:iCs w:val="false"/>
          <w:color w:val="1F2933"/>
          <w:sz w:val="26"/>
          <w:szCs w:val="26"/>
        </w:rPr>
        <w:t xml:space="preserve">probabilistic.</w:t>
      </w:r>
      <w:r>
        <w:rPr>
          <w:rFonts w:ascii="Calibri" w:cs="Calibri" w:eastAsia="Calibri" w:hAnsi="Calibri"/>
          <w:b w:val="false"/>
          <w:bCs w:val="false"/>
          <w:i w:val="false"/>
          <w:iCs w:val="false"/>
          <w:color w:val="1F2933"/>
          <w:sz w:val="26"/>
          <w:szCs w:val="26"/>
        </w:rPr>
        <w:t xml:space="preserve"> They predict the next token. That’s what makes them extraordinary at reasoning, synthesis, and narrative — and </w:t>
      </w:r>
      <w:r>
        <w:rPr>
          <w:rFonts w:ascii="Calibri" w:cs="Calibri" w:eastAsia="Calibri" w:hAnsi="Calibri"/>
          <w:b/>
          <w:bCs/>
          <w:i w:val="false"/>
          <w:iCs w:val="false"/>
          <w:color w:val="B22222"/>
          <w:sz w:val="26"/>
          <w:szCs w:val="26"/>
        </w:rPr>
        <w:t xml:space="preserve">fundamentally unreliable at arithmetic.</w:t>
      </w:r>
    </w:p>
    <w:p>
      <w:pPr>
        <w:spacing w:after="240" w:before="0" w:line="340"/>
        <w:jc w:val="left"/>
      </w:pPr>
      <w:r>
        <w:rPr>
          <w:rFonts w:ascii="Calibri" w:cs="Calibri" w:eastAsia="Calibri" w:hAnsi="Calibri"/>
          <w:b w:val="false"/>
          <w:bCs w:val="false"/>
          <w:i w:val="false"/>
          <w:iCs w:val="false"/>
          <w:color w:val="1F2933"/>
          <w:sz w:val="26"/>
          <w:szCs w:val="26"/>
        </w:rPr>
        <w:t xml:space="preserve">When the model computes a ratio, it’s not dividing two numbers. It’s predicting what the answer </w:t>
      </w:r>
      <w:r>
        <w:rPr>
          <w:rFonts w:ascii="Calibri" w:cs="Calibri" w:eastAsia="Calibri" w:hAnsi="Calibri"/>
          <w:b w:val="false"/>
          <w:bCs w:val="false"/>
          <w:i/>
          <w:iCs/>
          <w:color w:val="1F2933"/>
          <w:sz w:val="26"/>
          <w:szCs w:val="26"/>
        </w:rPr>
        <w:t xml:space="preserve">probably looks like</w:t>
      </w:r>
      <w:r>
        <w:rPr>
          <w:rFonts w:ascii="Calibri" w:cs="Calibri" w:eastAsia="Calibri" w:hAnsi="Calibri"/>
          <w:b w:val="false"/>
          <w:bCs w:val="false"/>
          <w:i w:val="false"/>
          <w:iCs w:val="false"/>
          <w:color w:val="1F2933"/>
          <w:sz w:val="26"/>
          <w:szCs w:val="26"/>
        </w:rPr>
        <w:t xml:space="preserve"> based on patterns in its training data.</w:t>
      </w:r>
    </w:p>
    <w:tbl>
      <w:tblPr>
        <w:tblW w:type="dxa" w:w="9360"/>
        <w:tblBorders>
          <w:top w:val="single" w:color="2874A6" w:sz="1"/>
          <w:left w:val="single" w:color="B22222"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bCs/>
                <w:i w:val="false"/>
                <w:iCs w:val="false"/>
                <w:color w:val="0D1B2A"/>
                <w:sz w:val="28"/>
                <w:szCs w:val="28"/>
              </w:rPr>
              <w:t xml:space="preserve">For a chatbot, that’s fine. For a credit memorandum that goes to committee, it’s negligent.</w:t>
            </w:r>
          </w:p>
        </w:tc>
      </w:tr>
    </w:tbl>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AI IN FS: MISCONCEPTIONS &amp; FIRST PRINCIPLES  //  PART 1 OF 4  //  03</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FIRST PRINCIPLE</w:t>
      </w:r>
    </w:p>
    <w:tbl>
      <w:tblPr>
        <w:tblW w:type="dxa" w:w="9360"/>
        <w:tblBorders>
          <w:top w:val="single" w:color="0D1B2A" w:sz="1"/>
          <w:left w:val="single" w:color="0D1B2A" w:sz="1"/>
          <w:bottom w:val="single" w:color="0D1B2A" w:sz="1"/>
          <w:right w:val="single" w:color="0D1B2A" w:sz="1"/>
          <w:insideH w:val="none" w:color="FFFFFF" w:sz="0"/>
          <w:insideV w:val="none" w:color="FFFFFF" w:sz="0"/>
        </w:tblBorders>
      </w:tblPr>
      <w:tblGrid>
        <w:gridCol w:w="9360"/>
      </w:tblGrid>
      <w:tr>
        <w:tc>
          <w:tcPr>
            <w:tcW w:type="dxa" w:w="9360"/>
            <w:shd w:fill="0D1B2A" w:val="clear"/>
            <w:tcMar>
              <w:top w:type="dxa" w:w="300"/>
              <w:left w:type="dxa" w:w="360"/>
              <w:bottom w:type="dxa" w:w="300"/>
              <w:right w:type="dxa" w:w="360"/>
            </w:tcMar>
          </w:tcPr>
          <w:p>
            <w:pPr>
              <w:spacing w:after="60"/>
            </w:pPr>
            <w:r>
              <w:rPr>
                <w:rFonts w:ascii="Calibri" w:cs="Calibri" w:eastAsia="Calibri" w:hAnsi="Calibri"/>
                <w:b/>
                <w:bCs/>
                <w:color w:val="BFD4E8"/>
                <w:spacing w:val="80"/>
                <w:sz w:val="20"/>
                <w:szCs w:val="20"/>
              </w:rPr>
              <w:t xml:space="preserve">THE FIRST PRINCIPLE</w:t>
            </w:r>
          </w:p>
          <w:p>
            <w:pPr>
              <w:spacing w:after="100"/>
            </w:pPr>
            <w:r>
              <w:rPr>
                <w:rFonts w:ascii="Calibri" w:cs="Calibri" w:eastAsia="Calibri" w:hAnsi="Calibri"/>
                <w:b/>
                <w:bCs/>
                <w:color w:val="FFFFFF"/>
                <w:sz w:val="52"/>
                <w:szCs w:val="52"/>
              </w:rPr>
              <w:t xml:space="preserve">AI orchestrates. Code computes.</w:t>
            </w:r>
          </w:p>
          <w:p>
            <w:pPr>
              <w:spacing w:after="40" w:line="340"/>
            </w:pPr>
            <w:r>
              <w:rPr>
                <w:rFonts w:ascii="Calibri" w:cs="Calibri" w:eastAsia="Calibri" w:hAnsi="Calibri"/>
                <w:color w:val="FFFFFF"/>
                <w:sz w:val="26"/>
                <w:szCs w:val="26"/>
              </w:rPr>
              <w:t xml:space="preserve">The architecture that works in production separates two concerns completely.</w:t>
            </w:r>
          </w:p>
          <w:p>
            <w:r>
              <w:rPr>
                <w:rFonts w:ascii="Calibri" w:cs="Calibri" w:eastAsia="Calibri" w:hAnsi="Calibri"/>
                <w:i/>
                <w:iCs/>
                <w:color w:val="9FB6CC"/>
                <w:sz w:val="22"/>
                <w:szCs w:val="22"/>
              </w:rPr>
              <w:t xml:space="preserve">Deterministic tools handle arithmetic. AI adds judgment.</w:t>
            </w:r>
          </w:p>
        </w:tc>
      </w:tr>
    </w:tbl>
    <w:p>
      <w:pPr>
        <w:spacing w:after="300"/>
      </w:pPr>
      <w:r>
        <w:rPr>
          <w:rFonts w:ascii="Calibri" w:cs="Calibri" w:eastAsia="Calibri" w:hAnsi="Calibri"/>
          <w:b w:val="false"/>
          <w:bCs w:val="false"/>
          <w:i w:val="false"/>
          <w:iCs w:val="false"/>
          <w:color w:val="1F2933"/>
          <w:sz w:val="26"/>
          <w:szCs w:val="26"/>
        </w:rPr>
        <w:t xml:space="preserve"/>
      </w:r>
    </w:p>
    <w:p>
      <w:pPr>
        <w:spacing w:after="120" w:before="60"/>
      </w:pPr>
      <w:r>
        <w:rPr>
          <w:rFonts w:ascii="Calibri" w:cs="Calibri" w:eastAsia="Calibri" w:hAnsi="Calibri"/>
          <w:b/>
          <w:bCs/>
          <w:color w:val="1B4F72"/>
          <w:sz w:val="28"/>
          <w:szCs w:val="28"/>
        </w:rPr>
        <w:t xml:space="preserve">Phase 1 — Code computes.</w:t>
      </w:r>
    </w:p>
    <w:p>
      <w:pPr>
        <w:spacing w:after="300" w:before="0" w:line="340"/>
        <w:jc w:val="left"/>
      </w:pPr>
      <w:r>
        <w:rPr>
          <w:rFonts w:ascii="Calibri" w:cs="Calibri" w:eastAsia="Calibri" w:hAnsi="Calibri"/>
          <w:b w:val="false"/>
          <w:bCs w:val="false"/>
          <w:i w:val="false"/>
          <w:iCs w:val="false"/>
          <w:color w:val="1F2933"/>
          <w:sz w:val="26"/>
          <w:szCs w:val="26"/>
        </w:rPr>
        <w:t xml:space="preserve">Every number in the credit memo is calculated by deterministic Python functions. Current Ratio, Debt/Equity, Net Debt/EBITDA, DSCR, Interest Coverage — twelve ratios, each a pure function. Same input, same output, every time. </w:t>
      </w:r>
      <w:r>
        <w:rPr>
          <w:rFonts w:ascii="Calibri" w:cs="Calibri" w:eastAsia="Calibri" w:hAnsi="Calibri"/>
          <w:b/>
          <w:bCs/>
          <w:i w:val="false"/>
          <w:iCs w:val="false"/>
          <w:color w:val="1F2933"/>
          <w:sz w:val="26"/>
          <w:szCs w:val="26"/>
        </w:rPr>
        <w:t xml:space="preserve">Unit-tested. Auditable.</w:t>
      </w:r>
    </w:p>
    <w:p>
      <w:pPr>
        <w:spacing w:after="120" w:before="60"/>
      </w:pPr>
      <w:r>
        <w:rPr>
          <w:rFonts w:ascii="Calibri" w:cs="Calibri" w:eastAsia="Calibri" w:hAnsi="Calibri"/>
          <w:b/>
          <w:bCs/>
          <w:color w:val="1B4F72"/>
          <w:sz w:val="28"/>
          <w:szCs w:val="28"/>
        </w:rPr>
        <w:t xml:space="preserve">Phase 2 — AI judges.</w:t>
      </w:r>
    </w:p>
    <w:p>
      <w:pPr>
        <w:spacing w:after="200" w:before="0" w:line="340"/>
        <w:jc w:val="left"/>
      </w:pPr>
      <w:r>
        <w:rPr>
          <w:rFonts w:ascii="Calibri" w:cs="Calibri" w:eastAsia="Calibri" w:hAnsi="Calibri"/>
          <w:b w:val="false"/>
          <w:bCs w:val="false"/>
          <w:i w:val="false"/>
          <w:iCs w:val="false"/>
          <w:color w:val="1F2933"/>
          <w:sz w:val="26"/>
          <w:szCs w:val="26"/>
        </w:rPr>
        <w:t xml:space="preserve">The model receives the pre-computed ratios, the risk flags, the peer benchmarks. It never touches a calculator. Instead, it does what it’s genuinely good at:</w:t>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val="false"/>
                <w:bCs w:val="false"/>
                <w:i/>
                <w:iCs/>
                <w:color w:val="0D1B2A"/>
                <w:sz w:val="26"/>
                <w:szCs w:val="26"/>
              </w:rPr>
              <w:t xml:space="preserve">“Current leverage is below peer median, but post-facility pro-forma leverage of approximately 1.99x warrants covenant protection at 2.75x.”</w:t>
            </w:r>
          </w:p>
        </w:tc>
      </w:tr>
    </w:tbl>
    <w:p>
      <w:pPr>
        <w:spacing w:after="200"/>
      </w:pPr>
      <w:r>
        <w:rPr>
          <w:rFonts w:ascii="Calibri" w:cs="Calibri" w:eastAsia="Calibri" w:hAnsi="Calibri"/>
          <w:b w:val="false"/>
          <w:bCs w:val="false"/>
          <w:i w:val="false"/>
          <w:iCs w:val="false"/>
          <w:color w:val="1F2933"/>
          <w:sz w:val="26"/>
          <w:szCs w:val="26"/>
        </w:rPr>
        <w:t xml:space="preserve"/>
      </w:r>
    </w:p>
    <w:p>
      <w:pPr>
        <w:spacing w:after="200" w:before="0" w:line="340"/>
        <w:jc w:val="left"/>
      </w:pPr>
      <w:r>
        <w:rPr>
          <w:rFonts w:ascii="Calibri" w:cs="Calibri" w:eastAsia="Calibri" w:hAnsi="Calibri"/>
          <w:b w:val="false"/>
          <w:bCs w:val="false"/>
          <w:i w:val="false"/>
          <w:iCs w:val="false"/>
          <w:color w:val="1F2933"/>
          <w:sz w:val="26"/>
          <w:szCs w:val="26"/>
        </w:rPr>
        <w:t xml:space="preserve">Qualitative judgment informed by structured data. </w:t>
      </w:r>
      <w:r>
        <w:rPr>
          <w:rFonts w:ascii="Calibri" w:cs="Calibri" w:eastAsia="Calibri" w:hAnsi="Calibri"/>
          <w:b/>
          <w:bCs/>
          <w:i w:val="false"/>
          <w:iCs w:val="false"/>
          <w:color w:val="0D1B2A"/>
          <w:sz w:val="26"/>
          <w:szCs w:val="26"/>
        </w:rPr>
        <w:t xml:space="preserve">No hallucinated numbers. No inconsistent ratios. No audit findings.</w:t>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AI IN FS: MISCONCEPTIONS &amp; FIRST PRINCIPLES  //  PART 1 OF 4  //  04</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WHAT THIS LOOKS LIKE IN PRACTICE</w:t>
      </w:r>
    </w:p>
    <w:p>
      <w:pPr>
        <w:spacing w:after="200" w:before="0" w:line="340"/>
        <w:jc w:val="left"/>
      </w:pPr>
      <w:r>
        <w:rPr>
          <w:rFonts w:ascii="Calibri" w:cs="Calibri" w:eastAsia="Calibri" w:hAnsi="Calibri"/>
          <w:b w:val="false"/>
          <w:bCs w:val="false"/>
          <w:i w:val="false"/>
          <w:iCs w:val="false"/>
          <w:color w:val="1F2933"/>
          <w:sz w:val="26"/>
          <w:szCs w:val="26"/>
        </w:rPr>
        <w:t xml:space="preserve">I built a credit memo agent to test this principle. Not a slide deck — </w:t>
      </w:r>
      <w:r>
        <w:rPr>
          <w:rFonts w:ascii="Calibri" w:cs="Calibri" w:eastAsia="Calibri" w:hAnsi="Calibri"/>
          <w:b/>
          <w:bCs/>
          <w:i w:val="false"/>
          <w:iCs w:val="false"/>
          <w:color w:val="1F2933"/>
          <w:sz w:val="26"/>
          <w:szCs w:val="26"/>
        </w:rPr>
        <w:t xml:space="preserve">a working agent</w:t>
      </w:r>
      <w:r>
        <w:rPr>
          <w:rFonts w:ascii="Calibri" w:cs="Calibri" w:eastAsia="Calibri" w:hAnsi="Calibri"/>
          <w:b w:val="false"/>
          <w:bCs w:val="false"/>
          <w:i w:val="false"/>
          <w:iCs w:val="false"/>
          <w:color w:val="1F2933"/>
          <w:sz w:val="26"/>
          <w:szCs w:val="26"/>
        </w:rPr>
        <w:t xml:space="preserve"> that runs on the Claude Agent SDK and produces committee-ready structured output.</w:t>
      </w:r>
    </w:p>
    <w:p>
      <w:pPr>
        <w:spacing w:after="300" w:before="0" w:line="340"/>
        <w:jc w:val="left"/>
      </w:pPr>
      <w:r>
        <w:rPr>
          <w:rFonts w:ascii="Calibri" w:cs="Calibri" w:eastAsia="Calibri" w:hAnsi="Calibri"/>
          <w:b w:val="false"/>
          <w:bCs w:val="false"/>
          <w:i/>
          <w:iCs/>
          <w:color w:val="1B4F72"/>
          <w:sz w:val="26"/>
          <w:szCs w:val="26"/>
        </w:rPr>
        <w:t xml:space="preserve">SAR 500M term loan request. Tadawul-listed cement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27" w:sz="2"/>
              <w:left w:val="single" w:color="C9A227" w:sz="2"/>
              <w:bottom w:val="single" w:color="C9A227" w:sz="2"/>
              <w:right w:val="single" w:color="C9A227" w:sz="2"/>
            </w:tcBorders>
            <w:shd w:fill="0D1B2A" w:val="clear"/>
            <w:tcMar>
              <w:top w:type="dxa" w:w="260"/>
              <w:left w:type="dxa" w:w="200"/>
              <w:bottom w:type="dxa" w:w="260"/>
              <w:right w:type="dxa" w:w="200"/>
            </w:tcMar>
          </w:tcPr>
          <w:p>
            <w:pPr>
              <w:spacing w:after="60"/>
              <w:jc w:val="center"/>
            </w:pPr>
            <w:r>
              <w:rPr>
                <w:rFonts w:ascii="Calibri" w:cs="Calibri" w:eastAsia="Calibri" w:hAnsi="Calibri"/>
                <w:b/>
                <w:bCs/>
                <w:color w:val="C9A227"/>
                <w:sz w:val="48"/>
                <w:szCs w:val="48"/>
              </w:rPr>
              <w:t xml:space="preserve">$0.35</w:t>
            </w:r>
          </w:p>
          <w:p>
            <w:pPr>
              <w:jc w:val="center"/>
            </w:pPr>
            <w:r>
              <w:rPr>
                <w:rFonts w:ascii="Calibri" w:cs="Calibri" w:eastAsia="Calibri" w:hAnsi="Calibri"/>
                <w:b/>
                <w:bCs/>
                <w:color w:val="BFD4E8"/>
                <w:spacing w:val="40"/>
                <w:sz w:val="18"/>
                <w:szCs w:val="18"/>
              </w:rPr>
              <w:t xml:space="preserve">COST PER MEMO</w:t>
            </w:r>
          </w:p>
        </w:tc>
        <w:tc>
          <w:tcPr>
            <w:tcW w:type="dxa" w:w="3120"/>
            <w:tcBorders>
              <w:top w:val="single" w:color="C9A227" w:sz="2"/>
              <w:left w:val="single" w:color="C9A227" w:sz="2"/>
              <w:bottom w:val="single" w:color="C9A227" w:sz="2"/>
              <w:right w:val="single" w:color="C9A227" w:sz="2"/>
            </w:tcBorders>
            <w:shd w:fill="0D1B2A" w:val="clear"/>
            <w:tcMar>
              <w:top w:type="dxa" w:w="260"/>
              <w:left w:type="dxa" w:w="200"/>
              <w:bottom w:type="dxa" w:w="260"/>
              <w:right w:type="dxa" w:w="200"/>
            </w:tcMar>
          </w:tcPr>
          <w:p>
            <w:pPr>
              <w:spacing w:after="60"/>
              <w:jc w:val="center"/>
            </w:pPr>
            <w:r>
              <w:rPr>
                <w:rFonts w:ascii="Calibri" w:cs="Calibri" w:eastAsia="Calibri" w:hAnsi="Calibri"/>
                <w:b/>
                <w:bCs/>
                <w:color w:val="C9A227"/>
                <w:sz w:val="48"/>
                <w:szCs w:val="48"/>
              </w:rPr>
              <w:t xml:space="preserve">10</w:t>
            </w:r>
          </w:p>
          <w:p>
            <w:pPr>
              <w:jc w:val="center"/>
            </w:pPr>
            <w:r>
              <w:rPr>
                <w:rFonts w:ascii="Calibri" w:cs="Calibri" w:eastAsia="Calibri" w:hAnsi="Calibri"/>
                <w:b/>
                <w:bCs/>
                <w:color w:val="BFD4E8"/>
                <w:spacing w:val="40"/>
                <w:sz w:val="18"/>
                <w:szCs w:val="18"/>
              </w:rPr>
              <w:t xml:space="preserve">RATIOS COMPUTED</w:t>
            </w:r>
          </w:p>
        </w:tc>
        <w:tc>
          <w:tcPr>
            <w:tcW w:type="dxa" w:w="3120"/>
            <w:tcBorders>
              <w:top w:val="single" w:color="C9A227" w:sz="2"/>
              <w:left w:val="single" w:color="C9A227" w:sz="2"/>
              <w:bottom w:val="single" w:color="C9A227" w:sz="2"/>
              <w:right w:val="single" w:color="C9A227" w:sz="2"/>
            </w:tcBorders>
            <w:shd w:fill="0D1B2A" w:val="clear"/>
            <w:tcMar>
              <w:top w:type="dxa" w:w="260"/>
              <w:left w:type="dxa" w:w="200"/>
              <w:bottom w:type="dxa" w:w="260"/>
              <w:right w:type="dxa" w:w="200"/>
            </w:tcMar>
          </w:tcPr>
          <w:p>
            <w:pPr>
              <w:spacing w:after="60"/>
              <w:jc w:val="center"/>
            </w:pPr>
            <w:r>
              <w:rPr>
                <w:rFonts w:ascii="Calibri" w:cs="Calibri" w:eastAsia="Calibri" w:hAnsi="Calibri"/>
                <w:b/>
                <w:bCs/>
                <w:color w:val="C9A227"/>
                <w:sz w:val="48"/>
                <w:szCs w:val="48"/>
              </w:rPr>
              <w:t xml:space="preserve">18</w:t>
            </w:r>
          </w:p>
          <w:p>
            <w:pPr>
              <w:jc w:val="center"/>
            </w:pPr>
            <w:r>
              <w:rPr>
                <w:rFonts w:ascii="Calibri" w:cs="Calibri" w:eastAsia="Calibri" w:hAnsi="Calibri"/>
                <w:b/>
                <w:bCs/>
                <w:color w:val="BFD4E8"/>
                <w:spacing w:val="40"/>
                <w:sz w:val="18"/>
                <w:szCs w:val="18"/>
              </w:rPr>
              <w:t xml:space="preserve">COVENANTS DRAFTED</w:t>
            </w:r>
          </w:p>
        </w:tc>
      </w:tr>
    </w:tbl>
    <w:p>
      <w:pPr>
        <w:spacing w:after="300"/>
      </w:pPr>
      <w:r>
        <w:rPr>
          <w:rFonts w:ascii="Calibri" w:cs="Calibri" w:eastAsia="Calibri" w:hAnsi="Calibri"/>
          <w:b w:val="false"/>
          <w:bCs w:val="false"/>
          <w:i w:val="false"/>
          <w:iCs w:val="false"/>
          <w:color w:val="1F2933"/>
          <w:sz w:val="26"/>
          <w:szCs w:val="26"/>
        </w:rPr>
        <w:t xml:space="preserve"/>
      </w:r>
    </w:p>
    <w:p>
      <w:pPr>
        <w:spacing w:after="120" w:before="60"/>
      </w:pPr>
      <w:r>
        <w:rPr>
          <w:rFonts w:ascii="Calibri" w:cs="Calibri" w:eastAsia="Calibri" w:hAnsi="Calibri"/>
          <w:b/>
          <w:bCs/>
          <w:color w:val="1B4F72"/>
          <w:sz w:val="26"/>
          <w:szCs w:val="26"/>
        </w:rPr>
        <w:t xml:space="preserve">Phase 1 completes in under a second.</w:t>
      </w:r>
    </w:p>
    <w:p>
      <w:pPr>
        <w:spacing w:after="260" w:before="0" w:line="340"/>
        <w:jc w:val="left"/>
      </w:pPr>
      <w:r>
        <w:rPr>
          <w:rFonts w:ascii="Calibri" w:cs="Calibri" w:eastAsia="Calibri" w:hAnsi="Calibri"/>
          <w:b w:val="false"/>
          <w:bCs w:val="false"/>
          <w:i w:val="false"/>
          <w:iCs w:val="false"/>
          <w:color w:val="1F2933"/>
          <w:sz w:val="26"/>
          <w:szCs w:val="26"/>
        </w:rPr>
        <w:t xml:space="preserve">Ten credit ratios computed. Three risk flags raised. Data completeness validated at 100%. Every number traceable to source.</w:t>
      </w:r>
    </w:p>
    <w:p>
      <w:pPr>
        <w:spacing w:after="120" w:before="60"/>
      </w:pPr>
      <w:r>
        <w:rPr>
          <w:rFonts w:ascii="Calibri" w:cs="Calibri" w:eastAsia="Calibri" w:hAnsi="Calibri"/>
          <w:b/>
          <w:bCs/>
          <w:color w:val="1B4F72"/>
          <w:sz w:val="26"/>
          <w:szCs w:val="26"/>
        </w:rPr>
        <w:t xml:space="preserve">Phase 2 takes thirty seconds.</w:t>
      </w:r>
    </w:p>
    <w:p>
      <w:pPr>
        <w:spacing w:after="260" w:before="0" w:line="340"/>
        <w:jc w:val="left"/>
      </w:pPr>
      <w:r>
        <w:rPr>
          <w:rFonts w:ascii="Calibri" w:cs="Calibri" w:eastAsia="Calibri" w:hAnsi="Calibri"/>
          <w:b w:val="false"/>
          <w:bCs w:val="false"/>
          <w:i w:val="false"/>
          <w:iCs w:val="false"/>
          <w:color w:val="1F2933"/>
          <w:sz w:val="26"/>
          <w:szCs w:val="26"/>
        </w:rPr>
        <w:t xml:space="preserve">Full credit memorandum: financial narrative, ratio-by-ratio commentary, five risk factors with mitigation strategies, and a recommendation — </w:t>
      </w:r>
      <w:r>
        <w:rPr>
          <w:rFonts w:ascii="Calibri" w:cs="Calibri" w:eastAsia="Calibri" w:hAnsi="Calibri"/>
          <w:b/>
          <w:bCs/>
          <w:i w:val="false"/>
          <w:iCs w:val="false"/>
          <w:color w:val="0D1B2A"/>
          <w:sz w:val="26"/>
          <w:szCs w:val="26"/>
        </w:rPr>
        <w:t xml:space="preserve">APPROVE WITH CONDITIONS</w:t>
      </w:r>
      <w:r>
        <w:rPr>
          <w:rFonts w:ascii="Calibri" w:cs="Calibri" w:eastAsia="Calibri" w:hAnsi="Calibri"/>
          <w:b w:val="false"/>
          <w:bCs w:val="false"/>
          <w:i w:val="false"/>
          <w:iCs w:val="false"/>
          <w:color w:val="1F2933"/>
          <w:sz w:val="26"/>
          <w:szCs w:val="26"/>
        </w:rPr>
        <w:t xml:space="preserve"> — with eighteen covenants.</w:t>
      </w:r>
    </w:p>
    <w:tbl>
      <w:tblPr>
        <w:tblW w:type="dxa" w:w="9360"/>
        <w:tblBorders>
          <w:top w:val="single" w:color="2874A6" w:sz="1"/>
          <w:left w:val="single" w:color="C9A227"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bCs/>
                <w:i w:val="false"/>
                <w:iCs w:val="false"/>
                <w:color w:val="0D1B2A"/>
                <w:sz w:val="26"/>
                <w:szCs w:val="26"/>
              </w:rPr>
              <w:t xml:space="preserve">A senior analyst doing the same work manually: 4–6 hours and ~$500 in fully loaded cost. The agent: 30 seconds and $0.35.</w:t>
            </w:r>
          </w:p>
        </w:tc>
      </w:tr>
    </w:tbl>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AI IN FS: MISCONCEPTIONS &amp; FIRST PRINCIPLES  //  PART 1 OF 4  //  05</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WHAT TO DO WITH THE CAPACITY</w:t>
      </w:r>
    </w:p>
    <w:p>
      <w:pPr>
        <w:spacing w:after="200" w:before="0" w:line="340"/>
        <w:jc w:val="left"/>
      </w:pPr>
      <w:r>
        <w:rPr>
          <w:rFonts w:ascii="Calibri" w:cs="Calibri" w:eastAsia="Calibri" w:hAnsi="Calibri"/>
          <w:b w:val="false"/>
          <w:bCs w:val="false"/>
          <w:i w:val="false"/>
          <w:iCs w:val="false"/>
          <w:color w:val="1F2933"/>
          <w:sz w:val="26"/>
          <w:szCs w:val="26"/>
        </w:rPr>
        <w:t xml:space="preserve">The question every CRO should be asking is not </w:t>
      </w:r>
      <w:r>
        <w:rPr>
          <w:rFonts w:ascii="Calibri" w:cs="Calibri" w:eastAsia="Calibri" w:hAnsi="Calibri"/>
          <w:b w:val="false"/>
          <w:bCs w:val="false"/>
          <w:i/>
          <w:iCs/>
          <w:color w:val="1F2933"/>
          <w:sz w:val="26"/>
          <w:szCs w:val="26"/>
        </w:rPr>
        <w:t xml:space="preserve">"how many analysts can I cut?"</w:t>
      </w:r>
      <w:r>
        <w:rPr>
          <w:rFonts w:ascii="Calibri" w:cs="Calibri" w:eastAsia="Calibri" w:hAnsi="Calibri"/>
          <w:b w:val="false"/>
          <w:bCs w:val="false"/>
          <w:i w:val="false"/>
          <w:iCs w:val="false"/>
          <w:color w:val="1F2933"/>
          <w:sz w:val="26"/>
          <w:szCs w:val="26"/>
        </w:rPr>
        <w:t xml:space="preserve"> It is </w:t>
      </w:r>
      <w:r>
        <w:rPr>
          <w:rFonts w:ascii="Calibri" w:cs="Calibri" w:eastAsia="Calibri" w:hAnsi="Calibri"/>
          <w:b/>
          <w:bCs/>
          <w:i w:val="false"/>
          <w:iCs w:val="false"/>
          <w:color w:val="0D1B2A"/>
          <w:sz w:val="26"/>
          <w:szCs w:val="26"/>
        </w:rPr>
        <w:t xml:space="preserve">"what can my credit team do with 4,000 recovered hours per year?"</w:t>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1</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More deals analysed.</w:t>
            </w:r>
          </w:p>
          <w:p>
            <w:pPr>
              <w:spacing w:line="340"/>
            </w:pPr>
            <w:r>
              <w:rPr>
                <w:rFonts w:ascii="Calibri" w:cs="Calibri" w:eastAsia="Calibri" w:hAnsi="Calibri"/>
                <w:color w:val="1F2933"/>
                <w:sz w:val="24"/>
                <w:szCs w:val="24"/>
              </w:rPr>
              <w:t xml:space="preserve">200 memos at 6 hours each = 1,200 hours. At 20 minutes each, the team reclaims 1,000 hours. Capacity for 300 additional deal reviews — without a single new hire.</w:t>
            </w:r>
          </w:p>
        </w:tc>
      </w:tr>
    </w:tbl>
    <w:p>
      <w:pPr>
        <w:spacing w:after="16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2</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Deeper risk coverage.</w:t>
            </w:r>
          </w:p>
          <w:p>
            <w:pPr>
              <w:spacing w:line="340"/>
            </w:pPr>
            <w:r>
              <w:rPr>
                <w:rFonts w:ascii="Calibri" w:cs="Calibri" w:eastAsia="Calibri" w:hAnsi="Calibri"/>
                <w:color w:val="1F2933"/>
                <w:sz w:val="24"/>
                <w:szCs w:val="24"/>
              </w:rPr>
              <w:t xml:space="preserve">The analyst focuses on what the model cannot see: the management meeting, the site visit, the sector rumour, the regulatory change coming in Q3.</w:t>
            </w:r>
          </w:p>
        </w:tc>
      </w:tr>
    </w:tbl>
    <w:p>
      <w:pPr>
        <w:spacing w:after="16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3</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Faster time-to-decision.</w:t>
            </w:r>
          </w:p>
          <w:p>
            <w:pPr>
              <w:spacing w:line="340"/>
            </w:pPr>
            <w:r>
              <w:rPr>
                <w:rFonts w:ascii="Calibri" w:cs="Calibri" w:eastAsia="Calibri" w:hAnsi="Calibri"/>
                <w:color w:val="1F2933"/>
                <w:sz w:val="24"/>
                <w:szCs w:val="24"/>
              </w:rPr>
              <w:t xml:space="preserve">A 3-day credit turnaround becomes same-day. In syndicated facilities and acquisition finance, speed is the differentiator. The bank that responds in 24 hours wins the mandate.</w:t>
            </w:r>
          </w:p>
        </w:tc>
      </w:tr>
    </w:tbl>
    <w:p>
      <w:pPr>
        <w:spacing w:after="16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4</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A better audit trail than the manual process.</w:t>
            </w:r>
          </w:p>
          <w:p>
            <w:pPr>
              <w:spacing w:line="340"/>
            </w:pPr>
            <w:r>
              <w:rPr>
                <w:rFonts w:ascii="Calibri" w:cs="Calibri" w:eastAsia="Calibri" w:hAnsi="Calibri"/>
                <w:color w:val="1F2933"/>
                <w:sz w:val="24"/>
                <w:szCs w:val="24"/>
              </w:rPr>
              <w:t xml:space="preserve">Every ratio is traceable. Every AI judgment is logged. Every analyst edit is captured as a diff. The AI-assisted memo is more auditable than the one written by hand.</w:t>
            </w:r>
          </w:p>
        </w:tc>
      </w:tr>
    </w:tbl>
    <w:p>
      <w:pPr>
        <w:spacing w:after="200"/>
      </w:pPr>
      <w:r>
        <w:rPr>
          <w:rFonts w:ascii="Calibri" w:cs="Calibri" w:eastAsia="Calibri" w:hAnsi="Calibri"/>
          <w:b w:val="false"/>
          <w:bCs w:val="false"/>
          <w:i w:val="false"/>
          <w:iCs w:val="false"/>
          <w:color w:val="1F2933"/>
          <w:sz w:val="26"/>
          <w:szCs w:val="26"/>
        </w:rPr>
        <w:t xml:space="preserve"/>
      </w:r>
    </w:p>
    <w:tbl>
      <w:tblPr>
        <w:tblW w:type="dxa" w:w="9360"/>
        <w:tblBorders>
          <w:top w:val="single" w:color="2874A6" w:sz="1"/>
          <w:left w:val="single" w:color="C9A227"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bCs/>
                <w:i w:val="false"/>
                <w:iCs w:val="false"/>
                <w:color w:val="0D1B2A"/>
                <w:sz w:val="26"/>
                <w:szCs w:val="26"/>
              </w:rPr>
              <w:t xml:space="preserve">The bank that gets this right does not just save analyst hours. It changes the economics of credit origination.</w:t>
            </w:r>
          </w:p>
        </w:tc>
      </w:tr>
    </w:tbl>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AI IN FS: MISCONCEPTIONS &amp; FIRST PRINCIPLES  //  PART 1 OF 4  //  06</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WHY BANKS KEEP GETTING THIS WRONG</w:t>
      </w:r>
    </w:p>
    <w:p>
      <w:pPr>
        <w:spacing w:after="20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1</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They start with the demo.</w:t>
            </w:r>
          </w:p>
          <w:p>
            <w:pPr>
              <w:spacing w:line="340"/>
            </w:pPr>
            <w:r>
              <w:rPr>
                <w:rFonts w:ascii="Calibri" w:cs="Calibri" w:eastAsia="Calibri" w:hAnsi="Calibri"/>
                <w:color w:val="1F2933"/>
                <w:sz w:val="24"/>
                <w:szCs w:val="24"/>
              </w:rPr>
              <w:t xml:space="preserve">A vendor shows the board a prompt that turns a PDF into a credit memo in sixty seconds. The board is impressed. Nobody asks whether the DSCR in paragraph four matches the DSCR in the ratio table.</w:t>
            </w:r>
          </w:p>
        </w:tc>
      </w:tr>
    </w:tbl>
    <w:p>
      <w:pPr>
        <w:spacing w:after="24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2</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They treat the AI as a black box.</w:t>
            </w:r>
          </w:p>
          <w:p>
            <w:pPr>
              <w:spacing w:line="340"/>
            </w:pPr>
            <w:r>
              <w:rPr>
                <w:rFonts w:ascii="Calibri" w:cs="Calibri" w:eastAsia="Calibri" w:hAnsi="Calibri"/>
                <w:color w:val="1F2933"/>
                <w:sz w:val="24"/>
                <w:szCs w:val="24"/>
              </w:rPr>
              <w:t xml:space="preserve">The model ingests data and produces output. Nobody can explain what happened in between. When the regulator asks “how did you arrive at this rating?”, the answer is “the model said so.” That answer does not survive a SAMA examination.</w:t>
            </w:r>
          </w:p>
        </w:tc>
      </w:tr>
    </w:tbl>
    <w:p>
      <w:pPr>
        <w:spacing w:after="24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3</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They skip the guardrails.</w:t>
            </w:r>
          </w:p>
          <w:p>
            <w:pPr>
              <w:spacing w:line="340"/>
            </w:pPr>
            <w:r>
              <w:rPr>
                <w:rFonts w:ascii="Calibri" w:cs="Calibri" w:eastAsia="Calibri" w:hAnsi="Calibri"/>
                <w:color w:val="1F2933"/>
                <w:sz w:val="24"/>
                <w:szCs w:val="24"/>
              </w:rPr>
              <w:t xml:space="preserve">In production, every tool call passes through safety checks, quality checks, and compliance checks. These are the difference between a system that works and a system that gets shut down after the first incident.</w:t>
            </w:r>
          </w:p>
        </w:tc>
      </w:tr>
    </w:tbl>
    <w:p>
      <w:pPr>
        <w:spacing w:after="300"/>
      </w:pPr>
      <w:r>
        <w:rPr>
          <w:rFonts w:ascii="Calibri" w:cs="Calibri" w:eastAsia="Calibri" w:hAnsi="Calibri"/>
          <w:b w:val="false"/>
          <w:bCs w:val="false"/>
          <w:i w:val="false"/>
          <w:iCs w:val="false"/>
          <w:color w:val="1F2933"/>
          <w:sz w:val="26"/>
          <w:szCs w:val="26"/>
        </w:rPr>
        <w:t xml:space="preserve"/>
      </w:r>
    </w:p>
    <w:tbl>
      <w:tblPr>
        <w:tblW w:type="dxa" w:w="9360"/>
        <w:tblBorders>
          <w:top w:val="single" w:color="2874A6" w:sz="1"/>
          <w:left w:val="single" w:color="C9A227"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bCs/>
                <w:i w:val="false"/>
                <w:iCs w:val="false"/>
                <w:color w:val="0D1B2A"/>
                <w:sz w:val="26"/>
                <w:szCs w:val="26"/>
              </w:rPr>
              <w:t xml:space="preserve">The banks that will lead are the ones that get the architecture right now — before the regulator mandates it.</w:t>
            </w:r>
          </w:p>
        </w:tc>
      </w:tr>
    </w:tbl>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AI IN FS: MISCONCEPTIONS &amp; FIRST PRINCIPLES  //  PART 1 OF 4  //  07</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ADVISORY CONVERSATION</w:t>
      </w:r>
    </w:p>
    <w:p>
      <w:pPr>
        <w:spacing w:after="240" w:before="0" w:line="340"/>
        <w:jc w:val="left"/>
      </w:pPr>
      <w:r>
        <w:rPr>
          <w:rFonts w:ascii="Calibri" w:cs="Calibri" w:eastAsia="Calibri" w:hAnsi="Calibri"/>
          <w:b w:val="false"/>
          <w:bCs w:val="false"/>
          <w:i/>
          <w:iCs/>
          <w:color w:val="1F2933"/>
          <w:sz w:val="26"/>
          <w:szCs w:val="26"/>
        </w:rPr>
        <w:t xml:space="preserve">When I sit with a CRO or a Head of Credit, the question is never “can AI write a credit memo?” They know it can. The question is always:</w:t>
      </w:r>
    </w:p>
    <w:p>
      <w:pPr>
        <w:pBdr>
          <w:left w:val="single" w:color="C9A227" w:sz="12" w:space="8"/>
        </w:pBdr>
        <w:spacing w:after="80" w:before="200"/>
        <w:ind w:left="200"/>
      </w:pPr>
      <w:r>
        <w:rPr>
          <w:rFonts w:ascii="Calibri" w:cs="Calibri" w:eastAsia="Calibri" w:hAnsi="Calibri"/>
          <w:b/>
          <w:bCs/>
          <w:color w:val="0D1B2A"/>
          <w:sz w:val="26"/>
          <w:szCs w:val="26"/>
        </w:rPr>
        <w:t xml:space="preserve">“How do I make sure the numbers are right?”</w:t>
      </w:r>
    </w:p>
    <w:p>
      <w:pPr>
        <w:spacing w:after="160"/>
        <w:ind w:left="200"/>
      </w:pPr>
      <w:r>
        <w:rPr>
          <w:rFonts w:ascii="Calibri" w:cs="Calibri" w:eastAsia="Calibri" w:hAnsi="Calibri"/>
          <w:color w:val="1B4F72"/>
          <w:sz w:val="24"/>
          <w:szCs w:val="24"/>
        </w:rPr>
        <w:t xml:space="preserve">Deterministic tools. Unit-tested. The AI never computes.</w:t>
      </w:r>
    </w:p>
    <w:p>
      <w:pPr>
        <w:pBdr>
          <w:left w:val="single" w:color="C9A227" w:sz="12" w:space="8"/>
        </w:pBdr>
        <w:spacing w:after="80" w:before="200"/>
        <w:ind w:left="200"/>
      </w:pPr>
      <w:r>
        <w:rPr>
          <w:rFonts w:ascii="Calibri" w:cs="Calibri" w:eastAsia="Calibri" w:hAnsi="Calibri"/>
          <w:b/>
          <w:bCs/>
          <w:color w:val="0D1B2A"/>
          <w:sz w:val="26"/>
          <w:szCs w:val="26"/>
        </w:rPr>
        <w:t xml:space="preserve">“How do I explain this to the regulator?”</w:t>
      </w:r>
    </w:p>
    <w:p>
      <w:pPr>
        <w:spacing w:after="160"/>
        <w:ind w:left="200"/>
      </w:pPr>
      <w:r>
        <w:rPr>
          <w:rFonts w:ascii="Calibri" w:cs="Calibri" w:eastAsia="Calibri" w:hAnsi="Calibri"/>
          <w:color w:val="1B4F72"/>
          <w:sz w:val="24"/>
          <w:szCs w:val="24"/>
        </w:rPr>
        <w:t xml:space="preserve">Audit trail. Every tool call logged. Every analyst edit captured.</w:t>
      </w:r>
    </w:p>
    <w:p>
      <w:pPr>
        <w:pBdr>
          <w:left w:val="single" w:color="C9A227" w:sz="12" w:space="8"/>
        </w:pBdr>
        <w:spacing w:after="80" w:before="200"/>
        <w:ind w:left="200"/>
      </w:pPr>
      <w:r>
        <w:rPr>
          <w:rFonts w:ascii="Calibri" w:cs="Calibri" w:eastAsia="Calibri" w:hAnsi="Calibri"/>
          <w:b/>
          <w:bCs/>
          <w:color w:val="0D1B2A"/>
          <w:sz w:val="26"/>
          <w:szCs w:val="26"/>
        </w:rPr>
        <w:t xml:space="preserve">“What happens when it gets it wrong?”</w:t>
      </w:r>
    </w:p>
    <w:p>
      <w:pPr>
        <w:spacing w:after="160"/>
        <w:ind w:left="200"/>
      </w:pPr>
      <w:r>
        <w:rPr>
          <w:rFonts w:ascii="Calibri" w:cs="Calibri" w:eastAsia="Calibri" w:hAnsi="Calibri"/>
          <w:color w:val="1B4F72"/>
          <w:sz w:val="24"/>
          <w:szCs w:val="24"/>
        </w:rPr>
        <w:t xml:space="preserve">Guardrails catch it before the committee sees it. A human always signs off.</w:t>
      </w:r>
    </w:p>
    <w:p>
      <w:pPr>
        <w:pBdr>
          <w:left w:val="single" w:color="C9A227" w:sz="12" w:space="8"/>
        </w:pBdr>
        <w:spacing w:after="80" w:before="200"/>
        <w:ind w:left="200"/>
      </w:pPr>
      <w:r>
        <w:rPr>
          <w:rFonts w:ascii="Calibri" w:cs="Calibri" w:eastAsia="Calibri" w:hAnsi="Calibri"/>
          <w:b/>
          <w:bCs/>
          <w:color w:val="0D1B2A"/>
          <w:sz w:val="26"/>
          <w:szCs w:val="26"/>
        </w:rPr>
        <w:t xml:space="preserve">“What does it cost?”</w:t>
      </w:r>
    </w:p>
    <w:p>
      <w:pPr>
        <w:spacing w:after="160"/>
        <w:ind w:left="200"/>
      </w:pPr>
      <w:r>
        <w:rPr>
          <w:rFonts w:ascii="Calibri" w:cs="Calibri" w:eastAsia="Calibri" w:hAnsi="Calibri"/>
          <w:color w:val="1B4F72"/>
          <w:sz w:val="24"/>
          <w:szCs w:val="24"/>
        </w:rPr>
        <w:t xml:space="preserve">$0.35 per memo at the AI layer. The real cost is the architecture.</w:t>
      </w:r>
    </w:p>
    <w:p>
      <w:pPr>
        <w:pBdr>
          <w:left w:val="single" w:color="C9A227" w:sz="12" w:space="8"/>
        </w:pBdr>
        <w:spacing w:after="80" w:before="200"/>
        <w:ind w:left="200"/>
      </w:pPr>
      <w:r>
        <w:rPr>
          <w:rFonts w:ascii="Calibri" w:cs="Calibri" w:eastAsia="Calibri" w:hAnsi="Calibri"/>
          <w:b/>
          <w:bCs/>
          <w:color w:val="0D1B2A"/>
          <w:sz w:val="26"/>
          <w:szCs w:val="26"/>
        </w:rPr>
        <w:t xml:space="preserve">“Who else is doing this?”</w:t>
      </w:r>
    </w:p>
    <w:p>
      <w:pPr>
        <w:spacing w:after="160"/>
        <w:ind w:left="200"/>
      </w:pPr>
      <w:r>
        <w:rPr>
          <w:rFonts w:ascii="Calibri" w:cs="Calibri" w:eastAsia="Calibri" w:hAnsi="Calibri"/>
          <w:color w:val="1B4F72"/>
          <w:sz w:val="24"/>
          <w:szCs w:val="24"/>
        </w:rPr>
        <w:t xml:space="preserve">Everyone is experimenting. Almost nobody is in production.</w:t>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AI IN FS: MISCONCEPTIONS &amp; FIRST PRINCIPLES  //  PART 1 OF 4  //  09</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SERIES</w:t>
      </w:r>
    </w:p>
    <w:p>
      <w:pPr>
        <w:spacing w:after="280" w:before="0" w:line="340"/>
        <w:jc w:val="left"/>
      </w:pPr>
      <w:r>
        <w:rPr>
          <w:rFonts w:ascii="Calibri" w:cs="Calibri" w:eastAsia="Calibri" w:hAnsi="Calibri"/>
          <w:b w:val="false"/>
          <w:bCs w:val="false"/>
          <w:i w:val="false"/>
          <w:iCs w:val="false"/>
          <w:color w:val="1F2933"/>
          <w:sz w:val="26"/>
          <w:szCs w:val="26"/>
        </w:rPr>
        <w:t xml:space="preserve">Four parts. Four verticals. Four misconceptions. Four first principles. Each with a working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6520"/>
      </w:tblGrid>
      <w:tr>
        <w:tc>
          <w:tcPr>
            <w:tcW w:type="dxa" w:w="640"/>
            <w:tcBorders>
              <w:top w:val="single" w:color="D6E1EC" w:sz="1"/>
              <w:left w:val="none" w:color="FFFFFF" w:sz="0"/>
              <w:bottom w:val="single" w:color="D6E1EC" w:sz="1"/>
              <w:right w:val="none" w:color="FFFFFF" w:sz="0"/>
            </w:tcBorders>
            <w:shd w:fill="2874A6" w:val="clear"/>
            <w:tcMar>
              <w:top w:type="dxa" w:w="160"/>
              <w:left w:type="dxa" w:w="120"/>
              <w:bottom w:type="dxa" w:w="160"/>
              <w:right w:type="dxa" w:w="80"/>
            </w:tcMar>
          </w:tcPr>
          <w:p>
            <w:pPr>
              <w:jc w:val="center"/>
            </w:pPr>
            <w:r>
              <w:rPr>
                <w:rFonts w:ascii="Calibri" w:cs="Calibri" w:eastAsia="Calibri" w:hAnsi="Calibri"/>
                <w:b/>
                <w:bCs/>
                <w:color w:val="FFFFFF"/>
                <w:sz w:val="24"/>
                <w:szCs w:val="24"/>
              </w:rPr>
              <w:t xml:space="preserve">01</w:t>
            </w:r>
          </w:p>
        </w:tc>
        <w:tc>
          <w:tcPr>
            <w:tcW w:type="dxa" w:w="2200"/>
            <w:tcBorders>
              <w:top w:val="single" w:color="D6E1EC" w:sz="1"/>
              <w:left w:val="none" w:color="FFFFFF" w:sz="0"/>
              <w:bottom w:val="single" w:color="D6E1EC" w:sz="1"/>
              <w:right w:val="none" w:color="FFFFFF" w:sz="0"/>
            </w:tcBorders>
            <w:shd w:fill="E8F0F8" w:val="clear"/>
            <w:tcMar>
              <w:top w:type="dxa" w:w="160"/>
              <w:left w:type="dxa" w:w="180"/>
              <w:bottom w:type="dxa" w:w="160"/>
              <w:right w:type="dxa" w:w="120"/>
            </w:tcMar>
          </w:tcPr>
          <w:p>
            <w:r>
              <w:rPr>
                <w:rFonts w:ascii="Calibri" w:cs="Calibri" w:eastAsia="Calibri" w:hAnsi="Calibri"/>
                <w:b/>
                <w:bCs/>
                <w:color w:val="0D1B2A"/>
                <w:sz w:val="22"/>
                <w:szCs w:val="22"/>
              </w:rPr>
              <w:t xml:space="preserve">Banks</w:t>
            </w:r>
          </w:p>
        </w:tc>
        <w:tc>
          <w:tcPr>
            <w:tcW w:type="dxa" w:w="6520"/>
            <w:tcBorders>
              <w:top w:val="single" w:color="D6E1EC" w:sz="1"/>
              <w:left w:val="none" w:color="FFFFFF" w:sz="0"/>
              <w:bottom w:val="single" w:color="D6E1EC" w:sz="1"/>
              <w:right w:val="none" w:color="FFFFFF" w:sz="0"/>
            </w:tcBorders>
            <w:shd w:fill="E8F0F8" w:val="clear"/>
            <w:tcMar>
              <w:top w:type="dxa" w:w="160"/>
              <w:left w:type="dxa" w:w="120"/>
              <w:bottom w:type="dxa" w:w="160"/>
              <w:right w:type="dxa" w:w="180"/>
            </w:tcMar>
          </w:tcPr>
          <w:p>
            <w:r>
              <w:rPr>
                <w:rFonts w:ascii="Calibri" w:cs="Calibri" w:eastAsia="Calibri" w:hAnsi="Calibri"/>
                <w:b/>
                <w:bCs/>
                <w:i w:val="false"/>
                <w:iCs w:val="false"/>
                <w:color w:val="0D1B2A"/>
                <w:sz w:val="22"/>
                <w:szCs w:val="22"/>
              </w:rPr>
              <w:t xml:space="preserve">"AI should do everything." — This article</w:t>
            </w:r>
          </w:p>
        </w:tc>
      </w:tr>
      <w:tr>
        <w:tc>
          <w:tcPr>
            <w:tcW w:type="dxa" w:w="640"/>
            <w:tcBorders>
              <w:top w:val="single" w:color="D6E1EC" w:sz="1"/>
              <w:left w:val="none" w:color="FFFFFF" w:sz="0"/>
              <w:bottom w:val="single" w:color="D6E1EC" w:sz="1"/>
              <w:right w:val="none" w:color="FFFFFF" w:sz="0"/>
            </w:tcBorders>
            <w:shd w:fill="F2F6FA" w:val="clear"/>
            <w:tcMar>
              <w:top w:type="dxa" w:w="160"/>
              <w:left w:type="dxa" w:w="120"/>
              <w:bottom w:type="dxa" w:w="160"/>
              <w:right w:type="dxa" w:w="80"/>
            </w:tcMar>
          </w:tcPr>
          <w:p>
            <w:pPr>
              <w:jc w:val="center"/>
            </w:pPr>
            <w:r>
              <w:rPr>
                <w:rFonts w:ascii="Calibri" w:cs="Calibri" w:eastAsia="Calibri" w:hAnsi="Calibri"/>
                <w:b/>
                <w:bCs/>
                <w:color w:val="0D1B2A"/>
                <w:sz w:val="24"/>
                <w:szCs w:val="24"/>
              </w:rPr>
              <w:t xml:space="preserve">02</w:t>
            </w:r>
          </w:p>
        </w:tc>
        <w:tc>
          <w:tcPr>
            <w:tcW w:type="dxa" w:w="2200"/>
            <w:tcBorders>
              <w:top w:val="single" w:color="D6E1EC" w:sz="1"/>
              <w:left w:val="none" w:color="FFFFFF" w:sz="0"/>
              <w:bottom w:val="single" w:color="D6E1EC" w:sz="1"/>
              <w:right w:val="none" w:color="FFFFFF" w:sz="0"/>
            </w:tcBorders>
            <w:shd w:fill="FFFFFF" w:val="clear"/>
            <w:tcMar>
              <w:top w:type="dxa" w:w="160"/>
              <w:left w:type="dxa" w:w="180"/>
              <w:bottom w:type="dxa" w:w="160"/>
              <w:right w:type="dxa" w:w="120"/>
            </w:tcMar>
          </w:tcPr>
          <w:p>
            <w:r>
              <w:rPr>
                <w:rFonts w:ascii="Calibri" w:cs="Calibri" w:eastAsia="Calibri" w:hAnsi="Calibri"/>
                <w:b/>
                <w:bCs/>
                <w:color w:val="1B4F72"/>
                <w:sz w:val="22"/>
                <w:szCs w:val="22"/>
              </w:rPr>
              <w:t xml:space="preserve">Exchanges</w:t>
            </w:r>
          </w:p>
        </w:tc>
        <w:tc>
          <w:tcPr>
            <w:tcW w:type="dxa" w:w="6520"/>
            <w:tcBorders>
              <w:top w:val="single" w:color="D6E1EC" w:sz="1"/>
              <w:left w:val="none" w:color="FFFFFF" w:sz="0"/>
              <w:bottom w:val="single" w:color="D6E1EC" w:sz="1"/>
              <w:right w:val="none" w:color="FFFFFF" w:sz="0"/>
            </w:tcBorders>
            <w:shd w:fill="FFFFFF" w:val="clear"/>
            <w:tcMar>
              <w:top w:type="dxa" w:w="160"/>
              <w:left w:type="dxa" w:w="120"/>
              <w:bottom w:type="dxa" w:w="160"/>
              <w:right w:type="dxa" w:w="180"/>
            </w:tcMar>
          </w:tcPr>
          <w:p>
            <w:r>
              <w:rPr>
                <w:rFonts w:ascii="Calibri" w:cs="Calibri" w:eastAsia="Calibri" w:hAnsi="Calibri"/>
                <w:b w:val="false"/>
                <w:bCs w:val="false"/>
                <w:i/>
                <w:iCs/>
                <w:color w:val="6C757D"/>
                <w:sz w:val="22"/>
                <w:szCs w:val="22"/>
              </w:rPr>
              <w:t xml:space="preserve">"AI replaces the analyst." — Next week</w:t>
            </w:r>
          </w:p>
        </w:tc>
      </w:tr>
      <w:tr>
        <w:tc>
          <w:tcPr>
            <w:tcW w:type="dxa" w:w="640"/>
            <w:tcBorders>
              <w:top w:val="single" w:color="D6E1EC" w:sz="1"/>
              <w:left w:val="none" w:color="FFFFFF" w:sz="0"/>
              <w:bottom w:val="single" w:color="D6E1EC" w:sz="1"/>
              <w:right w:val="none" w:color="FFFFFF" w:sz="0"/>
            </w:tcBorders>
            <w:shd w:fill="F2F6FA" w:val="clear"/>
            <w:tcMar>
              <w:top w:type="dxa" w:w="160"/>
              <w:left w:type="dxa" w:w="120"/>
              <w:bottom w:type="dxa" w:w="160"/>
              <w:right w:type="dxa" w:w="80"/>
            </w:tcMar>
          </w:tcPr>
          <w:p>
            <w:pPr>
              <w:jc w:val="center"/>
            </w:pPr>
            <w:r>
              <w:rPr>
                <w:rFonts w:ascii="Calibri" w:cs="Calibri" w:eastAsia="Calibri" w:hAnsi="Calibri"/>
                <w:b/>
                <w:bCs/>
                <w:color w:val="0D1B2A"/>
                <w:sz w:val="24"/>
                <w:szCs w:val="24"/>
              </w:rPr>
              <w:t xml:space="preserve">03</w:t>
            </w:r>
          </w:p>
        </w:tc>
        <w:tc>
          <w:tcPr>
            <w:tcW w:type="dxa" w:w="2200"/>
            <w:tcBorders>
              <w:top w:val="single" w:color="D6E1EC" w:sz="1"/>
              <w:left w:val="none" w:color="FFFFFF" w:sz="0"/>
              <w:bottom w:val="single" w:color="D6E1EC" w:sz="1"/>
              <w:right w:val="none" w:color="FFFFFF" w:sz="0"/>
            </w:tcBorders>
            <w:shd w:fill="FFFFFF" w:val="clear"/>
            <w:tcMar>
              <w:top w:type="dxa" w:w="160"/>
              <w:left w:type="dxa" w:w="180"/>
              <w:bottom w:type="dxa" w:w="160"/>
              <w:right w:type="dxa" w:w="120"/>
            </w:tcMar>
          </w:tcPr>
          <w:p>
            <w:r>
              <w:rPr>
                <w:rFonts w:ascii="Calibri" w:cs="Calibri" w:eastAsia="Calibri" w:hAnsi="Calibri"/>
                <w:b/>
                <w:bCs/>
                <w:color w:val="1B4F72"/>
                <w:sz w:val="22"/>
                <w:szCs w:val="22"/>
              </w:rPr>
              <w:t xml:space="preserve">Investment Mgmt</w:t>
            </w:r>
          </w:p>
        </w:tc>
        <w:tc>
          <w:tcPr>
            <w:tcW w:type="dxa" w:w="6520"/>
            <w:tcBorders>
              <w:top w:val="single" w:color="D6E1EC" w:sz="1"/>
              <w:left w:val="none" w:color="FFFFFF" w:sz="0"/>
              <w:bottom w:val="single" w:color="D6E1EC" w:sz="1"/>
              <w:right w:val="none" w:color="FFFFFF" w:sz="0"/>
            </w:tcBorders>
            <w:shd w:fill="FFFFFF" w:val="clear"/>
            <w:tcMar>
              <w:top w:type="dxa" w:w="160"/>
              <w:left w:type="dxa" w:w="120"/>
              <w:bottom w:type="dxa" w:w="160"/>
              <w:right w:type="dxa" w:w="180"/>
            </w:tcMar>
          </w:tcPr>
          <w:p>
            <w:r>
              <w:rPr>
                <w:rFonts w:ascii="Calibri" w:cs="Calibri" w:eastAsia="Calibri" w:hAnsi="Calibri"/>
                <w:b w:val="false"/>
                <w:bCs w:val="false"/>
                <w:i/>
                <w:iCs/>
                <w:color w:val="6C757D"/>
                <w:sz w:val="22"/>
                <w:szCs w:val="22"/>
              </w:rPr>
              <w:t xml:space="preserve">"AI governance is a compliance exercise."</w:t>
            </w:r>
          </w:p>
        </w:tc>
      </w:tr>
      <w:tr>
        <w:tc>
          <w:tcPr>
            <w:tcW w:type="dxa" w:w="640"/>
            <w:tcBorders>
              <w:top w:val="single" w:color="D6E1EC" w:sz="1"/>
              <w:left w:val="none" w:color="FFFFFF" w:sz="0"/>
              <w:bottom w:val="single" w:color="D6E1EC" w:sz="1"/>
              <w:right w:val="none" w:color="FFFFFF" w:sz="0"/>
            </w:tcBorders>
            <w:shd w:fill="F2F6FA" w:val="clear"/>
            <w:tcMar>
              <w:top w:type="dxa" w:w="160"/>
              <w:left w:type="dxa" w:w="120"/>
              <w:bottom w:type="dxa" w:w="160"/>
              <w:right w:type="dxa" w:w="80"/>
            </w:tcMar>
          </w:tcPr>
          <w:p>
            <w:pPr>
              <w:jc w:val="center"/>
            </w:pPr>
            <w:r>
              <w:rPr>
                <w:rFonts w:ascii="Calibri" w:cs="Calibri" w:eastAsia="Calibri" w:hAnsi="Calibri"/>
                <w:b/>
                <w:bCs/>
                <w:color w:val="0D1B2A"/>
                <w:sz w:val="24"/>
                <w:szCs w:val="24"/>
              </w:rPr>
              <w:t xml:space="preserve">04</w:t>
            </w:r>
          </w:p>
        </w:tc>
        <w:tc>
          <w:tcPr>
            <w:tcW w:type="dxa" w:w="2200"/>
            <w:tcBorders>
              <w:top w:val="single" w:color="D6E1EC" w:sz="1"/>
              <w:left w:val="none" w:color="FFFFFF" w:sz="0"/>
              <w:bottom w:val="single" w:color="D6E1EC" w:sz="1"/>
              <w:right w:val="none" w:color="FFFFFF" w:sz="0"/>
            </w:tcBorders>
            <w:shd w:fill="FFFFFF" w:val="clear"/>
            <w:tcMar>
              <w:top w:type="dxa" w:w="160"/>
              <w:left w:type="dxa" w:w="180"/>
              <w:bottom w:type="dxa" w:w="160"/>
              <w:right w:type="dxa" w:w="120"/>
            </w:tcMar>
          </w:tcPr>
          <w:p>
            <w:r>
              <w:rPr>
                <w:rFonts w:ascii="Calibri" w:cs="Calibri" w:eastAsia="Calibri" w:hAnsi="Calibri"/>
                <w:b/>
                <w:bCs/>
                <w:color w:val="1B4F72"/>
                <w:sz w:val="22"/>
                <w:szCs w:val="22"/>
              </w:rPr>
              <w:t xml:space="preserve">Insurance</w:t>
            </w:r>
          </w:p>
        </w:tc>
        <w:tc>
          <w:tcPr>
            <w:tcW w:type="dxa" w:w="6520"/>
            <w:tcBorders>
              <w:top w:val="single" w:color="D6E1EC" w:sz="1"/>
              <w:left w:val="none" w:color="FFFFFF" w:sz="0"/>
              <w:bottom w:val="single" w:color="D6E1EC" w:sz="1"/>
              <w:right w:val="none" w:color="FFFFFF" w:sz="0"/>
            </w:tcBorders>
            <w:shd w:fill="FFFFFF" w:val="clear"/>
            <w:tcMar>
              <w:top w:type="dxa" w:w="160"/>
              <w:left w:type="dxa" w:w="120"/>
              <w:bottom w:type="dxa" w:w="160"/>
              <w:right w:type="dxa" w:w="180"/>
            </w:tcMar>
          </w:tcPr>
          <w:p>
            <w:r>
              <w:rPr>
                <w:rFonts w:ascii="Calibri" w:cs="Calibri" w:eastAsia="Calibri" w:hAnsi="Calibri"/>
                <w:b w:val="false"/>
                <w:bCs w:val="false"/>
                <w:i/>
                <w:iCs/>
                <w:color w:val="6C757D"/>
                <w:sz w:val="22"/>
                <w:szCs w:val="22"/>
              </w:rPr>
              <w:t xml:space="preserve">"You need perfect data before you start."</w:t>
            </w:r>
          </w:p>
        </w:tc>
      </w:tr>
    </w:tbl>
    <w:p>
      <w:pPr>
        <w:spacing w:after="300"/>
      </w:pPr>
      <w:r>
        <w:rPr>
          <w:rFonts w:ascii="Calibri" w:cs="Calibri" w:eastAsia="Calibri" w:hAnsi="Calibri"/>
          <w:b w:val="false"/>
          <w:bCs w:val="false"/>
          <w:i w:val="false"/>
          <w:iCs w:val="false"/>
          <w:color w:val="1F2933"/>
          <w:sz w:val="26"/>
          <w:szCs w:val="26"/>
        </w:rPr>
        <w:t xml:space="preserve"/>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val="false"/>
                <w:bCs w:val="false"/>
                <w:i/>
                <w:iCs/>
                <w:color w:val="0D1B2A"/>
                <w:sz w:val="26"/>
                <w:szCs w:val="26"/>
              </w:rPr>
              <w:t xml:space="preserve">Next week — Part 2: What happens when you apply this principle to prospectus review at a stock exchange. The misconception changes. The first principle doesn’t.</w:t>
            </w:r>
          </w:p>
        </w:tc>
      </w:tr>
    </w:tbl>
    <w:p>
      <w:pPr>
        <w:spacing w:after="300"/>
      </w:pPr>
      <w:r>
        <w:rPr>
          <w:rFonts w:ascii="Calibri" w:cs="Calibri" w:eastAsia="Calibri" w:hAnsi="Calibri"/>
          <w:b w:val="false"/>
          <w:bCs w:val="false"/>
          <w:i w:val="false"/>
          <w:iCs w:val="false"/>
          <w:color w:val="1F2933"/>
          <w:sz w:val="26"/>
          <w:szCs w:val="26"/>
        </w:rPr>
        <w:t xml:space="preserve"/>
      </w:r>
    </w:p>
    <w:tbl>
      <w:tblPr>
        <w:tblW w:type="dxa" w:w="9360"/>
        <w:tblBorders>
          <w:top w:val="single" w:color="C9A227" w:sz="6"/>
          <w:left w:val="single" w:color="C9A227" w:sz="1"/>
          <w:bottom w:val="single" w:color="C9A227" w:sz="6"/>
          <w:right w:val="single" w:color="C9A227" w:sz="1"/>
          <w:insideH w:val="none" w:color="FFFFFF" w:sz="0"/>
          <w:insideV w:val="none" w:color="FFFFFF" w:sz="0"/>
        </w:tblBorders>
      </w:tblPr>
      <w:tblGrid>
        <w:gridCol w:w="9360"/>
      </w:tblGrid>
      <w:tr>
        <w:tc>
          <w:tcPr>
            <w:tcW w:type="dxa" w:w="9360"/>
            <w:tcMar>
              <w:top w:type="dxa" w:w="240"/>
              <w:left w:type="dxa" w:w="300"/>
              <w:bottom w:type="dxa" w:w="240"/>
              <w:right w:type="dxa" w:w="300"/>
            </w:tcMar>
          </w:tcPr>
          <w:p>
            <w:pPr>
              <w:spacing w:line="360"/>
            </w:pPr>
            <w:r>
              <w:rPr>
                <w:rFonts w:ascii="Calibri" w:cs="Calibri" w:eastAsia="Calibri" w:hAnsi="Calibri"/>
                <w:b/>
                <w:bCs/>
                <w:color w:val="0D1B2A"/>
                <w:sz w:val="26"/>
                <w:szCs w:val="26"/>
              </w:rPr>
              <w:t xml:space="preserve">The misconception — that AI should do everything — is the most expensive mistake in banking AI today. The principle — that code computes and AI judges — is the cheapest fix.</w:t>
            </w:r>
          </w:p>
        </w:tc>
      </w:tr>
    </w:tbl>
    <w:p>
      <w:pPr>
        <w:spacing w:after="300"/>
      </w:pPr>
      <w:r>
        <w:rPr>
          <w:rFonts w:ascii="Calibri" w:cs="Calibri" w:eastAsia="Calibri" w:hAnsi="Calibri"/>
          <w:b w:val="false"/>
          <w:bCs w:val="false"/>
          <w:i w:val="false"/>
          <w:iCs w:val="false"/>
          <w:color w:val="1F2933"/>
          <w:sz w:val="26"/>
          <w:szCs w:val="26"/>
        </w:rPr>
        <w:t xml:space="preserve"/>
      </w:r>
    </w:p>
    <w:p>
      <w:pPr>
        <w:spacing w:after="60"/>
      </w:pPr>
      <w:r>
        <w:rPr>
          <w:rFonts w:ascii="Calibri" w:cs="Calibri" w:eastAsia="Calibri" w:hAnsi="Calibri"/>
          <w:b/>
          <w:bCs/>
          <w:color w:val="0D1B2A"/>
          <w:spacing w:val="40"/>
          <w:sz w:val="24"/>
          <w:szCs w:val="24"/>
        </w:rPr>
        <w:t xml:space="preserve">RODNEY COUTINHO</w:t>
      </w:r>
    </w:p>
    <w:p>
      <w:pPr>
        <w:spacing w:after="60"/>
      </w:pPr>
      <w:r>
        <w:rPr>
          <w:rFonts w:ascii="Calibri" w:cs="Calibri" w:eastAsia="Calibri" w:hAnsi="Calibri"/>
          <w:color w:val="1B4F72"/>
          <w:sz w:val="20"/>
          <w:szCs w:val="20"/>
        </w:rPr>
        <w:t xml:space="preserve">Founder, Enterprise.AI  //  Executive Advisor on AI</w:t>
      </w:r>
    </w:p>
    <w:p>
      <w:pPr>
        <w:spacing w:after="60"/>
      </w:pPr>
      <w:r>
        <w:rPr>
          <w:rFonts w:ascii="Calibri" w:cs="Calibri" w:eastAsia="Calibri" w:hAnsi="Calibri"/>
          <w:color w:val="6C757D"/>
          <w:sz w:val="20"/>
          <w:szCs w:val="20"/>
        </w:rPr>
        <w:t xml:space="preserve">AI Strategy, Governance &amp; Deployment  //  Financial Services</w:t>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AI IN FS: MISCONCEPTIONS &amp; FIRST PRINCIPLES  //  PART 1 OF 4  //  09</w:t>
      </w:r>
    </w:p>
    <w:p>
      <w:r>
        <w:br w:type="page"/>
      </w:r>
    </w:p>
    <w:p>
      <w:pPr>
        <w:spacing w:after="600"/>
      </w:pPr>
      <w:r>
        <w:rPr>
          <w:rFonts w:ascii="Calibri" w:cs="Calibri" w:eastAsia="Calibri" w:hAnsi="Calibri"/>
          <w:b w:val="false"/>
          <w:bCs w:val="false"/>
          <w:i w:val="false"/>
          <w:iCs w:val="false"/>
          <w:color w:val="1F2933"/>
          <w:sz w:val="26"/>
          <w:szCs w:val="26"/>
        </w:rPr>
        <w:t xml:space="preserve"/>
      </w:r>
    </w:p>
    <w:p>
      <w:pPr>
        <w:spacing w:after="100"/>
        <w:jc w:val="center"/>
      </w:pPr>
      <w:r>
        <w:rPr>
          <w:rFonts w:ascii="Calibri" w:cs="Calibri" w:eastAsia="Calibri" w:hAnsi="Calibri"/>
          <w:b/>
          <w:bCs/>
          <w:color w:val="0D1B2A"/>
          <w:spacing w:val="120"/>
          <w:sz w:val="56"/>
          <w:szCs w:val="56"/>
        </w:rPr>
        <w:t xml:space="preserve">ENTERPRISE.AI</w:t>
      </w:r>
    </w:p>
    <w:p>
      <w:pPr>
        <w:pBdr>
          <w:bottom w:val="single" w:color="C9A227" w:sz="6" w:space="12"/>
        </w:pBdr>
        <w:spacing w:after="300"/>
        <w:jc w:val="center"/>
      </w:pPr>
      <w:r>
        <w:rPr>
          <w:rFonts w:ascii="Calibri" w:cs="Calibri" w:eastAsia="Calibri" w:hAnsi="Calibri"/>
          <w:b/>
          <w:bCs/>
          <w:color w:val="C9A227"/>
          <w:spacing w:val="160"/>
          <w:sz w:val="22"/>
          <w:szCs w:val="22"/>
        </w:rPr>
        <w:t xml:space="preserve">SCALE  ·  GOVERN  ·  UNLOCK</w:t>
      </w:r>
    </w:p>
    <w:p>
      <w:pPr>
        <w:spacing w:after="200"/>
      </w:pPr>
      <w:r>
        <w:rPr>
          <w:rFonts w:ascii="Calibri" w:cs="Calibri" w:eastAsia="Calibri" w:hAnsi="Calibri"/>
          <w:b w:val="false"/>
          <w:bCs w:val="false"/>
          <w:i w:val="false"/>
          <w:iCs w:val="false"/>
          <w:color w:val="1F2933"/>
          <w:sz w:val="26"/>
          <w:szCs w:val="26"/>
        </w:rPr>
        <w:t xml:space="preserve"/>
      </w:r>
    </w:p>
    <w:p>
      <w:pPr>
        <w:spacing w:after="80"/>
        <w:jc w:val="center"/>
      </w:pPr>
      <w:r>
        <w:rPr>
          <w:rFonts w:ascii="Calibri" w:cs="Calibri" w:eastAsia="Calibri" w:hAnsi="Calibri"/>
          <w:color w:val="1B4F72"/>
          <w:sz w:val="28"/>
          <w:szCs w:val="28"/>
        </w:rPr>
        <w:t xml:space="preserve">Executive Advisor on AI</w:t>
      </w:r>
    </w:p>
    <w:p>
      <w:pPr>
        <w:spacing w:after="80"/>
        <w:jc w:val="center"/>
      </w:pPr>
      <w:r>
        <w:rPr>
          <w:rFonts w:ascii="Calibri" w:cs="Calibri" w:eastAsia="Calibri" w:hAnsi="Calibri"/>
          <w:color w:val="6C757D"/>
          <w:sz w:val="22"/>
          <w:szCs w:val="22"/>
        </w:rPr>
        <w:t xml:space="preserve">Banking  ·  Capital Markets  ·  Insurance  ·  Investment Management</w:t>
      </w:r>
    </w:p>
    <w:p>
      <w:pPr>
        <w:spacing w:after="80"/>
        <w:jc w:val="center"/>
      </w:pPr>
      <w:r>
        <w:rPr>
          <w:rFonts w:ascii="Calibri" w:cs="Calibri" w:eastAsia="Calibri" w:hAnsi="Calibri"/>
          <w:color w:val="6C757D"/>
          <w:sz w:val="22"/>
          <w:szCs w:val="22"/>
        </w:rPr>
        <w:t xml:space="preserve">Middle East  ·  Europe</w:t>
      </w:r>
    </w:p>
    <w:p>
      <w:pPr>
        <w:spacing w:after="400"/>
      </w:pPr>
      <w:r>
        <w:rPr>
          <w:rFonts w:ascii="Calibri" w:cs="Calibri" w:eastAsia="Calibri" w:hAnsi="Calibri"/>
          <w:b w:val="false"/>
          <w:bCs w:val="false"/>
          <w:i w:val="false"/>
          <w:iCs w:val="false"/>
          <w:color w:val="1F2933"/>
          <w:sz w:val="26"/>
          <w:szCs w:val="26"/>
        </w:rPr>
        <w:t xml:space="preserve"/>
      </w:r>
    </w:p>
    <w:p>
      <w:pPr>
        <w:spacing w:after="60"/>
        <w:jc w:val="center"/>
      </w:pPr>
      <w:r>
        <w:rPr>
          <w:rFonts w:ascii="Calibri" w:cs="Calibri" w:eastAsia="Calibri" w:hAnsi="Calibri"/>
          <w:color w:val="2874A6"/>
          <w:sz w:val="20"/>
          <w:szCs w:val="20"/>
        </w:rPr>
        <w:t xml:space="preserve">theenterpriseai.co.uk</w:t>
      </w:r>
    </w:p>
    <w:p>
      <w:pPr>
        <w:spacing w:after="200"/>
        <w:jc w:val="center"/>
      </w:pPr>
      <w:r>
        <w:rPr>
          <w:rFonts w:ascii="Calibri" w:cs="Calibri" w:eastAsia="Calibri" w:hAnsi="Calibri"/>
          <w:color w:val="2874A6"/>
          <w:sz w:val="20"/>
          <w:szCs w:val="20"/>
        </w:rPr>
        <w:t xml:space="preserve">linkedin.com/in/rodneycoutinho</w:t>
      </w:r>
    </w:p>
    <w:p>
      <w:pPr>
        <w:spacing w:after="300"/>
      </w:pPr>
      <w:r>
        <w:rPr>
          <w:rFonts w:ascii="Calibri" w:cs="Calibri" w:eastAsia="Calibri" w:hAnsi="Calibri"/>
          <w:b w:val="false"/>
          <w:bCs w:val="false"/>
          <w:i w:val="false"/>
          <w:iCs w:val="false"/>
          <w:color w:val="1F2933"/>
          <w:sz w:val="26"/>
          <w:szCs w:val="26"/>
        </w:rPr>
        <w:t xml:space="preserve"/>
      </w:r>
    </w:p>
    <w:p>
      <w:pPr>
        <w:spacing w:after="40"/>
        <w:jc w:val="center"/>
      </w:pPr>
      <w:r>
        <w:rPr>
          <w:rFonts w:ascii="Calibri" w:cs="Calibri" w:eastAsia="Calibri" w:hAnsi="Calibri"/>
          <w:color w:val="6C757D"/>
          <w:spacing w:val="40"/>
          <w:sz w:val="16"/>
          <w:szCs w:val="16"/>
        </w:rPr>
        <w:t xml:space="preserve">AI IN FINANCIAL SERVICES  //  MISCONCEPTIONS &amp; FIRST PRINCIPLES</w:t>
      </w:r>
    </w:p>
    <w:p>
      <w:pPr>
        <w:jc w:val="center"/>
      </w:pPr>
      <w:r>
        <w:rPr>
          <w:rFonts w:ascii="Calibri" w:cs="Calibri" w:eastAsia="Calibri" w:hAnsi="Calibri"/>
          <w:color w:val="C9A227"/>
          <w:spacing w:val="60"/>
          <w:sz w:val="16"/>
          <w:szCs w:val="16"/>
        </w:rPr>
        <w:t xml:space="preserve">PART 1 OF 4  //  BANKS</w:t>
      </w:r>
    </w:p>
    <w:sectPr>
      <w:pgSz w:w="12240" w:h="15840" w:orient="portrait"/>
      <w:pgMar w:top="108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e8a265b9c4cccc86a7404cf0d932c67af3f874.png"/><Relationship Id="rId8" Type="http://schemas.openxmlformats.org/officeDocument/2006/relationships/image" Target="media/929c01db6482475207a5b4af77fe695cab79dc3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FS - Misconceptions &amp; First Principles - Part 1 - Banks</dc:title>
  <dc:creator>Rodney Coutinho</dc:creator>
  <cp:lastModifiedBy>Un-named</cp:lastModifiedBy>
  <cp:revision>1</cp:revision>
  <dcterms:created xsi:type="dcterms:W3CDTF">2026-06-27T12:31:47.145Z</dcterms:created>
  <dcterms:modified xsi:type="dcterms:W3CDTF">2026-06-27T12:31:47.150Z</dcterms:modified>
</cp:coreProperties>
</file>

<file path=docProps/custom.xml><?xml version="1.0" encoding="utf-8"?>
<Properties xmlns="http://schemas.openxmlformats.org/officeDocument/2006/custom-properties" xmlns:vt="http://schemas.openxmlformats.org/officeDocument/2006/docPropsVTypes"/>
</file>