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drawing>
          <wp:inline distT="0" distB="0" distL="0" distR="0">
            <wp:extent cx="6172200" cy="4114800"/>
            <wp:effectExtent t="0" r="0" b="0" l="0"/>
            <wp:docPr id="1" name="hero_part2.png" descr="hero_part2.png" title="hero_par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 w:before="0"/>
        <w:jc w:val="center"/>
      </w:pPr>
      <w:r>
        <w:drawing>
          <wp:inline distT="0" distB="0" distL="0" distR="0">
            <wp:extent cx="5905500" cy="733425"/>
            <wp:effectExtent t="0" r="0" b="0" l="0"/>
            <wp:docPr id="1" name="masthead_enterprise_ai.png" descr="masthead_enterprise_ai.png" title="masthead_enterprise_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874A6"/>
          <w:spacing w:val="40"/>
          <w:sz w:val="18"/>
          <w:szCs w:val="18"/>
        </w:rPr>
        <w:t xml:space="preserve">AI IN FINANCIAL SERVICES  //  MISCONCEPTIONS &amp; FIRST PRINCIPLES</w:t>
      </w:r>
    </w:p>
    <w:p>
      <w:pPr>
        <w:spacing w:after="160" w:before="40"/>
      </w:pPr>
      <w:r>
        <w:rPr>
          <w:rFonts w:ascii="Calibri" w:cs="Calibri" w:eastAsia="Calibri" w:hAnsi="Calibri"/>
          <w:color w:val="C9A227"/>
          <w:spacing w:val="60"/>
          <w:sz w:val="18"/>
          <w:szCs w:val="18"/>
        </w:rPr>
        <w:t xml:space="preserve">PART 2 OF 4  //  EXCHANGES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Two versions of this misconception. Both wrong.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There are two versions of this misconception, and I hear both in every stock exchange and capital markets authority I advise.</w:t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22222"/>
                <w:sz w:val="26"/>
                <w:szCs w:val="26"/>
              </w:rPr>
              <w:t xml:space="preserve">Version A: "We can automate prospectus review. Deploy the model, reduce headcount by 60%, and clear the IPO backlog."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22222"/>
                <w:sz w:val="26"/>
                <w:szCs w:val="26"/>
              </w:rPr>
              <w:t xml:space="preserve">Version B: "AI can't be trusted with listing decisions. Too much liability. We'll wait."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 first misunderstands where the analyst's value lives. The second misunderstands what the technology does. In Part 1, I showed how banks burn AI budgets by asking models to do arithmetic. The fix was: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6"/>
          <w:szCs w:val="26"/>
        </w:rPr>
        <w:t xml:space="preserve">code computes, AI judges.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 That principle extends here — from numbers to documents.</w:t>
      </w:r>
    </w:p>
    <w:tbl>
      <w:tblPr>
        <w:tblW w:type="dxa" w:w="9360"/>
        <w:tblBorders>
          <w:top w:val="single" w:color="2874A6" w:sz="1"/>
          <w:left w:val="single" w:color="C9A227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6"/>
                <w:szCs w:val="26"/>
              </w:rPr>
              <w:t xml:space="preserve">The result of getting this wrong: you either cut too aggressively and lose judgment — or you refuse to deploy and fall behind.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02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MISCONCEPTION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MISCONCEPTION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"AI replaces the analyst."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Automate the reading, cut the team. Or: too much liability — don't deploy at all.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A listing analyst receives a 200-page prospectus. They read it cover to cover. Cross-reference 47 disclosure requirements. Check financial statements against auditor opinions. Draft a completeness report.</w:t>
      </w:r>
    </w:p>
    <w:p>
      <w:pPr>
        <w:spacing w:after="24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Timeline: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6"/>
          <w:szCs w:val="26"/>
        </w:rPr>
        <w:t xml:space="preserve">three days per prospectus.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 With twelve applications queued and four analysts, the backlog grows. IPO windows close. Issuers complain.</w:t>
      </w:r>
    </w:p>
    <w:p>
      <w:pPr>
        <w:spacing w:after="24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Neither the optimists nor the sceptics have asked the right question: </w:t>
      </w:r>
      <w:r>
        <w:rPr>
          <w:rFonts w:ascii="Calibri" w:cs="Calibri" w:eastAsia="Calibri" w:hAnsi="Calibri"/>
          <w:b/>
          <w:bCs/>
          <w:i w:val="false"/>
          <w:iCs w:val="false"/>
          <w:color w:val="0D1B2A"/>
          <w:sz w:val="26"/>
          <w:szCs w:val="26"/>
        </w:rPr>
        <w:t xml:space="preserve">where does the analyst's value actually live?</w:t>
      </w:r>
    </w:p>
    <w:tbl>
      <w:tblPr>
        <w:tblW w:type="dxa" w:w="9360"/>
        <w:tblBorders>
          <w:top w:val="single" w:color="2874A6" w:sz="1"/>
          <w:left w:val="single" w:color="2874A6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8"/>
                <w:szCs w:val="28"/>
              </w:rPr>
              <w:t xml:space="preserve">It does not live in reading 200 pages. It lives in the questions that come after.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03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FIRST PRINCIPLE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FIRST PRINCIPLE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AI writes the first draft.
Humans own the decision.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The analyst's role doesn't disappear. It elevates. From data extraction to judgment.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6CC"/>
                <w:sz w:val="22"/>
                <w:szCs w:val="22"/>
              </w:rPr>
              <w:t xml:space="preserve">The listing decision is always human.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60" w:before="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B4F72"/>
          <w:sz w:val="26"/>
          <w:szCs w:val="26"/>
        </w:rPr>
        <w:t xml:space="preserve">The questions the AI cannot ask:</w:t>
      </w:r>
    </w:p>
    <w:tbl>
      <w:tblPr>
        <w:tblW w:type="dxa" w:w="9360"/>
        <w:tblBorders>
          <w:top w:val="single" w:color="2874A6" w:sz="1"/>
          <w:left w:val="single" w:color="2874A6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2A"/>
                <w:sz w:val="24"/>
                <w:szCs w:val="24"/>
              </w:rPr>
              <w:t xml:space="preserve">"Is this management team credible?" • "Does this business model survive a rate cycle?" • "Is the market timing right for this sector?" • "What did we learn from the last IPO in this vertical?"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These are judgment calls that draw on experience, institutional memory, and market intuition. </w:t>
      </w:r>
      <w:r>
        <w:rPr>
          <w:rFonts w:ascii="Calibri" w:cs="Calibri" w:eastAsia="Calibri" w:hAnsi="Calibri"/>
          <w:b/>
          <w:bCs/>
          <w:i w:val="false"/>
          <w:iCs w:val="false"/>
          <w:color w:val="0D1B2A"/>
          <w:sz w:val="26"/>
          <w:szCs w:val="26"/>
        </w:rPr>
        <w:t xml:space="preserve">No model has them. No model should pretend to.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But the three days of reading, cross-referencing, and checklist completion? That is where the technology excels — and where the analyst's time is currently wasted.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04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WHAT THIS LOOKS LIKE IN PRACTICE</w:t>
      </w:r>
    </w:p>
    <w:p>
      <w:pPr>
        <w:spacing w:after="300" w:before="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B4F72"/>
          <w:sz w:val="26"/>
          <w:szCs w:val="26"/>
        </w:rPr>
        <w:t xml:space="preserve">Prospectus Review Agent — designed for an exchange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45 min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REVIEW TIME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DISCLOSURE RULES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4x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THROUGHPUT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1 — Ontology-guided extraction.</w:t>
      </w:r>
    </w:p>
    <w:p>
      <w:pPr>
        <w:spacing w:after="26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Agent ingests the 200-page prospectus PDF. Extracts data against a defined ontology: section boundaries, financial tables, disclosure statements — each mapped to one of 47 regulatory requirements.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6"/>
          <w:szCs w:val="26"/>
        </w:rPr>
        <w:t xml:space="preserve">Ontology-guided extraction, not free-form generation.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2 — Gap analysis and assessment.</w:t>
      </w:r>
    </w:p>
    <w:p>
      <w:pPr>
        <w:spacing w:after="12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 model assesses quality against the ontology. Flags gaps — some clear-cut, others borderline:</w:t>
      </w:r>
    </w:p>
    <w:tbl>
      <w:tblPr>
        <w:tblW w:type="dxa" w:w="9360"/>
        <w:tblBorders>
          <w:top w:val="single" w:color="2874A6" w:sz="1"/>
          <w:left w:val="single" w:color="2874A6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2A"/>
                <w:sz w:val="24"/>
                <w:szCs w:val="24"/>
              </w:rPr>
              <w:t xml:space="preserve">"Section 8.3 (Related Party Transactions) — no disclosure of board member interests in supplier contracts. Rule 42(b) requires explicit disclosure."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Human gate.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 analyst receives a structured output — not 200 pages, but a prioritised gap analysis. They review in 45 minutes. Focus shifts to judgment calls. </w:t>
      </w:r>
      <w:r>
        <w:rPr>
          <w:rFonts w:ascii="Calibri" w:cs="Calibri" w:eastAsia="Calibri" w:hAnsi="Calibri"/>
          <w:b/>
          <w:bCs/>
          <w:i w:val="false"/>
          <w:iCs w:val="false"/>
          <w:color w:val="0D1B2A"/>
          <w:sz w:val="26"/>
          <w:szCs w:val="26"/>
        </w:rPr>
        <w:t xml:space="preserve">The listing decision is always human.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05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THROUGHPUT REFRAME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 argument that changes the conversation: AI is a </w:t>
      </w:r>
      <w:r>
        <w:rPr>
          <w:rFonts w:ascii="Calibri" w:cs="Calibri" w:eastAsia="Calibri" w:hAnsi="Calibri"/>
          <w:b/>
          <w:bCs/>
          <w:i w:val="false"/>
          <w:iCs w:val="false"/>
          <w:color w:val="0D1B2A"/>
          <w:sz w:val="26"/>
          <w:szCs w:val="26"/>
        </w:rPr>
        <w:t xml:space="preserve">capacity multiplier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, not a headcount reduction tool.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200-page prospectus → 45-minute analyst review.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The reading is automated. The judgment is elevated. The analyst focuses on management credibility, market timing, and sector risk — not checklist completion.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3 days → same-day turnaround.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Twelve queued applications cleared in one week instead of one month. IPO windows no longer close because the listings team can't keep up.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Analyst headcount doesn't decrease. Throughput increases 4x.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The same team handles four times the volume. No redundancies. No recruitment crisis. The exchange becomes the venue where issuers want to list.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4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Better audit trail than the manual process.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Every extraction logged. Every flag traceable to source page and rule number. The AI-assisted review is more auditable than the one done by hand.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C9A227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6"/>
                <w:szCs w:val="26"/>
              </w:rPr>
              <w:t xml:space="preserve">Cost per review: ~$2.50 at the AI layer. Trivially cheap compared to three analyst-days.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06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ADVISORY CONVERSATION</w:t>
      </w:r>
    </w:p>
    <w:p>
      <w:pPr>
        <w:spacing w:after="240" w:before="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3"/>
          <w:sz w:val="26"/>
          <w:szCs w:val="26"/>
        </w:rPr>
        <w:t xml:space="preserve">When I sit with a Head of Listings or a Chief Regulatory Officer at an exchange, the questions are always the same: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"Won't this replace our analysts?"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No. It replaces the reading. The analyst's value isn't in reading 200 pages — it's in the questions they ask after.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"How do we handle liability?"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The AI flags. The analyst decides. The listing decision is always human. The audit trail is better than the manual process.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"What about edge cases — unusual structures, dual-class shares, SPACs?"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The ontology defines what the agent looks for. Edge cases surface as anomalies, not missed items. The agent says "I don't recognise this structure" rather than silently skipping it.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"Our prospectuses are in Arabic and English."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Language is where AI excels. Bilingual extraction is a strength, not a limitation.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07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BOTTOM LINE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C9A227" w:sz="6"/>
          <w:left w:val="single" w:color="C9A227" w:sz="1"/>
          <w:bottom w:val="single" w:color="C9A227" w:sz="6"/>
          <w:right w:val="single" w:color="C9A227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The misconception — that AI replaces the analyst — leads to two dead ends. The principle — that AI writes the first draft and humans own the decision — unlocks a third path: the analyst's role elevates, the exchange's capacity multiplies, and the listing decision remains exactly where it should.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3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In Part 1, I showed how code computes and AI judges in a credit memo. Here, the same separation applies — extending from numbers to documents.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6"/>
          <w:szCs w:val="26"/>
        </w:rPr>
        <w:t xml:space="preserve">The architecture principle doesn't change when the input is a 200-page PDF.</w:t>
      </w:r>
    </w:p>
    <w:tbl>
      <w:tblPr>
        <w:tblW w:type="dxa" w:w="9360"/>
        <w:tblBorders>
          <w:top w:val="single" w:color="2874A6" w:sz="1"/>
          <w:left w:val="single" w:color="2874A6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2A"/>
                <w:sz w:val="26"/>
                <w:szCs w:val="26"/>
              </w:rPr>
              <w:t xml:space="preserve">Next week — Part 3: We've established that code computes and humans decide. But who governs the AI itself? In investment management, the answer is usually a PDF in the compliance folder. That's the misconception.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08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SERIES</w:t>
      </w:r>
    </w:p>
    <w:p>
      <w:pPr>
        <w:spacing w:after="28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Four parts. Four verticals. Four misconceptions. Four first principles. Each with a working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01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Banks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should do everything." — Part 1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2874A6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Exchanges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"AI replaces the analyst." — This article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03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Investment Mgmt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governance is a compliance exercise." — Next week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04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Insurance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"You need perfect data before you start."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B2A"/>
          <w:spacing w:val="40"/>
          <w:sz w:val="24"/>
          <w:szCs w:val="24"/>
        </w:rPr>
        <w:t xml:space="preserve">RODNEY COUTINHO</w:t>
      </w:r>
    </w:p>
    <w:p>
      <w:pPr>
        <w:spacing w:after="60"/>
      </w:pPr>
      <w:r>
        <w:rPr>
          <w:rFonts w:ascii="Calibri" w:cs="Calibri" w:eastAsia="Calibri" w:hAnsi="Calibri"/>
          <w:color w:val="1B4F72"/>
          <w:sz w:val="20"/>
          <w:szCs w:val="20"/>
        </w:rPr>
        <w:t xml:space="preserve">Founder, Enterprise.AI  //  Executive Advisor on AI</w:t>
      </w:r>
    </w:p>
    <w:p>
      <w:pPr>
        <w:spacing w:after="60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AI Strategy, Governance &amp; Deployment  //  Financial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2 OF 4  //  09</w:t>
      </w:r>
    </w:p>
    <w:p>
      <w:r>
        <w:br w:type="page"/>
      </w:r>
    </w:p>
    <w:p>
      <w:pPr>
        <w:spacing w:after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2A"/>
          <w:spacing w:val="120"/>
          <w:sz w:val="56"/>
          <w:szCs w:val="56"/>
        </w:rPr>
        <w:t xml:space="preserve">ENTERPRISE.AI</w:t>
      </w:r>
    </w:p>
    <w:p>
      <w:pPr>
        <w:pBdr>
          <w:bottom w:val="single" w:color="C9A227" w:sz="6" w:space="12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C9A227"/>
          <w:spacing w:val="160"/>
          <w:sz w:val="22"/>
          <w:szCs w:val="22"/>
        </w:rPr>
        <w:t xml:space="preserve">SCALE  ·  GOVERN  ·  UNLOCK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1B4F72"/>
          <w:sz w:val="28"/>
          <w:szCs w:val="28"/>
        </w:rPr>
        <w:t xml:space="preserve">Executive Advisor on 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Banking  ·  Capital Markets  ·  Insurance  ·  Investment Management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Middle East  ·  Europe</w:t>
      </w:r>
    </w:p>
    <w:p>
      <w:pPr>
        <w:spacing w:after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theenterpriseai.co.uk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linkedin.com/in/rodneycoutinho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AI IN FINANCIAL SERVICES  //  MISCONCEPTIONS &amp; FIRST PRINCIPLES</w:t>
      </w:r>
    </w:p>
    <w:p>
      <w:pPr>
        <w:jc w:val="center"/>
      </w:pPr>
      <w:r>
        <w:rPr>
          <w:rFonts w:ascii="Calibri" w:cs="Calibri" w:eastAsia="Calibri" w:hAnsi="Calibri"/>
          <w:color w:val="C9A227"/>
          <w:spacing w:val="60"/>
          <w:sz w:val="16"/>
          <w:szCs w:val="16"/>
        </w:rPr>
        <w:t xml:space="preserve">PART 2 OF 4  //  EXCHANGES</w:t>
      </w:r>
    </w:p>
    <w:sectPr>
      <w:pgSz w:w="12240" w:h="15840" w:orient="portrait"/>
      <w:pgMar w:top="108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3f2ec13fab2be8ab5bcae03ac189a7411f648.png"/><Relationship Id="rId8" Type="http://schemas.openxmlformats.org/officeDocument/2006/relationships/image" Target="media/929c01db6482475207a5b4af77fe695cab79dc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FS - Misconceptions &amp; First Principles - Part 2 - Exchanges</dc:title>
  <dc:creator>Rodney Coutinho</dc:creator>
  <cp:lastModifiedBy>Un-named</cp:lastModifiedBy>
  <cp:revision>1</cp:revision>
  <dcterms:created xsi:type="dcterms:W3CDTF">2026-06-29T17:25:23.681Z</dcterms:created>
  <dcterms:modified xsi:type="dcterms:W3CDTF">2026-06-29T17:25:23.688Z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