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60"/>
        <w:jc w:val="center"/>
      </w:pPr>
      <w:r>
        <w:drawing>
          <wp:inline distT="0" distB="0" distL="0" distR="0">
            <wp:extent cx="6172200" cy="4572000"/>
            <wp:effectExtent t="0" r="0" b="0" l="0"/>
            <wp:docPr id="1" name="hero_part3.png" descr="hero_part3.png" title="hero_par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200" w:before="0"/>
        <w:jc w:val="center"/>
      </w:pPr>
      <w:r>
        <w:drawing>
          <wp:inline distT="0" distB="0" distL="0" distR="0">
            <wp:extent cx="5905500" cy="733425"/>
            <wp:effectExtent t="0" r="0" b="0" l="0"/>
            <wp:docPr id="1" name="masthead_enterprise_ai.png" descr="masthead_enterprise_ai.png" title="masthead_enterprise_a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2874A6"/>
          <w:spacing w:val="40"/>
          <w:sz w:val="18"/>
          <w:szCs w:val="18"/>
        </w:rPr>
        <w:t xml:space="preserve">AI IN FINANCIAL SERVICES  //  MISCONCEPTIONS &amp; FIRST PRINCIPLES</w:t>
      </w:r>
    </w:p>
    <w:p>
      <w:pPr>
        <w:spacing w:after="160" w:before="40"/>
      </w:pPr>
      <w:r>
        <w:rPr>
          <w:rFonts w:ascii="Calibri" w:cs="Calibri" w:eastAsia="Calibri" w:hAnsi="Calibri"/>
          <w:color w:val="C9A227"/>
          <w:spacing w:val="60"/>
          <w:sz w:val="18"/>
          <w:szCs w:val="18"/>
        </w:rPr>
        <w:t xml:space="preserve">PART 3 OF 4  //  INVESTMENT MANAGEMENT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0D1B2A"/>
          <w:sz w:val="40"/>
          <w:szCs w:val="40"/>
        </w:rPr>
        <w:t xml:space="preserve">The most dangerous misconception in asset management AI.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An asset manager deploys an AI agent to generate the daily Chief Investment Officer risk report. Factor exposures, sector tilts, VaR exceptions — synthesised into a narrative summary every morning.</w:t>
      </w:r>
    </w:p>
    <w:tbl>
      <w:tblPr>
        <w:tblW w:type="dxa" w:w="9360"/>
        <w:tblBorders>
          <w:top w:val="single" w:color="2874A6" w:sz="1"/>
          <w:left w:val="single" w:color="B22222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22222"/>
                <w:sz w:val="28"/>
                <w:szCs w:val="28"/>
              </w:rPr>
              <w:t xml:space="preserve">One morning, the report includes a $40 million equity position that does not exist. The AI hallucinated it. Nobody catches it for three weeks.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When the post-mortem happens, the first question is: "Where was the governance?"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The answer: a 40-page PDF in the compliance folder. Approved by the board. Last reviewed in Q1. It said all the right things.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6"/>
          <w:szCs w:val="26"/>
        </w:rPr>
        <w:t xml:space="preserve">It governed nothing.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3 OF 4  //  02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MISCONCEPTION</w:t>
      </w:r>
    </w:p>
    <w:tbl>
      <w:tblPr>
        <w:tblW w:type="dxa" w:w="9360"/>
        <w:tblBorders>
          <w:top w:val="single" w:color="0D1B2A" w:sz="1"/>
          <w:left w:val="single" w:color="0D1B2A" w:sz="1"/>
          <w:bottom w:val="single" w:color="0D1B2A" w:sz="1"/>
          <w:right w:val="single" w:color="0D1B2A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D1B2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80"/>
                <w:sz w:val="20"/>
                <w:szCs w:val="20"/>
              </w:rPr>
              <w:t xml:space="preserve">THE MISCONCEPTION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"AI governance is a compliance exercise."</w:t>
            </w:r>
          </w:p>
          <w:p>
            <w:pPr>
              <w:spacing w:after="40" w:line="340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Write the policy. Get the board to sign it. Tick the regulatory box. Move on.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16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4"/>
          <w:szCs w:val="24"/>
        </w:rPr>
        <w:t xml:space="preserve">This misconception is especially dangerous because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4"/>
          <w:szCs w:val="24"/>
        </w:rPr>
        <w:t xml:space="preserve">the regulatory landscape is shifting underneath firms right now.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1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SR 11-7 rescinded (April 2026)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The new interagency guidance explicitly excludes generative AI as "novel and rapidly evolving." The regulators have not caught up yet.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2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EU AI Act goes live (August 2026)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Portfolio management, risk assessment, and client suitability AI now face mandatory requirements: risk management systems, bias testing, human oversight — all before deployment.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3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SDAIA Responsible AI Policy (April 2026)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Saudi Arabia draft framework introduces risk-tiering with proportionate obligations. A Chief Investment Officer risk report agent is high-tier.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2874A6" w:sz="1"/>
          <w:left w:val="single" w:color="B22222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4"/>
                <w:szCs w:val="24"/>
              </w:rPr>
              <w:t xml:space="preserve">The regulators are moving. The frameworks are multiplying. And most firms response is the same: update the policy document.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3 OF 4  //  03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FIRST PRINCIPLE</w:t>
      </w:r>
    </w:p>
    <w:tbl>
      <w:tblPr>
        <w:tblW w:type="dxa" w:w="9360"/>
        <w:tblBorders>
          <w:top w:val="single" w:color="0D1B2A" w:sz="1"/>
          <w:left w:val="single" w:color="0D1B2A" w:sz="1"/>
          <w:bottom w:val="single" w:color="0D1B2A" w:sz="1"/>
          <w:right w:val="single" w:color="0D1B2A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0D1B2A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80"/>
                <w:sz w:val="20"/>
                <w:szCs w:val="20"/>
              </w:rPr>
              <w:t xml:space="preserve">THE FIRST PRINCIPLE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Governance is architecture, not paperwork.</w:t>
            </w:r>
          </w:p>
          <w:p>
            <w:pPr>
              <w:spacing w:after="40" w:line="340"/>
            </w:pPr>
            <w:r>
              <w:rPr>
                <w:rFonts w:ascii="Calibri" w:cs="Calibri" w:eastAsia="Calibri" w:hAnsi="Calibri"/>
                <w:color w:val="FFFFFF"/>
                <w:sz w:val="26"/>
                <w:szCs w:val="26"/>
              </w:rPr>
              <w:t xml:space="preserve">The policy describes governance. Governance is what runs in production.</w:t>
            </w:r>
          </w:p>
          <w:p>
            <w:r>
              <w:rPr>
                <w:rFonts w:ascii="Calibri" w:cs="Calibri" w:eastAsia="Calibri" w:hAnsi="Calibri"/>
                <w:i/>
                <w:iCs/>
                <w:color w:val="9FB6CC"/>
                <w:sz w:val="22"/>
                <w:szCs w:val="22"/>
              </w:rPr>
              <w:t xml:space="preserve">Show me the code.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22222"/>
                <w:sz w:val="22"/>
                <w:szCs w:val="22"/>
              </w:rPr>
              <w:t xml:space="preserve">GOVERNANCE-AS-PAPERWORK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0D1B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GOVERNANCE-AS-ARCHITECTURE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AI policy signed by CRO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Guardrail code deployed in production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Annual model validation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Continuous output validation on every call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Risk register updated quarterly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Runtime anomaly detection flags in real time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Data classification matrix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Code that blocks PII from leaving the perimeter</w:t>
            </w:r>
          </w:p>
        </w:tc>
      </w:tr>
      <w:tr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F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2933"/>
                <w:sz w:val="24"/>
                <w:szCs w:val="24"/>
              </w:rPr>
              <w:t xml:space="preserve">Incident response plan (untested)</w:t>
            </w:r>
          </w:p>
        </w:tc>
        <w:tc>
          <w:tcPr>
            <w:tcW w:type="dxa" w:w="4680"/>
            <w:tcBorders>
              <w:top w:val="single" w:color="D6E1EC" w:sz="1"/>
              <w:left w:val="single" w:color="D6E1EC" w:sz="1"/>
              <w:bottom w:val="single" w:color="D6E1EC" w:sz="1"/>
              <w:right w:val="single" w:color="D6E1EC" w:sz="1"/>
            </w:tcBorders>
            <w:shd w:fill="F0FF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B4F72"/>
                <w:sz w:val="24"/>
                <w:szCs w:val="24"/>
              </w:rPr>
              <w:t xml:space="preserve">Circuit breaker that halts the agent automatically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3 OF 4  //  04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WHAT THIS LOOKS LIKE IN PRACTICE</w:t>
      </w:r>
    </w:p>
    <w:p>
      <w:pPr>
        <w:spacing w:after="16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4"/>
          <w:szCs w:val="24"/>
        </w:rPr>
        <w:t xml:space="preserve">I designed a </w:t>
      </w: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4"/>
          <w:szCs w:val="24"/>
        </w:rPr>
        <w:t xml:space="preserve">portfolio risk agent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4"/>
          <w:szCs w:val="24"/>
        </w:rPr>
        <w:t xml:space="preserve"> — it generates the daily Chief Investment Officer risk summary from factor exposures. Three guardrail layers, all runtime code.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9A227" w:sz="2"/>
              <w:left w:val="single" w:color="C9A227" w:sz="2"/>
              <w:bottom w:val="single" w:color="C9A227" w:sz="2"/>
              <w:right w:val="single" w:color="C9A227" w:sz="2"/>
            </w:tcBorders>
            <w:shd w:fill="0D1B2A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48"/>
                <w:szCs w:val="48"/>
              </w:rPr>
              <w:t xml:space="preserve">Safety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40"/>
                <w:sz w:val="18"/>
                <w:szCs w:val="18"/>
              </w:rPr>
              <w:t xml:space="preserve">BLOCK BEFORE BREACH</w:t>
            </w:r>
          </w:p>
        </w:tc>
        <w:tc>
          <w:tcPr>
            <w:tcW w:type="dxa" w:w="3120"/>
            <w:tcBorders>
              <w:top w:val="single" w:color="C9A227" w:sz="2"/>
              <w:left w:val="single" w:color="C9A227" w:sz="2"/>
              <w:bottom w:val="single" w:color="C9A227" w:sz="2"/>
              <w:right w:val="single" w:color="C9A227" w:sz="2"/>
            </w:tcBorders>
            <w:shd w:fill="0D1B2A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48"/>
                <w:szCs w:val="48"/>
              </w:rPr>
              <w:t xml:space="preserve">Quality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40"/>
                <w:sz w:val="18"/>
                <w:szCs w:val="18"/>
              </w:rPr>
              <w:t xml:space="preserve">CATCH BEFORE ERROR</w:t>
            </w:r>
          </w:p>
        </w:tc>
        <w:tc>
          <w:tcPr>
            <w:tcW w:type="dxa" w:w="3120"/>
            <w:tcBorders>
              <w:top w:val="single" w:color="C9A227" w:sz="2"/>
              <w:left w:val="single" w:color="C9A227" w:sz="2"/>
              <w:bottom w:val="single" w:color="C9A227" w:sz="2"/>
              <w:right w:val="single" w:color="C9A227" w:sz="2"/>
            </w:tcBorders>
            <w:shd w:fill="0D1B2A" w:val="clear"/>
            <w:tcMar>
              <w:top w:type="dxa" w:w="260"/>
              <w:left w:type="dxa" w:w="200"/>
              <w:bottom w:type="dxa" w:w="26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48"/>
                <w:szCs w:val="48"/>
              </w:rPr>
              <w:t xml:space="preserve">Compliance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FD4E8"/>
                <w:spacing w:val="40"/>
                <w:sz w:val="18"/>
                <w:szCs w:val="18"/>
              </w:rPr>
              <w:t xml:space="preserve">LOG BEFORE AUDIT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1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Safety guardrails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The agent is sandboxed: read-only access to the risk system. Cannot write, cannot access unapproved systems, cannot transmit position data externally. Blocked, logged, alerted.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2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Quality guardrails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Every position is cross-validated against actual holdings. Hallucinated position? Caught in milliseconds. Narrative contradicts numbers? Flagged. NaN or out-of-range values? Rejected and regenerated.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3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Compliance guardrails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Every query logged with timestamp, input hash, output hash — not the content. Satisfies audit trail without exposing position data. Restricted window? Trade-adjacent recommendations blocked entirely.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3 OF 4  //  05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REGULATORY ALIGNMENT</w:t>
      </w:r>
    </w:p>
    <w:p>
      <w:pPr>
        <w:spacing w:after="200" w:before="0" w:line="3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F2933"/>
          <w:sz w:val="24"/>
          <w:szCs w:val="24"/>
        </w:rPr>
        <w:t xml:space="preserve">The three guardrail layers map directly to what regulators are now requiring.</w:t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✓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New interagency MRM guidance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Requires ongoing monitoring — not annual validation. Runtime guardrails provide continuous monitoring on every call.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✓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EU AI Act (August 2026)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Requires risk management systems, human oversight, and documentation for high-risk AI. The guardrail architecture provides all three.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✓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SDAIA Responsible AI Policy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Requires proportionate controls based on risk tier. A Chief Investment Officer risk report agent is high-tier. The code enforces it.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single" w:color="D6E1EC" w:sz="1"/>
          <w:right w:val="none" w:color="FFFFFF" w:sz="0"/>
          <w:insideH w:val="none" w:color="FFFFFF" w:sz="0"/>
          <w:insideV w:val="none" w:color="FFFFFF" w:sz="0"/>
        </w:tblBorders>
      </w:tblPr>
      <w:tblGrid>
        <w:gridCol w:w="720"/>
        <w:gridCol w:w="8640"/>
      </w:tblGrid>
      <w:tr>
        <w:tc>
          <w:tcPr>
            <w:tcW w:type="dxa" w:w="720"/>
            <w:shd w:fill="0D1B2A" w:val="clear"/>
            <w:tcMar>
              <w:top w:type="dxa" w:w="200"/>
              <w:left w:type="dxa" w:w="100"/>
              <w:bottom w:type="dxa" w:w="20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9A227"/>
                <w:sz w:val="36"/>
                <w:szCs w:val="36"/>
              </w:rPr>
              <w:t xml:space="preserve">✓</w:t>
            </w:r>
          </w:p>
        </w:tc>
        <w:tc>
          <w:tcPr>
            <w:tcW w:type="dxa" w:w="8640"/>
            <w:tcMar>
              <w:top w:type="dxa" w:w="200"/>
              <w:left w:type="dxa" w:w="240"/>
              <w:bottom w:type="dxa" w:w="200"/>
              <w:right w:type="dxa" w:w="20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ESMA AI Guidance</w:t>
            </w:r>
          </w:p>
          <w:p>
            <w:pPr>
              <w:spacing w:line="340"/>
            </w:pPr>
            <w:r>
              <w:rPr>
                <w:rFonts w:ascii="Calibri" w:cs="Calibri" w:eastAsia="Calibri" w:hAnsi="Calibri"/>
                <w:color w:val="1F2933"/>
                <w:sz w:val="24"/>
                <w:szCs w:val="24"/>
              </w:rPr>
              <w:t xml:space="preserve">Requires testing and monitoring proportionate to complexity. The circuit breaker halts the agent when quality degrades — monitoring that scales automatically.</w:t>
            </w:r>
          </w:p>
        </w:tc>
      </w:tr>
    </w:tbl>
    <w:p>
      <w:pPr>
        <w:spacing w:after="1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2874A6" w:sz="1"/>
          <w:left w:val="single" w:color="C9A227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4"/>
                <w:szCs w:val="24"/>
              </w:rPr>
              <w:t xml:space="preserve">The firms that build governance into their architecture are not just better governed. They are the ones that will pass the audits that are coming.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3 OF 4  //  06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ADVISORY CONVERSATION</w:t>
      </w:r>
    </w:p>
    <w:p>
      <w:pPr>
        <w:spacing w:after="240" w:before="0" w:line="34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1F2933"/>
          <w:sz w:val="26"/>
          <w:szCs w:val="26"/>
        </w:rPr>
        <w:t xml:space="preserve">When I sit with a Chief Investment Officer or Head of Risk at an asset manager, the questions are always the same: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"We already have a governance framework."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Show me the code. If your governance lives in a document, it governs nothing. If it lives in production, it governs everything.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"SR 11-7 compliance was our priority."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SR 11-7 was rescinded in April 2026. The replacement explicitly excludes generative AI. The regulators have not caught up yet. That makes your architecture decisions more important, not less.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"We cannot log everything — data privacy."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You log the hash, not the content. The audit trail proves what was asked and answered without exposing position-level data. This is a solved design problem.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"What about model drift?"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In an LLM-based agent, drift means the model reasoning quality degrades after a version update. The quality guardrail catches it: if outputs start failing validation checks, the circuit breaker fires.</w:t>
      </w:r>
    </w:p>
    <w:p>
      <w:pPr>
        <w:pBdr>
          <w:left w:val="single" w:color="C9A227" w:sz="12" w:space="8"/>
        </w:pBdr>
        <w:spacing w:after="80" w:before="200"/>
        <w:ind w:left="200"/>
      </w:pPr>
      <w:r>
        <w:rPr>
          <w:rFonts w:ascii="Calibri" w:cs="Calibri" w:eastAsia="Calibri" w:hAnsi="Calibri"/>
          <w:b/>
          <w:bCs/>
          <w:color w:val="0D1B2A"/>
          <w:sz w:val="26"/>
          <w:szCs w:val="26"/>
        </w:rPr>
        <w:t xml:space="preserve">"Who owns this?"</w:t>
      </w:r>
    </w:p>
    <w:p>
      <w:pPr>
        <w:spacing w:after="160"/>
        <w:ind w:left="200"/>
      </w:pPr>
      <w:r>
        <w:rPr>
          <w:rFonts w:ascii="Calibri" w:cs="Calibri" w:eastAsia="Calibri" w:hAnsi="Calibri"/>
          <w:color w:val="1B4F72"/>
          <w:sz w:val="24"/>
          <w:szCs w:val="24"/>
        </w:rPr>
        <w:t xml:space="preserve">The CTO builds it. The CRO signs it. The CISO secures it. The COO operates it. If you are asking who owns it, you have identified the problem.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3 OF 4  //  07</w:t>
      </w:r>
    </w:p>
    <w:p>
      <w:r>
        <w:br w:type="page"/>
      </w:r>
    </w:p>
    <w:p>
      <w:pPr>
        <w:pBdr>
          <w:bottom w:val="single" w:color="2874A6" w:sz="12" w:space="6"/>
        </w:pBdr>
        <w:spacing w:after="200" w:before="120"/>
      </w:pPr>
      <w:r>
        <w:rPr>
          <w:rFonts w:ascii="Calibri" w:cs="Calibri" w:eastAsia="Calibri" w:hAnsi="Calibri"/>
          <w:b/>
          <w:bCs/>
          <w:color w:val="0D1B2A"/>
          <w:spacing w:val="60"/>
          <w:sz w:val="26"/>
          <w:szCs w:val="26"/>
        </w:rPr>
        <w:t xml:space="preserve">THE SERIES</w:t>
      </w:r>
    </w:p>
    <w:p>
      <w:pPr>
        <w:spacing w:after="280" w:before="0" w:line="3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>Four parts. Four verticals. Four misconceptions. Four first principles. Each with a working example.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"/>
        <w:gridCol w:w="2200"/>
        <w:gridCol w:w="6520"/>
      </w:tblGrid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2F6FA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01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Banks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22"/>
                <w:szCs w:val="22"/>
              </w:rPr>
              <w:t xml:space="preserve">"AI should do everything." — Published</w:t>
            </w:r>
          </w:p>
        </w:tc>
      </w:tr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2F6FA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02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Exchanges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22"/>
                <w:szCs w:val="22"/>
              </w:rPr>
              <w:t xml:space="preserve">"AI replaces the analyst." — Published</w:t>
            </w:r>
          </w:p>
        </w:tc>
      </w:tr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2874A6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E8F0F8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1B2A"/>
                <w:sz w:val="22"/>
                <w:szCs w:val="22"/>
              </w:rPr>
              <w:t xml:space="preserve">Investment Mgmt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E8F0F8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1B2A"/>
                <w:sz w:val="22"/>
                <w:szCs w:val="22"/>
              </w:rPr>
              <w:t xml:space="preserve">"AI governance is a compliance exercise." — This article</w:t>
            </w:r>
          </w:p>
        </w:tc>
      </w:tr>
      <w:tr>
        <w:tc>
          <w:tcPr>
            <w:tcW w:type="dxa" w:w="64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2F6FA" w:val="clear"/>
            <w:tcMar>
              <w:top w:type="dxa" w:w="160"/>
              <w:left w:type="dxa" w:w="120"/>
              <w:bottom w:type="dxa" w:w="16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4"/>
                <w:szCs w:val="24"/>
              </w:rPr>
              <w:t xml:space="preserve">04</w:t>
            </w:r>
          </w:p>
        </w:tc>
        <w:tc>
          <w:tcPr>
            <w:tcW w:type="dxa" w:w="220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4F72"/>
                <w:sz w:val="22"/>
                <w:szCs w:val="22"/>
              </w:rPr>
              <w:t xml:space="preserve">Insurance</w:t>
            </w:r>
          </w:p>
        </w:tc>
        <w:tc>
          <w:tcPr>
            <w:tcW w:type="dxa" w:w="6520"/>
            <w:tcBorders>
              <w:top w:val="single" w:color="D6E1EC" w:sz="1"/>
              <w:left w:val="none" w:color="FFFFFF" w:sz="0"/>
              <w:bottom w:val="single" w:color="D6E1EC" w:sz="1"/>
              <w:right w:val="none" w:color="FFFFFF" w:sz="0"/>
            </w:tcBorders>
            <w:shd w:fill="FFFFFF" w:val="clear"/>
            <w:tcMar>
              <w:top w:type="dxa" w:w="160"/>
              <w:left w:type="dxa" w:w="120"/>
              <w:bottom w:type="dxa" w:w="160"/>
              <w:right w:type="dxa" w:w="1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6C757D"/>
                <w:sz w:val="22"/>
                <w:szCs w:val="22"/>
              </w:rPr>
              <w:t xml:space="preserve">"You need perfect data before you start." — Next week</w:t>
            </w:r>
          </w:p>
        </w:tc>
      </w:tr>
    </w:tbl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C9A227" w:sz="6"/>
          <w:left w:val="single" w:color="C9A227" w:sz="1"/>
          <w:bottom w:val="single" w:color="C9A227" w:sz="6"/>
          <w:right w:val="single" w:color="C9A227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160" w:line="3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The misconception — that writing the policy is the governance — is the most dangerous mistake in asset management AI today.</w:t>
            </w:r>
          </w:p>
          <w:p>
            <w:pPr>
              <w:spacing w:line="360"/>
            </w:pPr>
            <w:r>
              <w:rPr>
                <w:rFonts w:ascii="Calibri" w:cs="Calibri" w:eastAsia="Calibri" w:hAnsi="Calibri"/>
                <w:b/>
                <w:bCs/>
                <w:color w:val="0D1B2A"/>
                <w:sz w:val="26"/>
                <w:szCs w:val="26"/>
              </w:rPr>
              <w:t xml:space="preserve">The principle — that governance is architecture, not paperwork — means three things: safety guardrails that block before the breach, quality guardrails that catch before the error, compliance guardrails that log before the auditor asks.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tbl>
      <w:tblPr>
        <w:tblW w:type="dxa" w:w="9360"/>
        <w:tblBorders>
          <w:top w:val="single" w:color="2874A6" w:sz="1"/>
          <w:left w:val="single" w:color="2874A6" w:sz="24"/>
          <w:bottom w:val="single" w:color="2874A6" w:sz="1"/>
          <w:right w:val="single" w:color="2874A6" w:sz="1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2F6FA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line="360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D1B2A"/>
                <w:sz w:val="26"/>
                <w:szCs w:val="26"/>
              </w:rPr>
              <w:t xml:space="preserve">Next week — Part 4: We have established that code computes, humans decide, and governance is architecture. Part 4 asks a harder question: what if your data is not ready?</w:t>
            </w:r>
          </w:p>
        </w:tc>
      </w:tr>
    </w:tbl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0D1B2A"/>
          <w:spacing w:val="40"/>
          <w:sz w:val="24"/>
          <w:szCs w:val="24"/>
        </w:rPr>
        <w:t xml:space="preserve">RODNEY COUTINHO</w:t>
      </w:r>
    </w:p>
    <w:p>
      <w:pPr>
        <w:spacing w:after="60"/>
      </w:pPr>
      <w:r>
        <w:rPr>
          <w:rFonts w:ascii="Calibri" w:cs="Calibri" w:eastAsia="Calibri" w:hAnsi="Calibri"/>
          <w:color w:val="1B4F72"/>
          <w:sz w:val="20"/>
          <w:szCs w:val="20"/>
        </w:rPr>
        <w:t xml:space="preserve">Founder, Enterprise.AI  //  Executive Advisor on AI</w:t>
      </w:r>
    </w:p>
    <w:p>
      <w:pPr>
        <w:spacing w:after="60"/>
      </w:pPr>
      <w:r>
        <w:rPr>
          <w:rFonts w:ascii="Calibri" w:cs="Calibri" w:eastAsia="Calibri" w:hAnsi="Calibri"/>
          <w:color w:val="6C757D"/>
          <w:sz w:val="20"/>
          <w:szCs w:val="20"/>
        </w:rPr>
        <w:t xml:space="preserve">AI Strategy, Governance &amp; Deployment  //  Financial Services</w:t>
      </w:r>
    </w:p>
    <w:p>
      <w:pPr>
        <w:spacing w:after="1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pBdr>
          <w:top w:val="single" w:color="C9A227" w:sz="4" w:space="8"/>
        </w:pBdr>
        <w:spacing w:after="0" w:before="100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ENTERPRISE.AI  //  AI IN FS: MISCONCEPTIONS &amp; FIRST PRINCIPLES  //  PART 3 OF 4  //  08</w:t>
      </w:r>
    </w:p>
    <w:p>
      <w:r>
        <w:br w:type="page"/>
      </w:r>
    </w:p>
    <w:p>
      <w:pPr>
        <w:spacing w:after="6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0D1B2A"/>
          <w:spacing w:val="120"/>
          <w:sz w:val="56"/>
          <w:szCs w:val="56"/>
        </w:rPr>
        <w:t xml:space="preserve">ENTERPRISE.AI</w:t>
      </w:r>
    </w:p>
    <w:p>
      <w:pPr>
        <w:pBdr>
          <w:bottom w:val="single" w:color="C9A227" w:sz="6" w:space="12"/>
        </w:pBdr>
        <w:spacing w:after="300"/>
        <w:jc w:val="center"/>
      </w:pPr>
      <w:r>
        <w:rPr>
          <w:rFonts w:ascii="Calibri" w:cs="Calibri" w:eastAsia="Calibri" w:hAnsi="Calibri"/>
          <w:b/>
          <w:bCs/>
          <w:color w:val="C9A227"/>
          <w:spacing w:val="160"/>
          <w:sz w:val="22"/>
          <w:szCs w:val="22"/>
        </w:rPr>
        <w:t xml:space="preserve">SCALE  ·  GOVERN  ·  UNLOCK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1B4F72"/>
          <w:sz w:val="28"/>
          <w:szCs w:val="28"/>
        </w:rPr>
        <w:t xml:space="preserve">Executive Advisor on AI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Banking  ·  Capital Markets  ·  Insurance  ·  Investment Management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C757D"/>
          <w:sz w:val="22"/>
          <w:szCs w:val="22"/>
        </w:rPr>
        <w:t xml:space="preserve">Middle East  ·  Europe</w:t>
      </w:r>
    </w:p>
    <w:p>
      <w:pPr>
        <w:spacing w:after="4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60"/>
        <w:jc w:val="center"/>
      </w:pPr>
      <w:r>
        <w:rPr>
          <w:rFonts w:ascii="Calibri" w:cs="Calibri" w:eastAsia="Calibri" w:hAnsi="Calibri"/>
          <w:color w:val="2874A6"/>
          <w:sz w:val="20"/>
          <w:szCs w:val="20"/>
        </w:rPr>
        <w:t xml:space="preserve">theenterpriseai.co.uk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874A6"/>
          <w:sz w:val="20"/>
          <w:szCs w:val="20"/>
        </w:rPr>
        <w:t xml:space="preserve">linkedin.com/in/rodneycoutinho</w:t>
      </w:r>
    </w:p>
    <w:p>
      <w:pPr>
        <w:spacing w:after="3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F2933"/>
          <w:sz w:val="26"/>
          <w:szCs w:val="26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color w:val="6C757D"/>
          <w:spacing w:val="40"/>
          <w:sz w:val="16"/>
          <w:szCs w:val="16"/>
        </w:rPr>
        <w:t xml:space="preserve">AI IN FINANCIAL SERVICES  //  MISCONCEPTIONS &amp; FIRST PRINCIPLES</w:t>
      </w:r>
    </w:p>
    <w:p>
      <w:pPr>
        <w:jc w:val="center"/>
      </w:pPr>
      <w:r>
        <w:rPr>
          <w:rFonts w:ascii="Calibri" w:cs="Calibri" w:eastAsia="Calibri" w:hAnsi="Calibri"/>
          <w:color w:val="C9A227"/>
          <w:spacing w:val="60"/>
          <w:sz w:val="16"/>
          <w:szCs w:val="16"/>
        </w:rPr>
        <w:t xml:space="preserve">PART 3 OF 4  //  INVESTMENT MANAGEMENT</w:t>
      </w:r>
    </w:p>
    <w:sectPr>
      <w:pgSz w:w="12240" w:h="15840" w:orient="portrait"/>
      <w:pgMar w:top="1080" w:right="1440" w:bottom="7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e0686a6957d2dda7839f48b45aa01c31d859b5.png"/><Relationship Id="rId8" Type="http://schemas.openxmlformats.org/officeDocument/2006/relationships/image" Target="media/929c01db6482475207a5b4af77fe695cab79dc3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in FS - Misconceptions &amp; First Principles - Part 3 - Investment Management</dc:title>
  <dc:creator>Rodney Coutinho</dc:creator>
  <cp:lastModifiedBy>Un-named</cp:lastModifiedBy>
  <cp:revision>1</cp:revision>
  <dcterms:created xsi:type="dcterms:W3CDTF">2026-07-03T22:43:02.136Z</dcterms:created>
  <dcterms:modified xsi:type="dcterms:W3CDTF">2026-07-03T22:43:02.144Z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