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jc w:val="center"/>
      </w:pPr>
      <w:r>
        <w:drawing>
          <wp:inline distT="0" distB="0" distL="0" distR="0">
            <wp:extent cx="6172200" cy="4114800"/>
            <wp:effectExtent t="0" r="0" b="0" l="0"/>
            <wp:docPr id="1" name="hero" descr="Agent-Washing: How to Spot It Before It Costs You Millions" title="He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172200" cy="4114800"/>
                    </a:xfrm>
                    <a:prstGeom prst="rect">
                      <a:avLst/>
                    </a:prstGeom>
                  </pic:spPr>
                </pic:pic>
              </a:graphicData>
            </a:graphic>
          </wp:inline>
        </w:drawing>
      </w:r>
    </w:p>
    <w:p>
      <w:r>
        <w:br w:type="page"/>
      </w:r>
    </w:p>
    <w:p>
      <w:pPr>
        <w:pBdr>
          <w:bottom w:val="single" w:color="C9A227" w:sz="6" w:space="12"/>
        </w:pBdr>
        <w:spacing w:after="40" w:before="0"/>
      </w:pPr>
      <w:r>
        <w:rPr>
          <w:rFonts w:ascii="Calibri" w:cs="Calibri" w:eastAsia="Calibri" w:hAnsi="Calibri"/>
          <w:b/>
          <w:bCs/>
          <w:color w:val="0D1B2A"/>
          <w:spacing w:val="80"/>
          <w:sz w:val="36"/>
          <w:szCs w:val="36"/>
        </w:rPr>
        <w:t xml:space="preserve">ENTERPRISE.AI</w:t>
      </w:r>
    </w:p>
    <w:p>
      <w:pPr>
        <w:spacing w:after="40" w:before="120"/>
      </w:pPr>
      <w:r>
        <w:rPr>
          <w:rFonts w:ascii="Calibri" w:cs="Calibri" w:eastAsia="Calibri" w:hAnsi="Calibri"/>
          <w:b/>
          <w:bCs/>
          <w:color w:val="2874A6"/>
          <w:spacing w:val="40"/>
          <w:sz w:val="20"/>
          <w:szCs w:val="20"/>
        </w:rPr>
        <w:t xml:space="preserve">STANDALONE ARTICLE  //  AGENT-WASHING</w:t>
      </w:r>
    </w:p>
    <w:p>
      <w:pPr>
        <w:spacing w:after="240" w:before="40"/>
      </w:pPr>
      <w:r>
        <w:rPr>
          <w:rFonts w:ascii="Calibri" w:cs="Calibri" w:eastAsia="Calibri" w:hAnsi="Calibri"/>
          <w:color w:val="C9A227"/>
          <w:spacing w:val="60"/>
          <w:sz w:val="20"/>
          <w:szCs w:val="20"/>
        </w:rPr>
        <w:t xml:space="preserve">RODNEY COUTINHO  //  AI BUILDER AND ADVISOR</w:t>
      </w:r>
    </w:p>
    <w:p>
      <w:pPr>
        <w:spacing w:after="280"/>
      </w:pPr>
      <w:r>
        <w:rPr>
          <w:rFonts w:ascii="Calibri" w:cs="Calibri" w:eastAsia="Calibri" w:hAnsi="Calibri"/>
          <w:b/>
          <w:bCs/>
          <w:color w:val="0D1B2A"/>
          <w:sz w:val="44"/>
          <w:szCs w:val="44"/>
        </w:rPr>
        <w:t xml:space="preserve">Agent-Washing: How to Spot It Before It Costs You Millions</w:t>
      </w:r>
    </w:p>
    <w:tbl>
      <w:tblPr>
        <w:tblW w:type="dxa" w:w="9360"/>
        <w:tblBorders>
          <w:top w:val="single" w:color="2874A6" w:sz="1"/>
          <w:left w:val="single" w:color="C9A227" w:sz="24"/>
          <w:bottom w:val="single" w:color="2874A6" w:sz="1"/>
          <w:right w:val="single" w:color="2874A6" w:sz="1"/>
          <w:insideH w:val="none" w:color="FFFFFF" w:sz="0"/>
          <w:insideV w:val="none" w:color="FFFFFF" w:sz="0"/>
        </w:tblBorders>
      </w:tblPr>
      <w:tblGrid>
        <w:gridCol w:w="9360"/>
      </w:tblGrid>
      <w:tr>
        <w:tc>
          <w:tcPr>
            <w:tcW w:type="dxa" w:w="9360"/>
            <w:shd w:fill="F2F6FA" w:val="clear"/>
            <w:tcMar>
              <w:top w:type="dxa" w:w="240"/>
              <w:left w:type="dxa" w:w="300"/>
              <w:bottom w:type="dxa" w:w="240"/>
              <w:right w:type="dxa" w:w="300"/>
            </w:tcMar>
          </w:tcPr>
          <w:p>
            <w:pPr>
              <w:spacing w:line="360"/>
            </w:pPr>
            <w:r>
              <w:rPr>
                <w:rFonts w:ascii="Calibri" w:cs="Calibri" w:eastAsia="Calibri" w:hAnsi="Calibri"/>
                <w:b w:val="false"/>
                <w:bCs w:val="false"/>
                <w:i/>
                <w:iCs/>
                <w:color w:val="0D1B2A"/>
                <w:sz w:val="26"/>
                <w:szCs w:val="26"/>
              </w:rPr>
              <w:t xml:space="preserve">84% of C-suite executives plan to increase spend on agentic AI.  But Gartner found that fewer than 130 out of thousands of 'agentic AI' vendors are genuinely agentic. The rest are chatbots, copilots, and RPA tools with a new label.</w:t>
            </w:r>
          </w:p>
        </w:tc>
      </w:tr>
    </w:tbl>
    <w:p>
      <w:pPr>
        <w:spacing w:after="200"/>
      </w:pPr>
      <w:r>
        <w:rPr>
          <w:rFonts w:ascii="Calibri" w:cs="Calibri" w:eastAsia="Calibri" w:hAnsi="Calibri"/>
          <w:b w:val="false"/>
          <w:bCs w:val="false"/>
          <w:i w:val="false"/>
          <w:iCs w:val="false"/>
          <w:color w:val="1F2933"/>
          <w:sz w:val="26"/>
          <w:szCs w:val="26"/>
        </w:rPr>
        <w:t xml:space="preserve"/>
      </w:r>
    </w:p>
    <w:p>
      <w:pPr>
        <w:spacing w:after="280" w:before="0" w:line="340"/>
        <w:jc w:val="left"/>
      </w:pPr>
      <w:r>
        <w:rPr>
          <w:rFonts w:ascii="Calibri" w:cs="Calibri" w:eastAsia="Calibri" w:hAnsi="Calibri"/>
          <w:b w:val="false"/>
          <w:bCs w:val="false"/>
          <w:i w:val="false"/>
          <w:iCs w:val="false"/>
          <w:color w:val="1F2933"/>
          <w:sz w:val="28"/>
          <w:szCs w:val="28"/>
        </w:rPr>
        <w:t xml:space="preserve">This is the emerging risk of agent-washing: vendors relabelling existing products as 'agents' without meeting the technical bar.</w:t>
      </w:r>
    </w:p>
    <w:p>
      <w:pPr>
        <w:spacing w:after="280" w:before="0" w:line="340"/>
        <w:jc w:val="left"/>
      </w:pPr>
      <w:r>
        <w:rPr>
          <w:rFonts w:ascii="Calibri" w:cs="Calibri" w:eastAsia="Calibri" w:hAnsi="Calibri"/>
          <w:b w:val="false"/>
          <w:bCs w:val="false"/>
          <w:i w:val="false"/>
          <w:iCs w:val="false"/>
          <w:color w:val="1F2933"/>
          <w:sz w:val="26"/>
          <w:szCs w:val="26"/>
        </w:rPr>
        <w:t xml:space="preserve">In this article, I walk through what makes a real AI agent, the seven questions I use in every evaluation, and why boards need to treat agent-washing as a procurement risk -- not a marketing nuisance.</w:t>
      </w:r>
    </w:p>
    <w:p>
      <w:pPr>
        <w:spacing w:after="100"/>
      </w:pPr>
      <w:r>
        <w:rPr>
          <w:rFonts w:ascii="Calibri" w:cs="Calibri" w:eastAsia="Calibri" w:hAnsi="Calibri"/>
          <w:b w:val="false"/>
          <w:bCs w:val="false"/>
          <w:i w:val="false"/>
          <w:iCs w:val="false"/>
          <w:color w:val="1F2933"/>
          <w:sz w:val="26"/>
          <w:szCs w:val="26"/>
        </w:rPr>
        <w:t xml:space="preserve"/>
      </w:r>
    </w:p>
    <w:p>
      <w:pPr>
        <w:pBdr>
          <w:top w:val="single" w:color="C9A227" w:sz="4" w:space="8"/>
        </w:pBdr>
        <w:spacing w:after="0" w:before="100"/>
      </w:pPr>
      <w:r>
        <w:rPr>
          <w:rFonts w:ascii="Calibri" w:cs="Calibri" w:eastAsia="Calibri" w:hAnsi="Calibri"/>
          <w:color w:val="6C757D"/>
          <w:spacing w:val="40"/>
          <w:sz w:val="16"/>
          <w:szCs w:val="16"/>
        </w:rPr>
        <w:t xml:space="preserve">ENTERPRISE.AI  //  STANDALONE ARTICLE  //  AGENT-WASHING  //  02</w:t>
      </w:r>
    </w:p>
    <w:p>
      <w:r>
        <w:br w:type="page"/>
      </w:r>
    </w:p>
    <w:p>
      <w:pPr>
        <w:pBdr>
          <w:bottom w:val="single" w:color="2874A6" w:sz="12" w:space="6"/>
        </w:pBdr>
        <w:spacing w:after="200" w:before="120"/>
      </w:pPr>
      <w:r>
        <w:rPr>
          <w:rFonts w:ascii="Calibri" w:cs="Calibri" w:eastAsia="Calibri" w:hAnsi="Calibri"/>
          <w:b/>
          <w:bCs/>
          <w:color w:val="0D1B2A"/>
          <w:spacing w:val="60"/>
          <w:sz w:val="26"/>
          <w:szCs w:val="26"/>
        </w:rPr>
        <w:t xml:space="preserve">THE SCALE OF THE PROBLEM</w:t>
      </w:r>
    </w:p>
    <w:tbl>
      <w:tblPr>
        <w:tblW w:type="dxa" w:w="9360"/>
        <w:tblBorders>
          <w:top w:val="single" w:color="0D1B2A" w:sz="1"/>
          <w:left w:val="single" w:color="0D1B2A" w:sz="1"/>
          <w:bottom w:val="single" w:color="0D1B2A" w:sz="1"/>
          <w:right w:val="single" w:color="0D1B2A" w:sz="1"/>
          <w:insideH w:val="none" w:color="FFFFFF" w:sz="0"/>
          <w:insideV w:val="none" w:color="FFFFFF" w:sz="0"/>
        </w:tblBorders>
      </w:tblPr>
      <w:tblGrid>
        <w:gridCol w:w="9360"/>
      </w:tblGrid>
      <w:tr>
        <w:tc>
          <w:tcPr>
            <w:tcW w:type="dxa" w:w="9360"/>
            <w:shd w:fill="0D1B2A" w:val="clear"/>
            <w:tcMar>
              <w:top w:type="dxa" w:w="300"/>
              <w:left w:type="dxa" w:w="360"/>
              <w:bottom w:type="dxa" w:w="300"/>
              <w:right w:type="dxa" w:w="360"/>
            </w:tcMar>
          </w:tcPr>
          <w:p>
            <w:pPr>
              <w:spacing w:after="60"/>
            </w:pPr>
            <w:r>
              <w:rPr>
                <w:rFonts w:ascii="Calibri" w:cs="Calibri" w:eastAsia="Calibri" w:hAnsi="Calibri"/>
                <w:b/>
                <w:bCs/>
                <w:color w:val="BFD4E8"/>
                <w:spacing w:val="80"/>
                <w:sz w:val="20"/>
                <w:szCs w:val="20"/>
              </w:rPr>
              <w:t xml:space="preserve">GARTNER FINDING</w:t>
            </w:r>
          </w:p>
          <w:p>
            <w:pPr>
              <w:spacing w:after="100"/>
            </w:pPr>
            <w:r>
              <w:rPr>
                <w:rFonts w:ascii="Calibri" w:cs="Calibri" w:eastAsia="Calibri" w:hAnsi="Calibri"/>
                <w:b/>
                <w:bCs/>
                <w:color w:val="FFFFFF"/>
                <w:sz w:val="44"/>
                <w:szCs w:val="44"/>
              </w:rPr>
              <w:t xml:space="preserve">Only ~130 genuine agent vendors</w:t>
            </w:r>
          </w:p>
          <w:p>
            <w:pPr>
              <w:spacing w:after="40" w:line="340"/>
            </w:pPr>
            <w:r>
              <w:rPr>
                <w:rFonts w:ascii="Calibri" w:cs="Calibri" w:eastAsia="Calibri" w:hAnsi="Calibri"/>
                <w:color w:val="FFFFFF"/>
                <w:sz w:val="26"/>
                <w:szCs w:val="26"/>
              </w:rPr>
              <w:t xml:space="preserve">Out of thousands of vendors claiming 'agentic AI' capabilities</w:t>
            </w:r>
          </w:p>
          <w:p>
            <w:r>
              <w:rPr>
                <w:rFonts w:ascii="Calibri" w:cs="Calibri" w:eastAsia="Calibri" w:hAnsi="Calibri"/>
                <w:i/>
                <w:iCs/>
                <w:color w:val="9FB6CC"/>
                <w:sz w:val="22"/>
                <w:szCs w:val="22"/>
              </w:rPr>
              <w:t xml:space="preserve">Gartner IT Symposium/Xpo 2024 -- Agentic AI Hype Cycle</w:t>
            </w:r>
          </w:p>
        </w:tc>
      </w:tr>
    </w:tbl>
    <w:p>
      <w:pPr>
        <w:spacing w:after="300"/>
      </w:pPr>
      <w:r>
        <w:rPr>
          <w:rFonts w:ascii="Calibri" w:cs="Calibri" w:eastAsia="Calibri" w:hAnsi="Calibri"/>
          <w:b w:val="false"/>
          <w:bCs w:val="false"/>
          <w:i w:val="false"/>
          <w:iCs w:val="false"/>
          <w:color w:val="1F2933"/>
          <w:sz w:val="26"/>
          <w:szCs w:val="2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9A227" w:sz="2"/>
              <w:left w:val="single" w:color="C9A227" w:sz="2"/>
              <w:bottom w:val="single" w:color="C9A227" w:sz="2"/>
              <w:right w:val="single" w:color="C9A227" w:sz="2"/>
            </w:tcBorders>
            <w:shd w:fill="0D1B2A" w:val="clear"/>
            <w:tcMar>
              <w:top w:type="dxa" w:w="260"/>
              <w:left w:type="dxa" w:w="200"/>
              <w:bottom w:type="dxa" w:w="260"/>
              <w:right w:type="dxa" w:w="200"/>
            </w:tcMar>
          </w:tcPr>
          <w:p>
            <w:pPr>
              <w:spacing w:after="60"/>
              <w:jc w:val="center"/>
            </w:pPr>
            <w:r>
              <w:rPr>
                <w:rFonts w:ascii="Calibri" w:cs="Calibri" w:eastAsia="Calibri" w:hAnsi="Calibri"/>
                <w:b/>
                <w:bCs/>
                <w:color w:val="C9A227"/>
                <w:sz w:val="48"/>
                <w:szCs w:val="48"/>
              </w:rPr>
              <w:t xml:space="preserve">84%</w:t>
            </w:r>
          </w:p>
          <w:p>
            <w:pPr>
              <w:jc w:val="center"/>
            </w:pPr>
            <w:r>
              <w:rPr>
                <w:rFonts w:ascii="Calibri" w:cs="Calibri" w:eastAsia="Calibri" w:hAnsi="Calibri"/>
                <w:b/>
                <w:bCs/>
                <w:color w:val="BFD4E8"/>
                <w:spacing w:val="40"/>
                <w:sz w:val="18"/>
                <w:szCs w:val="18"/>
              </w:rPr>
              <w:t xml:space="preserve">C-SUITE INCREASING SPEND</w:t>
            </w:r>
          </w:p>
        </w:tc>
        <w:tc>
          <w:tcPr>
            <w:tcW w:type="dxa" w:w="3120"/>
            <w:tcBorders>
              <w:top w:val="single" w:color="C9A227" w:sz="2"/>
              <w:left w:val="single" w:color="C9A227" w:sz="2"/>
              <w:bottom w:val="single" w:color="C9A227" w:sz="2"/>
              <w:right w:val="single" w:color="C9A227" w:sz="2"/>
            </w:tcBorders>
            <w:shd w:fill="0D1B2A" w:val="clear"/>
            <w:tcMar>
              <w:top w:type="dxa" w:w="260"/>
              <w:left w:type="dxa" w:w="200"/>
              <w:bottom w:type="dxa" w:w="260"/>
              <w:right w:type="dxa" w:w="200"/>
            </w:tcMar>
          </w:tcPr>
          <w:p>
            <w:pPr>
              <w:spacing w:after="60"/>
              <w:jc w:val="center"/>
            </w:pPr>
            <w:r>
              <w:rPr>
                <w:rFonts w:ascii="Calibri" w:cs="Calibri" w:eastAsia="Calibri" w:hAnsi="Calibri"/>
                <w:b/>
                <w:bCs/>
                <w:color w:val="C9A227"/>
                <w:sz w:val="48"/>
                <w:szCs w:val="48"/>
              </w:rPr>
              <w:t xml:space="preserve">40%+</w:t>
            </w:r>
          </w:p>
          <w:p>
            <w:pPr>
              <w:jc w:val="center"/>
            </w:pPr>
            <w:r>
              <w:rPr>
                <w:rFonts w:ascii="Calibri" w:cs="Calibri" w:eastAsia="Calibri" w:hAnsi="Calibri"/>
                <w:b/>
                <w:bCs/>
                <w:color w:val="BFD4E8"/>
                <w:spacing w:val="40"/>
                <w:sz w:val="18"/>
                <w:szCs w:val="18"/>
              </w:rPr>
              <w:t xml:space="preserve">PROJECTS CANCELLED BY 2027</w:t>
            </w:r>
          </w:p>
        </w:tc>
        <w:tc>
          <w:tcPr>
            <w:tcW w:type="dxa" w:w="3120"/>
            <w:tcBorders>
              <w:top w:val="single" w:color="C9A227" w:sz="2"/>
              <w:left w:val="single" w:color="C9A227" w:sz="2"/>
              <w:bottom w:val="single" w:color="C9A227" w:sz="2"/>
              <w:right w:val="single" w:color="C9A227" w:sz="2"/>
            </w:tcBorders>
            <w:shd w:fill="0D1B2A" w:val="clear"/>
            <w:tcMar>
              <w:top w:type="dxa" w:w="260"/>
              <w:left w:type="dxa" w:w="200"/>
              <w:bottom w:type="dxa" w:w="260"/>
              <w:right w:type="dxa" w:w="200"/>
            </w:tcMar>
          </w:tcPr>
          <w:p>
            <w:pPr>
              <w:spacing w:after="60"/>
              <w:jc w:val="center"/>
            </w:pPr>
            <w:r>
              <w:rPr>
                <w:rFonts w:ascii="Calibri" w:cs="Calibri" w:eastAsia="Calibri" w:hAnsi="Calibri"/>
                <w:b/>
                <w:bCs/>
                <w:color w:val="C9A227"/>
                <w:sz w:val="48"/>
                <w:szCs w:val="48"/>
              </w:rPr>
              <w:t xml:space="preserve">&lt;130</w:t>
            </w:r>
          </w:p>
          <w:p>
            <w:pPr>
              <w:jc w:val="center"/>
            </w:pPr>
            <w:r>
              <w:rPr>
                <w:rFonts w:ascii="Calibri" w:cs="Calibri" w:eastAsia="Calibri" w:hAnsi="Calibri"/>
                <w:b/>
                <w:bCs/>
                <w:color w:val="BFD4E8"/>
                <w:spacing w:val="40"/>
                <w:sz w:val="18"/>
                <w:szCs w:val="18"/>
              </w:rPr>
              <w:t xml:space="preserve">GENUINELY AGENTIC</w:t>
            </w:r>
          </w:p>
        </w:tc>
      </w:tr>
    </w:tbl>
    <w:p>
      <w:pPr>
        <w:spacing w:after="400"/>
      </w:pPr>
      <w:r>
        <w:rPr>
          <w:rFonts w:ascii="Calibri" w:cs="Calibri" w:eastAsia="Calibri" w:hAnsi="Calibri"/>
          <w:b w:val="false"/>
          <w:bCs w:val="false"/>
          <w:i w:val="false"/>
          <w:iCs w:val="false"/>
          <w:color w:val="1F2933"/>
          <w:sz w:val="26"/>
          <w:szCs w:val="26"/>
        </w:rPr>
        <w:t xml:space="preserve"/>
      </w:r>
    </w:p>
    <w:p>
      <w:pPr>
        <w:spacing w:after="280" w:before="0" w:line="340"/>
        <w:jc w:val="left"/>
      </w:pPr>
      <w:r>
        <w:rPr>
          <w:rFonts w:ascii="Calibri" w:cs="Calibri" w:eastAsia="Calibri" w:hAnsi="Calibri"/>
          <w:b/>
          <w:bCs/>
          <w:i w:val="false"/>
          <w:iCs w:val="false"/>
          <w:color w:val="1F2933"/>
          <w:sz w:val="26"/>
          <w:szCs w:val="26"/>
        </w:rPr>
        <w:t xml:space="preserve">The gap between spend appetite and genuine capability is where agent-washing thrives.</w:t>
      </w:r>
    </w:p>
    <w:p>
      <w:pPr>
        <w:spacing w:after="100"/>
      </w:pPr>
      <w:r>
        <w:rPr>
          <w:rFonts w:ascii="Calibri" w:cs="Calibri" w:eastAsia="Calibri" w:hAnsi="Calibri"/>
          <w:b w:val="false"/>
          <w:bCs w:val="false"/>
          <w:i w:val="false"/>
          <w:iCs w:val="false"/>
          <w:color w:val="1F2933"/>
          <w:sz w:val="26"/>
          <w:szCs w:val="26"/>
        </w:rPr>
        <w:t xml:space="preserve"/>
      </w:r>
    </w:p>
    <w:p>
      <w:pPr>
        <w:pBdr>
          <w:top w:val="single" w:color="C9A227" w:sz="4" w:space="8"/>
        </w:pBdr>
        <w:spacing w:after="0" w:before="100"/>
      </w:pPr>
      <w:r>
        <w:rPr>
          <w:rFonts w:ascii="Calibri" w:cs="Calibri" w:eastAsia="Calibri" w:hAnsi="Calibri"/>
          <w:color w:val="6C757D"/>
          <w:spacing w:val="40"/>
          <w:sz w:val="16"/>
          <w:szCs w:val="16"/>
        </w:rPr>
        <w:t xml:space="preserve">ENTERPRISE.AI  //  STANDALONE ARTICLE  //  AGENT-WASHING  //  03</w:t>
      </w:r>
    </w:p>
    <w:p>
      <w:r>
        <w:br w:type="page"/>
      </w:r>
    </w:p>
    <w:p>
      <w:pPr>
        <w:pBdr>
          <w:bottom w:val="single" w:color="2874A6" w:sz="12" w:space="6"/>
        </w:pBdr>
        <w:spacing w:after="200" w:before="120"/>
      </w:pPr>
      <w:r>
        <w:rPr>
          <w:rFonts w:ascii="Calibri" w:cs="Calibri" w:eastAsia="Calibri" w:hAnsi="Calibri"/>
          <w:b/>
          <w:bCs/>
          <w:color w:val="0D1B2A"/>
          <w:spacing w:val="60"/>
          <w:sz w:val="26"/>
          <w:szCs w:val="26"/>
        </w:rPr>
        <w:t xml:space="preserve">WHAT ACTUALLY MAKES AN AGENT?</w:t>
      </w:r>
    </w:p>
    <w:p>
      <w:pPr>
        <w:spacing w:after="280" w:before="0" w:line="340"/>
        <w:jc w:val="left"/>
      </w:pPr>
      <w:r>
        <w:rPr>
          <w:rFonts w:ascii="Calibri" w:cs="Calibri" w:eastAsia="Calibri" w:hAnsi="Calibri"/>
          <w:b w:val="false"/>
          <w:bCs w:val="false"/>
          <w:i w:val="false"/>
          <w:iCs w:val="false"/>
          <w:color w:val="1F2933"/>
          <w:sz w:val="26"/>
          <w:szCs w:val="26"/>
        </w:rPr>
        <w:t xml:space="preserve">An AI agent is software that pursues a defined goal by autonomously decomposing it into sub-tasks, orchestrating actions across multiple systems, handling exceptions without human intervention, and maintaining an auditable decision trail.</w:t>
      </w:r>
    </w:p>
    <w:p>
      <w:pPr>
        <w:spacing w:after="280" w:before="0" w:line="340"/>
        <w:jc w:val="left"/>
      </w:pPr>
      <w:r>
        <w:rPr>
          <w:rFonts w:ascii="Calibri" w:cs="Calibri" w:eastAsia="Calibri" w:hAnsi="Calibri"/>
          <w:b/>
          <w:bCs/>
          <w:i w:val="false"/>
          <w:iCs w:val="false"/>
          <w:color w:val="1F2933"/>
          <w:sz w:val="26"/>
          <w:szCs w:val="26"/>
        </w:rPr>
        <w:t xml:space="preserve">If it cannot do all four, it is not an agent -- regardless of what the vendor slide deck says.</w:t>
      </w:r>
    </w:p>
    <w:p>
      <w:pPr>
        <w:spacing w:after="200"/>
      </w:pPr>
      <w:r>
        <w:rPr>
          <w:rFonts w:ascii="Calibri" w:cs="Calibri" w:eastAsia="Calibri" w:hAnsi="Calibri"/>
          <w:b w:val="false"/>
          <w:bCs w:val="false"/>
          <w:i w:val="false"/>
          <w:iCs w:val="false"/>
          <w:color w:val="1F2933"/>
          <w:sz w:val="26"/>
          <w:szCs w:val="26"/>
        </w:rPr>
        <w:t xml:space="preserve"/>
      </w:r>
    </w:p>
    <w:tbl>
      <w:tblPr>
        <w:tblW w:type="dxa" w:w="9360"/>
        <w:tblBorders>
          <w:top w:val="single" w:color="2874A6" w:sz="1"/>
          <w:left w:val="single" w:color="B22222" w:sz="24"/>
          <w:bottom w:val="single" w:color="2874A6" w:sz="1"/>
          <w:right w:val="single" w:color="2874A6" w:sz="1"/>
          <w:insideH w:val="none" w:color="FFFFFF" w:sz="0"/>
          <w:insideV w:val="none" w:color="FFFFFF" w:sz="0"/>
        </w:tblBorders>
      </w:tblPr>
      <w:tblGrid>
        <w:gridCol w:w="9360"/>
      </w:tblGrid>
      <w:tr>
        <w:tc>
          <w:tcPr>
            <w:tcW w:type="dxa" w:w="9360"/>
            <w:shd w:fill="F2F6FA" w:val="clear"/>
            <w:tcMar>
              <w:top w:type="dxa" w:w="240"/>
              <w:left w:type="dxa" w:w="300"/>
              <w:bottom w:type="dxa" w:w="240"/>
              <w:right w:type="dxa" w:w="300"/>
            </w:tcMar>
          </w:tcPr>
          <w:p>
            <w:pPr>
              <w:spacing w:line="360"/>
            </w:pPr>
            <w:r>
              <w:rPr>
                <w:rFonts w:ascii="Calibri" w:cs="Calibri" w:eastAsia="Calibri" w:hAnsi="Calibri"/>
                <w:b/>
                <w:bCs/>
                <w:i w:val="false"/>
                <w:iCs w:val="false"/>
                <w:color w:val="B22222"/>
                <w:sz w:val="26"/>
                <w:szCs w:val="26"/>
              </w:rPr>
              <w:t xml:space="preserve">A chatbot that got promoted is not an agent. A copilot that answers questions is not an agent. An RPA script with a new label is not an agent.</w:t>
            </w:r>
          </w:p>
        </w:tc>
      </w:tr>
    </w:tbl>
    <w:p>
      <w:pPr>
        <w:spacing w:after="200"/>
      </w:pPr>
      <w:r>
        <w:rPr>
          <w:rFonts w:ascii="Calibri" w:cs="Calibri" w:eastAsia="Calibri" w:hAnsi="Calibri"/>
          <w:b w:val="false"/>
          <w:bCs w:val="false"/>
          <w:i w:val="false"/>
          <w:iCs w:val="false"/>
          <w:color w:val="1F2933"/>
          <w:sz w:val="26"/>
          <w:szCs w:val="26"/>
        </w:rPr>
        <w:t xml:space="preserve"/>
      </w:r>
    </w:p>
    <w:p>
      <w:pPr>
        <w:spacing w:after="100"/>
      </w:pPr>
      <w:r>
        <w:rPr>
          <w:rFonts w:ascii="Calibri" w:cs="Calibri" w:eastAsia="Calibri" w:hAnsi="Calibri"/>
          <w:b w:val="false"/>
          <w:bCs w:val="false"/>
          <w:i w:val="false"/>
          <w:iCs w:val="false"/>
          <w:color w:val="1F2933"/>
          <w:sz w:val="26"/>
          <w:szCs w:val="26"/>
        </w:rPr>
        <w:t xml:space="preserve"/>
      </w:r>
    </w:p>
    <w:p>
      <w:pPr>
        <w:pBdr>
          <w:top w:val="single" w:color="C9A227" w:sz="4" w:space="8"/>
        </w:pBdr>
        <w:spacing w:after="0" w:before="100"/>
      </w:pPr>
      <w:r>
        <w:rPr>
          <w:rFonts w:ascii="Calibri" w:cs="Calibri" w:eastAsia="Calibri" w:hAnsi="Calibri"/>
          <w:color w:val="6C757D"/>
          <w:spacing w:val="40"/>
          <w:sz w:val="16"/>
          <w:szCs w:val="16"/>
        </w:rPr>
        <w:t xml:space="preserve">ENTERPRISE.AI  //  STANDALONE ARTICLE  //  AGENT-WASHING  //  04</w:t>
      </w:r>
    </w:p>
    <w:p>
      <w:r>
        <w:br w:type="page"/>
      </w:r>
    </w:p>
    <w:p>
      <w:pPr>
        <w:pBdr>
          <w:bottom w:val="single" w:color="2874A6" w:sz="12" w:space="6"/>
        </w:pBdr>
        <w:spacing w:after="200" w:before="120"/>
      </w:pPr>
      <w:r>
        <w:rPr>
          <w:rFonts w:ascii="Calibri" w:cs="Calibri" w:eastAsia="Calibri" w:hAnsi="Calibri"/>
          <w:b/>
          <w:bCs/>
          <w:color w:val="0D1B2A"/>
          <w:spacing w:val="60"/>
          <w:sz w:val="26"/>
          <w:szCs w:val="26"/>
        </w:rPr>
        <w:t xml:space="preserve">THE SEVEN-QUESTION TEST (1 OF 2)</w:t>
      </w:r>
    </w:p>
    <w:p>
      <w:pPr>
        <w:spacing w:after="240" w:before="0" w:line="340"/>
        <w:jc w:val="left"/>
      </w:pPr>
      <w:r>
        <w:rPr>
          <w:rFonts w:ascii="Calibri" w:cs="Calibri" w:eastAsia="Calibri" w:hAnsi="Calibri"/>
          <w:b w:val="false"/>
          <w:bCs w:val="false"/>
          <w:i w:val="false"/>
          <w:iCs w:val="false"/>
          <w:color w:val="1F2933"/>
          <w:sz w:val="26"/>
          <w:szCs w:val="26"/>
        </w:rPr>
        <w:t xml:space="preserve">Use these in the room, with the engineers -- not just the sales team.</w:t>
      </w:r>
    </w:p>
    <w:tbl>
      <w:tblPr>
        <w:tblW w:type="dxa" w:w="9360"/>
        <w:tblBorders>
          <w:top w:val="none" w:color="FFFFFF" w:sz="0"/>
          <w:left w:val="none" w:color="FFFFFF" w:sz="0"/>
          <w:bottom w:val="single" w:color="D6E1EC" w:sz="1"/>
          <w:right w:val="none" w:color="FFFFFF" w:sz="0"/>
          <w:insideH w:val="none" w:color="FFFFFF" w:sz="0"/>
          <w:insideV w:val="none" w:color="FFFFFF" w:sz="0"/>
        </w:tblBorders>
      </w:tblPr>
      <w:tblGrid>
        <w:gridCol w:w="720"/>
        <w:gridCol w:w="8640"/>
      </w:tblGrid>
      <w:tr>
        <w:tc>
          <w:tcPr>
            <w:tcW w:type="dxa" w:w="720"/>
            <w:shd w:fill="0D1B2A" w:val="clear"/>
            <w:tcMar>
              <w:top w:type="dxa" w:w="200"/>
              <w:left w:type="dxa" w:w="100"/>
              <w:bottom w:type="dxa" w:w="200"/>
              <w:right w:type="dxa" w:w="100"/>
            </w:tcMar>
          </w:tcPr>
          <w:p>
            <w:pPr>
              <w:jc w:val="center"/>
            </w:pPr>
            <w:r>
              <w:rPr>
                <w:rFonts w:ascii="Calibri" w:cs="Calibri" w:eastAsia="Calibri" w:hAnsi="Calibri"/>
                <w:b/>
                <w:bCs/>
                <w:color w:val="C9A227"/>
                <w:sz w:val="36"/>
                <w:szCs w:val="36"/>
              </w:rPr>
              <w:t xml:space="preserve">1</w:t>
            </w:r>
          </w:p>
        </w:tc>
        <w:tc>
          <w:tcPr>
            <w:tcW w:type="dxa" w:w="8640"/>
            <w:tcMar>
              <w:top w:type="dxa" w:w="200"/>
              <w:left w:type="dxa" w:w="240"/>
              <w:bottom w:type="dxa" w:w="200"/>
              <w:right w:type="dxa" w:w="200"/>
            </w:tcMar>
          </w:tcPr>
          <w:p>
            <w:pPr>
              <w:spacing w:after="80"/>
            </w:pPr>
            <w:r>
              <w:rPr>
                <w:rFonts w:ascii="Calibri" w:cs="Calibri" w:eastAsia="Calibri" w:hAnsi="Calibri"/>
                <w:b/>
                <w:bCs/>
                <w:color w:val="0D1B2A"/>
                <w:sz w:val="26"/>
                <w:szCs w:val="26"/>
              </w:rPr>
              <w:t xml:space="preserve">Goal decomposition</w:t>
            </w:r>
          </w:p>
          <w:p>
            <w:pPr>
              <w:spacing w:line="340"/>
            </w:pPr>
            <w:r>
              <w:rPr>
                <w:rFonts w:ascii="Calibri" w:cs="Calibri" w:eastAsia="Calibri" w:hAnsi="Calibri"/>
                <w:color w:val="1F2933"/>
                <w:sz w:val="24"/>
                <w:szCs w:val="24"/>
              </w:rPr>
              <w:t xml:space="preserve">Can it break a high-level objective into sub-tasks without being told the steps?</w:t>
            </w:r>
          </w:p>
        </w:tc>
      </w:tr>
    </w:tbl>
    <w:p>
      <w:pPr>
        <w:spacing w:after="160"/>
      </w:pPr>
      <w:r>
        <w:rPr>
          <w:rFonts w:ascii="Calibri" w:cs="Calibri" w:eastAsia="Calibri" w:hAnsi="Calibri"/>
          <w:b w:val="false"/>
          <w:bCs w:val="false"/>
          <w:i w:val="false"/>
          <w:iCs w:val="false"/>
          <w:color w:val="1F2933"/>
          <w:sz w:val="26"/>
          <w:szCs w:val="26"/>
        </w:rPr>
        <w:t xml:space="preserve"/>
      </w:r>
    </w:p>
    <w:tbl>
      <w:tblPr>
        <w:tblW w:type="dxa" w:w="9360"/>
        <w:tblBorders>
          <w:top w:val="none" w:color="FFFFFF" w:sz="0"/>
          <w:left w:val="none" w:color="FFFFFF" w:sz="0"/>
          <w:bottom w:val="single" w:color="D6E1EC" w:sz="1"/>
          <w:right w:val="none" w:color="FFFFFF" w:sz="0"/>
          <w:insideH w:val="none" w:color="FFFFFF" w:sz="0"/>
          <w:insideV w:val="none" w:color="FFFFFF" w:sz="0"/>
        </w:tblBorders>
      </w:tblPr>
      <w:tblGrid>
        <w:gridCol w:w="720"/>
        <w:gridCol w:w="8640"/>
      </w:tblGrid>
      <w:tr>
        <w:tc>
          <w:tcPr>
            <w:tcW w:type="dxa" w:w="720"/>
            <w:shd w:fill="0D1B2A" w:val="clear"/>
            <w:tcMar>
              <w:top w:type="dxa" w:w="200"/>
              <w:left w:type="dxa" w:w="100"/>
              <w:bottom w:type="dxa" w:w="200"/>
              <w:right w:type="dxa" w:w="100"/>
            </w:tcMar>
          </w:tcPr>
          <w:p>
            <w:pPr>
              <w:jc w:val="center"/>
            </w:pPr>
            <w:r>
              <w:rPr>
                <w:rFonts w:ascii="Calibri" w:cs="Calibri" w:eastAsia="Calibri" w:hAnsi="Calibri"/>
                <w:b/>
                <w:bCs/>
                <w:color w:val="C9A227"/>
                <w:sz w:val="36"/>
                <w:szCs w:val="36"/>
              </w:rPr>
              <w:t xml:space="preserve">2</w:t>
            </w:r>
          </w:p>
        </w:tc>
        <w:tc>
          <w:tcPr>
            <w:tcW w:type="dxa" w:w="8640"/>
            <w:tcMar>
              <w:top w:type="dxa" w:w="200"/>
              <w:left w:type="dxa" w:w="240"/>
              <w:bottom w:type="dxa" w:w="200"/>
              <w:right w:type="dxa" w:w="200"/>
            </w:tcMar>
          </w:tcPr>
          <w:p>
            <w:pPr>
              <w:spacing w:after="80"/>
            </w:pPr>
            <w:r>
              <w:rPr>
                <w:rFonts w:ascii="Calibri" w:cs="Calibri" w:eastAsia="Calibri" w:hAnsi="Calibri"/>
                <w:b/>
                <w:bCs/>
                <w:color w:val="0D1B2A"/>
                <w:sz w:val="26"/>
                <w:szCs w:val="26"/>
              </w:rPr>
              <w:t xml:space="preserve">Cross-system orchestration</w:t>
            </w:r>
          </w:p>
          <w:p>
            <w:pPr>
              <w:spacing w:line="340"/>
            </w:pPr>
            <w:r>
              <w:rPr>
                <w:rFonts w:ascii="Calibri" w:cs="Calibri" w:eastAsia="Calibri" w:hAnsi="Calibri"/>
                <w:color w:val="1F2933"/>
                <w:sz w:val="24"/>
                <w:szCs w:val="24"/>
              </w:rPr>
              <w:t xml:space="preserve">Does it call APIs, databases, and external tools -- or just generate text?</w:t>
            </w:r>
          </w:p>
        </w:tc>
      </w:tr>
    </w:tbl>
    <w:p>
      <w:pPr>
        <w:spacing w:after="160"/>
      </w:pPr>
      <w:r>
        <w:rPr>
          <w:rFonts w:ascii="Calibri" w:cs="Calibri" w:eastAsia="Calibri" w:hAnsi="Calibri"/>
          <w:b w:val="false"/>
          <w:bCs w:val="false"/>
          <w:i w:val="false"/>
          <w:iCs w:val="false"/>
          <w:color w:val="1F2933"/>
          <w:sz w:val="26"/>
          <w:szCs w:val="26"/>
        </w:rPr>
        <w:t xml:space="preserve"/>
      </w:r>
    </w:p>
    <w:tbl>
      <w:tblPr>
        <w:tblW w:type="dxa" w:w="9360"/>
        <w:tblBorders>
          <w:top w:val="none" w:color="FFFFFF" w:sz="0"/>
          <w:left w:val="none" w:color="FFFFFF" w:sz="0"/>
          <w:bottom w:val="single" w:color="D6E1EC" w:sz="1"/>
          <w:right w:val="none" w:color="FFFFFF" w:sz="0"/>
          <w:insideH w:val="none" w:color="FFFFFF" w:sz="0"/>
          <w:insideV w:val="none" w:color="FFFFFF" w:sz="0"/>
        </w:tblBorders>
      </w:tblPr>
      <w:tblGrid>
        <w:gridCol w:w="720"/>
        <w:gridCol w:w="8640"/>
      </w:tblGrid>
      <w:tr>
        <w:tc>
          <w:tcPr>
            <w:tcW w:type="dxa" w:w="720"/>
            <w:shd w:fill="0D1B2A" w:val="clear"/>
            <w:tcMar>
              <w:top w:type="dxa" w:w="200"/>
              <w:left w:type="dxa" w:w="100"/>
              <w:bottom w:type="dxa" w:w="200"/>
              <w:right w:type="dxa" w:w="100"/>
            </w:tcMar>
          </w:tcPr>
          <w:p>
            <w:pPr>
              <w:jc w:val="center"/>
            </w:pPr>
            <w:r>
              <w:rPr>
                <w:rFonts w:ascii="Calibri" w:cs="Calibri" w:eastAsia="Calibri" w:hAnsi="Calibri"/>
                <w:b/>
                <w:bCs/>
                <w:color w:val="C9A227"/>
                <w:sz w:val="36"/>
                <w:szCs w:val="36"/>
              </w:rPr>
              <w:t xml:space="preserve">3</w:t>
            </w:r>
          </w:p>
        </w:tc>
        <w:tc>
          <w:tcPr>
            <w:tcW w:type="dxa" w:w="8640"/>
            <w:tcMar>
              <w:top w:type="dxa" w:w="200"/>
              <w:left w:type="dxa" w:w="240"/>
              <w:bottom w:type="dxa" w:w="200"/>
              <w:right w:type="dxa" w:w="200"/>
            </w:tcMar>
          </w:tcPr>
          <w:p>
            <w:pPr>
              <w:spacing w:after="80"/>
            </w:pPr>
            <w:r>
              <w:rPr>
                <w:rFonts w:ascii="Calibri" w:cs="Calibri" w:eastAsia="Calibri" w:hAnsi="Calibri"/>
                <w:b/>
                <w:bCs/>
                <w:color w:val="0D1B2A"/>
                <w:sz w:val="26"/>
                <w:szCs w:val="26"/>
              </w:rPr>
              <w:t xml:space="preserve">Exception handling</w:t>
            </w:r>
          </w:p>
          <w:p>
            <w:pPr>
              <w:spacing w:line="340"/>
            </w:pPr>
            <w:r>
              <w:rPr>
                <w:rFonts w:ascii="Calibri" w:cs="Calibri" w:eastAsia="Calibri" w:hAnsi="Calibri"/>
                <w:color w:val="1F2933"/>
                <w:sz w:val="24"/>
                <w:szCs w:val="24"/>
              </w:rPr>
              <w:t xml:space="preserve">When a step fails, does it retry, reroute, or escalate -- without human intervention?</w:t>
            </w:r>
          </w:p>
        </w:tc>
      </w:tr>
    </w:tbl>
    <w:p>
      <w:pPr>
        <w:spacing w:after="160"/>
      </w:pPr>
      <w:r>
        <w:rPr>
          <w:rFonts w:ascii="Calibri" w:cs="Calibri" w:eastAsia="Calibri" w:hAnsi="Calibri"/>
          <w:b w:val="false"/>
          <w:bCs w:val="false"/>
          <w:i w:val="false"/>
          <w:iCs w:val="false"/>
          <w:color w:val="1F2933"/>
          <w:sz w:val="26"/>
          <w:szCs w:val="26"/>
        </w:rPr>
        <w:t xml:space="preserve"/>
      </w:r>
    </w:p>
    <w:tbl>
      <w:tblPr>
        <w:tblW w:type="dxa" w:w="9360"/>
        <w:tblBorders>
          <w:top w:val="none" w:color="FFFFFF" w:sz="0"/>
          <w:left w:val="none" w:color="FFFFFF" w:sz="0"/>
          <w:bottom w:val="single" w:color="D6E1EC" w:sz="1"/>
          <w:right w:val="none" w:color="FFFFFF" w:sz="0"/>
          <w:insideH w:val="none" w:color="FFFFFF" w:sz="0"/>
          <w:insideV w:val="none" w:color="FFFFFF" w:sz="0"/>
        </w:tblBorders>
      </w:tblPr>
      <w:tblGrid>
        <w:gridCol w:w="720"/>
        <w:gridCol w:w="8640"/>
      </w:tblGrid>
      <w:tr>
        <w:tc>
          <w:tcPr>
            <w:tcW w:type="dxa" w:w="720"/>
            <w:shd w:fill="0D1B2A" w:val="clear"/>
            <w:tcMar>
              <w:top w:type="dxa" w:w="200"/>
              <w:left w:type="dxa" w:w="100"/>
              <w:bottom w:type="dxa" w:w="200"/>
              <w:right w:type="dxa" w:w="100"/>
            </w:tcMar>
          </w:tcPr>
          <w:p>
            <w:pPr>
              <w:jc w:val="center"/>
            </w:pPr>
            <w:r>
              <w:rPr>
                <w:rFonts w:ascii="Calibri" w:cs="Calibri" w:eastAsia="Calibri" w:hAnsi="Calibri"/>
                <w:b/>
                <w:bCs/>
                <w:color w:val="C9A227"/>
                <w:sz w:val="36"/>
                <w:szCs w:val="36"/>
              </w:rPr>
              <w:t xml:space="preserve">4</w:t>
            </w:r>
          </w:p>
        </w:tc>
        <w:tc>
          <w:tcPr>
            <w:tcW w:type="dxa" w:w="8640"/>
            <w:tcMar>
              <w:top w:type="dxa" w:w="200"/>
              <w:left w:type="dxa" w:w="240"/>
              <w:bottom w:type="dxa" w:w="200"/>
              <w:right w:type="dxa" w:w="200"/>
            </w:tcMar>
          </w:tcPr>
          <w:p>
            <w:pPr>
              <w:spacing w:after="80"/>
            </w:pPr>
            <w:r>
              <w:rPr>
                <w:rFonts w:ascii="Calibri" w:cs="Calibri" w:eastAsia="Calibri" w:hAnsi="Calibri"/>
                <w:b/>
                <w:bCs/>
                <w:color w:val="0D1B2A"/>
                <w:sz w:val="26"/>
                <w:szCs w:val="26"/>
              </w:rPr>
              <w:t xml:space="preserve">Audit trail</w:t>
            </w:r>
          </w:p>
          <w:p>
            <w:pPr>
              <w:spacing w:line="340"/>
            </w:pPr>
            <w:r>
              <w:rPr>
                <w:rFonts w:ascii="Calibri" w:cs="Calibri" w:eastAsia="Calibri" w:hAnsi="Calibri"/>
                <w:color w:val="1F2933"/>
                <w:sz w:val="24"/>
                <w:szCs w:val="24"/>
              </w:rPr>
              <w:t xml:space="preserve">Can you trace every decision, every data source, every tool call after the fact?</w:t>
            </w:r>
          </w:p>
        </w:tc>
      </w:tr>
    </w:tbl>
    <w:p>
      <w:pPr>
        <w:spacing w:after="160"/>
      </w:pPr>
      <w:r>
        <w:rPr>
          <w:rFonts w:ascii="Calibri" w:cs="Calibri" w:eastAsia="Calibri" w:hAnsi="Calibri"/>
          <w:b w:val="false"/>
          <w:bCs w:val="false"/>
          <w:i w:val="false"/>
          <w:iCs w:val="false"/>
          <w:color w:val="1F2933"/>
          <w:sz w:val="26"/>
          <w:szCs w:val="26"/>
        </w:rPr>
        <w:t xml:space="preserve"/>
      </w:r>
    </w:p>
    <w:p>
      <w:pPr>
        <w:spacing w:after="100"/>
      </w:pPr>
      <w:r>
        <w:rPr>
          <w:rFonts w:ascii="Calibri" w:cs="Calibri" w:eastAsia="Calibri" w:hAnsi="Calibri"/>
          <w:b w:val="false"/>
          <w:bCs w:val="false"/>
          <w:i w:val="false"/>
          <w:iCs w:val="false"/>
          <w:color w:val="1F2933"/>
          <w:sz w:val="26"/>
          <w:szCs w:val="26"/>
        </w:rPr>
        <w:t xml:space="preserve"/>
      </w:r>
    </w:p>
    <w:p>
      <w:pPr>
        <w:pBdr>
          <w:top w:val="single" w:color="C9A227" w:sz="4" w:space="8"/>
        </w:pBdr>
        <w:spacing w:after="0" w:before="100"/>
      </w:pPr>
      <w:r>
        <w:rPr>
          <w:rFonts w:ascii="Calibri" w:cs="Calibri" w:eastAsia="Calibri" w:hAnsi="Calibri"/>
          <w:color w:val="6C757D"/>
          <w:spacing w:val="40"/>
          <w:sz w:val="16"/>
          <w:szCs w:val="16"/>
        </w:rPr>
        <w:t xml:space="preserve">ENTERPRISE.AI  //  STANDALONE ARTICLE  //  AGENT-WASHING  //  05</w:t>
      </w:r>
    </w:p>
    <w:p>
      <w:r>
        <w:br w:type="page"/>
      </w:r>
    </w:p>
    <w:p>
      <w:pPr>
        <w:pBdr>
          <w:bottom w:val="single" w:color="2874A6" w:sz="12" w:space="6"/>
        </w:pBdr>
        <w:spacing w:after="200" w:before="120"/>
      </w:pPr>
      <w:r>
        <w:rPr>
          <w:rFonts w:ascii="Calibri" w:cs="Calibri" w:eastAsia="Calibri" w:hAnsi="Calibri"/>
          <w:b/>
          <w:bCs/>
          <w:color w:val="0D1B2A"/>
          <w:spacing w:val="60"/>
          <w:sz w:val="26"/>
          <w:szCs w:val="26"/>
        </w:rPr>
        <w:t xml:space="preserve">THE SEVEN-QUESTION TEST (2 OF 2)</w:t>
      </w:r>
    </w:p>
    <w:tbl>
      <w:tblPr>
        <w:tblW w:type="dxa" w:w="9360"/>
        <w:tblBorders>
          <w:top w:val="none" w:color="FFFFFF" w:sz="0"/>
          <w:left w:val="none" w:color="FFFFFF" w:sz="0"/>
          <w:bottom w:val="single" w:color="D6E1EC" w:sz="1"/>
          <w:right w:val="none" w:color="FFFFFF" w:sz="0"/>
          <w:insideH w:val="none" w:color="FFFFFF" w:sz="0"/>
          <w:insideV w:val="none" w:color="FFFFFF" w:sz="0"/>
        </w:tblBorders>
      </w:tblPr>
      <w:tblGrid>
        <w:gridCol w:w="720"/>
        <w:gridCol w:w="8640"/>
      </w:tblGrid>
      <w:tr>
        <w:tc>
          <w:tcPr>
            <w:tcW w:type="dxa" w:w="720"/>
            <w:shd w:fill="0D1B2A" w:val="clear"/>
            <w:tcMar>
              <w:top w:type="dxa" w:w="200"/>
              <w:left w:type="dxa" w:w="100"/>
              <w:bottom w:type="dxa" w:w="200"/>
              <w:right w:type="dxa" w:w="100"/>
            </w:tcMar>
          </w:tcPr>
          <w:p>
            <w:pPr>
              <w:jc w:val="center"/>
            </w:pPr>
            <w:r>
              <w:rPr>
                <w:rFonts w:ascii="Calibri" w:cs="Calibri" w:eastAsia="Calibri" w:hAnsi="Calibri"/>
                <w:b/>
                <w:bCs/>
                <w:color w:val="C9A227"/>
                <w:sz w:val="36"/>
                <w:szCs w:val="36"/>
              </w:rPr>
              <w:t xml:space="preserve">5</w:t>
            </w:r>
          </w:p>
        </w:tc>
        <w:tc>
          <w:tcPr>
            <w:tcW w:type="dxa" w:w="8640"/>
            <w:tcMar>
              <w:top w:type="dxa" w:w="200"/>
              <w:left w:type="dxa" w:w="240"/>
              <w:bottom w:type="dxa" w:w="200"/>
              <w:right w:type="dxa" w:w="200"/>
            </w:tcMar>
          </w:tcPr>
          <w:p>
            <w:pPr>
              <w:spacing w:after="80"/>
            </w:pPr>
            <w:r>
              <w:rPr>
                <w:rFonts w:ascii="Calibri" w:cs="Calibri" w:eastAsia="Calibri" w:hAnsi="Calibri"/>
                <w:b/>
                <w:bCs/>
                <w:color w:val="0D1B2A"/>
                <w:sz w:val="26"/>
                <w:szCs w:val="26"/>
              </w:rPr>
              <w:t xml:space="preserve">Human override</w:t>
            </w:r>
          </w:p>
          <w:p>
            <w:pPr>
              <w:spacing w:line="340"/>
            </w:pPr>
            <w:r>
              <w:rPr>
                <w:rFonts w:ascii="Calibri" w:cs="Calibri" w:eastAsia="Calibri" w:hAnsi="Calibri"/>
                <w:color w:val="1F2933"/>
                <w:sz w:val="24"/>
                <w:szCs w:val="24"/>
              </w:rPr>
              <w:t xml:space="preserve">Can a human intervene at any point -- pause, correct, redirect -- without breaking the workflow?</w:t>
            </w:r>
          </w:p>
        </w:tc>
      </w:tr>
    </w:tbl>
    <w:p>
      <w:pPr>
        <w:spacing w:after="160"/>
      </w:pPr>
      <w:r>
        <w:rPr>
          <w:rFonts w:ascii="Calibri" w:cs="Calibri" w:eastAsia="Calibri" w:hAnsi="Calibri"/>
          <w:b w:val="false"/>
          <w:bCs w:val="false"/>
          <w:i w:val="false"/>
          <w:iCs w:val="false"/>
          <w:color w:val="1F2933"/>
          <w:sz w:val="26"/>
          <w:szCs w:val="26"/>
        </w:rPr>
        <w:t xml:space="preserve"/>
      </w:r>
    </w:p>
    <w:tbl>
      <w:tblPr>
        <w:tblW w:type="dxa" w:w="9360"/>
        <w:tblBorders>
          <w:top w:val="none" w:color="FFFFFF" w:sz="0"/>
          <w:left w:val="none" w:color="FFFFFF" w:sz="0"/>
          <w:bottom w:val="single" w:color="D6E1EC" w:sz="1"/>
          <w:right w:val="none" w:color="FFFFFF" w:sz="0"/>
          <w:insideH w:val="none" w:color="FFFFFF" w:sz="0"/>
          <w:insideV w:val="none" w:color="FFFFFF" w:sz="0"/>
        </w:tblBorders>
      </w:tblPr>
      <w:tblGrid>
        <w:gridCol w:w="720"/>
        <w:gridCol w:w="8640"/>
      </w:tblGrid>
      <w:tr>
        <w:tc>
          <w:tcPr>
            <w:tcW w:type="dxa" w:w="720"/>
            <w:shd w:fill="0D1B2A" w:val="clear"/>
            <w:tcMar>
              <w:top w:type="dxa" w:w="200"/>
              <w:left w:type="dxa" w:w="100"/>
              <w:bottom w:type="dxa" w:w="200"/>
              <w:right w:type="dxa" w:w="100"/>
            </w:tcMar>
          </w:tcPr>
          <w:p>
            <w:pPr>
              <w:jc w:val="center"/>
            </w:pPr>
            <w:r>
              <w:rPr>
                <w:rFonts w:ascii="Calibri" w:cs="Calibri" w:eastAsia="Calibri" w:hAnsi="Calibri"/>
                <w:b/>
                <w:bCs/>
                <w:color w:val="C9A227"/>
                <w:sz w:val="36"/>
                <w:szCs w:val="36"/>
              </w:rPr>
              <w:t xml:space="preserve">6</w:t>
            </w:r>
          </w:p>
        </w:tc>
        <w:tc>
          <w:tcPr>
            <w:tcW w:type="dxa" w:w="8640"/>
            <w:tcMar>
              <w:top w:type="dxa" w:w="200"/>
              <w:left w:type="dxa" w:w="240"/>
              <w:bottom w:type="dxa" w:w="200"/>
              <w:right w:type="dxa" w:w="200"/>
            </w:tcMar>
          </w:tcPr>
          <w:p>
            <w:pPr>
              <w:spacing w:after="80"/>
            </w:pPr>
            <w:r>
              <w:rPr>
                <w:rFonts w:ascii="Calibri" w:cs="Calibri" w:eastAsia="Calibri" w:hAnsi="Calibri"/>
                <w:b/>
                <w:bCs/>
                <w:color w:val="0D1B2A"/>
                <w:sz w:val="26"/>
                <w:szCs w:val="26"/>
              </w:rPr>
              <w:t xml:space="preserve">Persistence</w:t>
            </w:r>
          </w:p>
          <w:p>
            <w:pPr>
              <w:spacing w:line="340"/>
            </w:pPr>
            <w:r>
              <w:rPr>
                <w:rFonts w:ascii="Calibri" w:cs="Calibri" w:eastAsia="Calibri" w:hAnsi="Calibri"/>
                <w:color w:val="1F2933"/>
                <w:sz w:val="24"/>
                <w:szCs w:val="24"/>
              </w:rPr>
              <w:t xml:space="preserve">Does it maintain state across sessions, or does every conversation start from scratch?</w:t>
            </w:r>
          </w:p>
        </w:tc>
      </w:tr>
    </w:tbl>
    <w:p>
      <w:pPr>
        <w:spacing w:after="160"/>
      </w:pPr>
      <w:r>
        <w:rPr>
          <w:rFonts w:ascii="Calibri" w:cs="Calibri" w:eastAsia="Calibri" w:hAnsi="Calibri"/>
          <w:b w:val="false"/>
          <w:bCs w:val="false"/>
          <w:i w:val="false"/>
          <w:iCs w:val="false"/>
          <w:color w:val="1F2933"/>
          <w:sz w:val="26"/>
          <w:szCs w:val="26"/>
        </w:rPr>
        <w:t xml:space="preserve"/>
      </w:r>
    </w:p>
    <w:tbl>
      <w:tblPr>
        <w:tblW w:type="dxa" w:w="9360"/>
        <w:tblBorders>
          <w:top w:val="none" w:color="FFFFFF" w:sz="0"/>
          <w:left w:val="none" w:color="FFFFFF" w:sz="0"/>
          <w:bottom w:val="single" w:color="D6E1EC" w:sz="1"/>
          <w:right w:val="none" w:color="FFFFFF" w:sz="0"/>
          <w:insideH w:val="none" w:color="FFFFFF" w:sz="0"/>
          <w:insideV w:val="none" w:color="FFFFFF" w:sz="0"/>
        </w:tblBorders>
      </w:tblPr>
      <w:tblGrid>
        <w:gridCol w:w="720"/>
        <w:gridCol w:w="8640"/>
      </w:tblGrid>
      <w:tr>
        <w:tc>
          <w:tcPr>
            <w:tcW w:type="dxa" w:w="720"/>
            <w:shd w:fill="0D1B2A" w:val="clear"/>
            <w:tcMar>
              <w:top w:type="dxa" w:w="200"/>
              <w:left w:type="dxa" w:w="100"/>
              <w:bottom w:type="dxa" w:w="200"/>
              <w:right w:type="dxa" w:w="100"/>
            </w:tcMar>
          </w:tcPr>
          <w:p>
            <w:pPr>
              <w:jc w:val="center"/>
            </w:pPr>
            <w:r>
              <w:rPr>
                <w:rFonts w:ascii="Calibri" w:cs="Calibri" w:eastAsia="Calibri" w:hAnsi="Calibri"/>
                <w:b/>
                <w:bCs/>
                <w:color w:val="C9A227"/>
                <w:sz w:val="36"/>
                <w:szCs w:val="36"/>
              </w:rPr>
              <w:t xml:space="preserve">7</w:t>
            </w:r>
          </w:p>
        </w:tc>
        <w:tc>
          <w:tcPr>
            <w:tcW w:type="dxa" w:w="8640"/>
            <w:tcMar>
              <w:top w:type="dxa" w:w="200"/>
              <w:left w:type="dxa" w:w="240"/>
              <w:bottom w:type="dxa" w:w="200"/>
              <w:right w:type="dxa" w:w="200"/>
            </w:tcMar>
          </w:tcPr>
          <w:p>
            <w:pPr>
              <w:spacing w:after="80"/>
            </w:pPr>
            <w:r>
              <w:rPr>
                <w:rFonts w:ascii="Calibri" w:cs="Calibri" w:eastAsia="Calibri" w:hAnsi="Calibri"/>
                <w:b/>
                <w:bCs/>
                <w:color w:val="0D1B2A"/>
                <w:sz w:val="26"/>
                <w:szCs w:val="26"/>
              </w:rPr>
              <w:t xml:space="preserve">Failure mode</w:t>
            </w:r>
          </w:p>
          <w:p>
            <w:pPr>
              <w:spacing w:line="340"/>
            </w:pPr>
            <w:r>
              <w:rPr>
                <w:rFonts w:ascii="Calibri" w:cs="Calibri" w:eastAsia="Calibri" w:hAnsi="Calibri"/>
                <w:color w:val="1F2933"/>
                <w:sz w:val="24"/>
                <w:szCs w:val="24"/>
              </w:rPr>
              <w:t xml:space="preserve">When it fails, does it fail gracefully -- or does it hallucinate, loop, or silently drop tasks?</w:t>
            </w:r>
          </w:p>
        </w:tc>
      </w:tr>
    </w:tbl>
    <w:p>
      <w:pPr>
        <w:spacing w:after="160"/>
      </w:pPr>
      <w:r>
        <w:rPr>
          <w:rFonts w:ascii="Calibri" w:cs="Calibri" w:eastAsia="Calibri" w:hAnsi="Calibri"/>
          <w:b w:val="false"/>
          <w:bCs w:val="false"/>
          <w:i w:val="false"/>
          <w:iCs w:val="false"/>
          <w:color w:val="1F2933"/>
          <w:sz w:val="26"/>
          <w:szCs w:val="26"/>
        </w:rPr>
        <w:t xml:space="preserve"/>
      </w:r>
    </w:p>
    <w:p>
      <w:pPr>
        <w:spacing w:after="100"/>
      </w:pPr>
      <w:r>
        <w:rPr>
          <w:rFonts w:ascii="Calibri" w:cs="Calibri" w:eastAsia="Calibri" w:hAnsi="Calibri"/>
          <w:b w:val="false"/>
          <w:bCs w:val="false"/>
          <w:i w:val="false"/>
          <w:iCs w:val="false"/>
          <w:color w:val="1F2933"/>
          <w:sz w:val="26"/>
          <w:szCs w:val="26"/>
        </w:rPr>
        <w:t xml:space="preserve"/>
      </w:r>
    </w:p>
    <w:p>
      <w:pPr>
        <w:pBdr>
          <w:top w:val="single" w:color="C9A227" w:sz="4" w:space="8"/>
        </w:pBdr>
        <w:spacing w:after="0" w:before="100"/>
      </w:pPr>
      <w:r>
        <w:rPr>
          <w:rFonts w:ascii="Calibri" w:cs="Calibri" w:eastAsia="Calibri" w:hAnsi="Calibri"/>
          <w:color w:val="6C757D"/>
          <w:spacing w:val="40"/>
          <w:sz w:val="16"/>
          <w:szCs w:val="16"/>
        </w:rPr>
        <w:t xml:space="preserve">ENTERPRISE.AI  //  STANDALONE ARTICLE  //  AGENT-WASHING  //  06</w:t>
      </w:r>
    </w:p>
    <w:p>
      <w:r>
        <w:br w:type="page"/>
      </w:r>
    </w:p>
    <w:p>
      <w:pPr>
        <w:pBdr>
          <w:bottom w:val="single" w:color="2874A6" w:sz="12" w:space="6"/>
        </w:pBdr>
        <w:spacing w:after="200" w:before="120"/>
      </w:pPr>
      <w:r>
        <w:rPr>
          <w:rFonts w:ascii="Calibri" w:cs="Calibri" w:eastAsia="Calibri" w:hAnsi="Calibri"/>
          <w:b/>
          <w:bCs/>
          <w:color w:val="0D1B2A"/>
          <w:spacing w:val="60"/>
          <w:sz w:val="26"/>
          <w:szCs w:val="26"/>
        </w:rPr>
        <w:t xml:space="preserve">THE ADVISORY CONVERSATION</w:t>
      </w:r>
    </w:p>
    <w:p>
      <w:pPr>
        <w:spacing w:after="300" w:before="0" w:line="340"/>
        <w:jc w:val="left"/>
      </w:pPr>
      <w:r>
        <w:rPr>
          <w:rFonts w:ascii="Calibri" w:cs="Calibri" w:eastAsia="Calibri" w:hAnsi="Calibri"/>
          <w:b w:val="false"/>
          <w:bCs w:val="false"/>
          <w:i/>
          <w:iCs/>
          <w:color w:val="1F2933"/>
          <w:sz w:val="28"/>
          <w:szCs w:val="28"/>
        </w:rPr>
        <w:t xml:space="preserve">The questions a board should be asking right now.</w:t>
      </w:r>
    </w:p>
    <w:p>
      <w:pPr>
        <w:pBdr>
          <w:left w:val="single" w:color="C9A227" w:sz="12" w:space="8"/>
        </w:pBdr>
        <w:spacing w:after="80" w:before="200"/>
        <w:ind w:left="200"/>
      </w:pPr>
      <w:r>
        <w:rPr>
          <w:rFonts w:ascii="Calibri" w:cs="Calibri" w:eastAsia="Calibri" w:hAnsi="Calibri"/>
          <w:b/>
          <w:bCs/>
          <w:color w:val="0D1B2A"/>
          <w:sz w:val="26"/>
          <w:szCs w:val="26"/>
        </w:rPr>
        <w:t xml:space="preserve">How do we know if what we are buying is genuinely agentic?</w:t>
      </w:r>
    </w:p>
    <w:p>
      <w:pPr>
        <w:spacing w:after="160"/>
        <w:ind w:left="200"/>
      </w:pPr>
      <w:r>
        <w:rPr>
          <w:rFonts w:ascii="Calibri" w:cs="Calibri" w:eastAsia="Calibri" w:hAnsi="Calibri"/>
          <w:color w:val="1B4F72"/>
          <w:sz w:val="24"/>
          <w:szCs w:val="24"/>
        </w:rPr>
        <w:t xml:space="preserve">Run the seven-question test in the room with the engineers. If they cannot demo goal decomposition, cross-system orchestration, and exception handling live, it is not an agent.</w:t>
      </w:r>
    </w:p>
    <w:p>
      <w:pPr>
        <w:pBdr>
          <w:left w:val="single" w:color="C9A227" w:sz="12" w:space="8"/>
        </w:pBdr>
        <w:spacing w:after="80" w:before="200"/>
        <w:ind w:left="200"/>
      </w:pPr>
      <w:r>
        <w:rPr>
          <w:rFonts w:ascii="Calibri" w:cs="Calibri" w:eastAsia="Calibri" w:hAnsi="Calibri"/>
          <w:b/>
          <w:bCs/>
          <w:color w:val="0D1B2A"/>
          <w:sz w:val="26"/>
          <w:szCs w:val="26"/>
        </w:rPr>
        <w:t xml:space="preserve">What is the governance risk?</w:t>
      </w:r>
    </w:p>
    <w:p>
      <w:pPr>
        <w:spacing w:after="160"/>
        <w:ind w:left="200"/>
      </w:pPr>
      <w:r>
        <w:rPr>
          <w:rFonts w:ascii="Calibri" w:cs="Calibri" w:eastAsia="Calibri" w:hAnsi="Calibri"/>
          <w:color w:val="1B4F72"/>
          <w:sz w:val="24"/>
          <w:szCs w:val="24"/>
        </w:rPr>
        <w:t xml:space="preserve">Agent-washing inflates procurement spend, creates audit gaps, and exposes you to regulatory action under the EU AI Act. The risk is not just financial -- it is reputational.</w:t>
      </w:r>
    </w:p>
    <w:p>
      <w:pPr>
        <w:pBdr>
          <w:left w:val="single" w:color="C9A227" w:sz="12" w:space="8"/>
        </w:pBdr>
        <w:spacing w:after="80" w:before="200"/>
        <w:ind w:left="200"/>
      </w:pPr>
      <w:r>
        <w:rPr>
          <w:rFonts w:ascii="Calibri" w:cs="Calibri" w:eastAsia="Calibri" w:hAnsi="Calibri"/>
          <w:b/>
          <w:bCs/>
          <w:color w:val="0D1B2A"/>
          <w:sz w:val="26"/>
          <w:szCs w:val="26"/>
        </w:rPr>
        <w:t xml:space="preserve">What should we do next?</w:t>
      </w:r>
    </w:p>
    <w:p>
      <w:pPr>
        <w:spacing w:after="160"/>
        <w:ind w:left="200"/>
      </w:pPr>
      <w:r>
        <w:rPr>
          <w:rFonts w:ascii="Calibri" w:cs="Calibri" w:eastAsia="Calibri" w:hAnsi="Calibri"/>
          <w:color w:val="1B4F72"/>
          <w:sz w:val="24"/>
          <w:szCs w:val="24"/>
        </w:rPr>
        <w:t xml:space="preserve">Mandate the seven-question test in every AI vendor evaluation. Build an internal taxonomy. Require live demos -- not slide decks.</w:t>
      </w:r>
    </w:p>
    <w:p>
      <w:pPr>
        <w:spacing w:after="100"/>
      </w:pPr>
      <w:r>
        <w:rPr>
          <w:rFonts w:ascii="Calibri" w:cs="Calibri" w:eastAsia="Calibri" w:hAnsi="Calibri"/>
          <w:b w:val="false"/>
          <w:bCs w:val="false"/>
          <w:i w:val="false"/>
          <w:iCs w:val="false"/>
          <w:color w:val="1F2933"/>
          <w:sz w:val="26"/>
          <w:szCs w:val="26"/>
        </w:rPr>
        <w:t xml:space="preserve"/>
      </w:r>
    </w:p>
    <w:p>
      <w:pPr>
        <w:pBdr>
          <w:top w:val="single" w:color="C9A227" w:sz="4" w:space="8"/>
        </w:pBdr>
        <w:spacing w:after="0" w:before="100"/>
      </w:pPr>
      <w:r>
        <w:rPr>
          <w:rFonts w:ascii="Calibri" w:cs="Calibri" w:eastAsia="Calibri" w:hAnsi="Calibri"/>
          <w:color w:val="6C757D"/>
          <w:spacing w:val="40"/>
          <w:sz w:val="16"/>
          <w:szCs w:val="16"/>
        </w:rPr>
        <w:t xml:space="preserve">ENTERPRISE.AI  //  STANDALONE ARTICLE  //  AGENT-WASHING  //  07</w:t>
      </w:r>
    </w:p>
    <w:p>
      <w:r>
        <w:br w:type="page"/>
      </w:r>
    </w:p>
    <w:p>
      <w:pPr>
        <w:pBdr>
          <w:bottom w:val="single" w:color="2874A6" w:sz="12" w:space="6"/>
        </w:pBdr>
        <w:spacing w:after="200" w:before="120"/>
      </w:pPr>
      <w:r>
        <w:rPr>
          <w:rFonts w:ascii="Calibri" w:cs="Calibri" w:eastAsia="Calibri" w:hAnsi="Calibri"/>
          <w:b/>
          <w:bCs/>
          <w:color w:val="0D1B2A"/>
          <w:spacing w:val="60"/>
          <w:sz w:val="26"/>
          <w:szCs w:val="26"/>
        </w:rPr>
        <w:t xml:space="preserve">THE BOTTOM LINE</w:t>
      </w:r>
    </w:p>
    <w:tbl>
      <w:tblPr>
        <w:tblW w:type="dxa" w:w="9360"/>
        <w:tblBorders>
          <w:top w:val="single" w:color="2874A6" w:sz="1"/>
          <w:left w:val="single" w:color="C9A227" w:sz="24"/>
          <w:bottom w:val="single" w:color="2874A6" w:sz="1"/>
          <w:right w:val="single" w:color="2874A6" w:sz="1"/>
          <w:insideH w:val="none" w:color="FFFFFF" w:sz="0"/>
          <w:insideV w:val="none" w:color="FFFFFF" w:sz="0"/>
        </w:tblBorders>
      </w:tblPr>
      <w:tblGrid>
        <w:gridCol w:w="9360"/>
      </w:tblGrid>
      <w:tr>
        <w:tc>
          <w:tcPr>
            <w:tcW w:type="dxa" w:w="9360"/>
            <w:shd w:fill="F2F6FA" w:val="clear"/>
            <w:tcMar>
              <w:top w:type="dxa" w:w="240"/>
              <w:left w:type="dxa" w:w="300"/>
              <w:bottom w:type="dxa" w:w="240"/>
              <w:right w:type="dxa" w:w="300"/>
            </w:tcMar>
          </w:tcPr>
          <w:p>
            <w:pPr>
              <w:spacing w:line="360"/>
            </w:pPr>
            <w:r>
              <w:rPr>
                <w:rFonts w:ascii="Calibri" w:cs="Calibri" w:eastAsia="Calibri" w:hAnsi="Calibri"/>
                <w:b/>
                <w:bCs/>
                <w:i w:val="false"/>
                <w:iCs w:val="false"/>
                <w:color w:val="0D1B2A"/>
                <w:sz w:val="30"/>
                <w:szCs w:val="30"/>
              </w:rPr>
              <w:t xml:space="preserve">Agent-washing is not a marketing problem. It is a procurement risk, a governance gap, and a board-level issue. Treat it accordingly.</w:t>
            </w:r>
          </w:p>
        </w:tc>
      </w:tr>
    </w:tbl>
    <w:p>
      <w:pPr>
        <w:spacing w:after="200"/>
      </w:pPr>
      <w:r>
        <w:rPr>
          <w:rFonts w:ascii="Calibri" w:cs="Calibri" w:eastAsia="Calibri" w:hAnsi="Calibri"/>
          <w:b w:val="false"/>
          <w:bCs w:val="false"/>
          <w:i w:val="false"/>
          <w:iCs w:val="false"/>
          <w:color w:val="1F2933"/>
          <w:sz w:val="26"/>
          <w:szCs w:val="26"/>
        </w:rPr>
        <w:t xml:space="preserve"/>
      </w:r>
    </w:p>
    <w:p>
      <w:pPr>
        <w:spacing w:after="300"/>
      </w:pPr>
      <w:r>
        <w:rPr>
          <w:rFonts w:ascii="Calibri" w:cs="Calibri" w:eastAsia="Calibri" w:hAnsi="Calibri"/>
          <w:b w:val="false"/>
          <w:bCs w:val="false"/>
          <w:i w:val="false"/>
          <w:iCs w:val="false"/>
          <w:color w:val="1F2933"/>
          <w:sz w:val="26"/>
          <w:szCs w:val="26"/>
        </w:rPr>
        <w:t xml:space="preserve"/>
      </w:r>
    </w:p>
    <w:p>
      <w:pPr>
        <w:spacing w:after="280" w:before="0" w:line="340"/>
        <w:jc w:val="left"/>
      </w:pPr>
      <w:r>
        <w:rPr>
          <w:rFonts w:ascii="Calibri" w:cs="Calibri" w:eastAsia="Calibri" w:hAnsi="Calibri"/>
          <w:b w:val="false"/>
          <w:bCs w:val="false"/>
          <w:i w:val="false"/>
          <w:iCs w:val="false"/>
          <w:color w:val="1F2933"/>
          <w:sz w:val="26"/>
          <w:szCs w:val="26"/>
        </w:rPr>
        <w:t xml:space="preserve">If you are evaluating agentic AI vendors, deploying agents into regulated workflows, or advising a board on AI strategy -- I would welcome the conversation.</w:t>
      </w:r>
    </w:p>
    <w:p>
      <w:pPr>
        <w:spacing w:after="200"/>
      </w:pPr>
      <w:r>
        <w:rPr>
          <w:rFonts w:ascii="Calibri" w:cs="Calibri" w:eastAsia="Calibri" w:hAnsi="Calibri"/>
          <w:b w:val="false"/>
          <w:bCs w:val="false"/>
          <w:i w:val="false"/>
          <w:iCs w:val="false"/>
          <w:color w:val="1F2933"/>
          <w:sz w:val="26"/>
          <w:szCs w:val="26"/>
        </w:rPr>
        <w:t xml:space="preserve"/>
      </w:r>
    </w:p>
    <w:tbl>
      <w:tblPr>
        <w:tblW w:type="dxa" w:w="9360"/>
        <w:tblBorders>
          <w:top w:val="single" w:color="2874A6" w:sz="1"/>
          <w:left w:val="single" w:color="2874A6" w:sz="24"/>
          <w:bottom w:val="single" w:color="2874A6" w:sz="1"/>
          <w:right w:val="single" w:color="2874A6" w:sz="1"/>
          <w:insideH w:val="none" w:color="FFFFFF" w:sz="0"/>
          <w:insideV w:val="none" w:color="FFFFFF" w:sz="0"/>
        </w:tblBorders>
      </w:tblPr>
      <w:tblGrid>
        <w:gridCol w:w="9360"/>
      </w:tblGrid>
      <w:tr>
        <w:tc>
          <w:tcPr>
            <w:tcW w:type="dxa" w:w="9360"/>
            <w:shd w:fill="F2F6FA" w:val="clear"/>
            <w:tcMar>
              <w:top w:type="dxa" w:w="240"/>
              <w:left w:type="dxa" w:w="300"/>
              <w:bottom w:type="dxa" w:w="240"/>
              <w:right w:type="dxa" w:w="300"/>
            </w:tcMar>
          </w:tcPr>
          <w:p>
            <w:pPr>
              <w:spacing w:line="360"/>
            </w:pPr>
            <w:r>
              <w:rPr>
                <w:rFonts w:ascii="Calibri" w:cs="Calibri" w:eastAsia="Calibri" w:hAnsi="Calibri"/>
                <w:b/>
                <w:bCs/>
                <w:i w:val="false"/>
                <w:iCs w:val="false"/>
                <w:color w:val="2874A6"/>
                <w:sz w:val="24"/>
                <w:szCs w:val="24"/>
              </w:rPr>
              <w:t xml:space="preserve">rodney@bost.sa  //  theenterpriseai.co.uk</w:t>
            </w:r>
          </w:p>
        </w:tc>
      </w:tr>
    </w:tbl>
    <w:p>
      <w:pPr>
        <w:spacing w:after="200"/>
      </w:pPr>
      <w:r>
        <w:rPr>
          <w:rFonts w:ascii="Calibri" w:cs="Calibri" w:eastAsia="Calibri" w:hAnsi="Calibri"/>
          <w:b w:val="false"/>
          <w:bCs w:val="false"/>
          <w:i w:val="false"/>
          <w:iCs w:val="false"/>
          <w:color w:val="1F2933"/>
          <w:sz w:val="26"/>
          <w:szCs w:val="26"/>
        </w:rPr>
        <w:t xml:space="preserve"/>
      </w:r>
    </w:p>
    <w:p>
      <w:pPr>
        <w:spacing w:after="100"/>
      </w:pPr>
      <w:r>
        <w:rPr>
          <w:rFonts w:ascii="Calibri" w:cs="Calibri" w:eastAsia="Calibri" w:hAnsi="Calibri"/>
          <w:b w:val="false"/>
          <w:bCs w:val="false"/>
          <w:i w:val="false"/>
          <w:iCs w:val="false"/>
          <w:color w:val="1F2933"/>
          <w:sz w:val="26"/>
          <w:szCs w:val="26"/>
        </w:rPr>
        <w:t xml:space="preserve"/>
      </w:r>
    </w:p>
    <w:p>
      <w:pPr>
        <w:pBdr>
          <w:top w:val="single" w:color="C9A227" w:sz="4" w:space="8"/>
        </w:pBdr>
        <w:spacing w:after="0" w:before="100"/>
      </w:pPr>
      <w:r>
        <w:rPr>
          <w:rFonts w:ascii="Calibri" w:cs="Calibri" w:eastAsia="Calibri" w:hAnsi="Calibri"/>
          <w:color w:val="6C757D"/>
          <w:spacing w:val="40"/>
          <w:sz w:val="16"/>
          <w:szCs w:val="16"/>
        </w:rPr>
        <w:t xml:space="preserve">ENTERPRISE.AI  //  STANDALONE ARTICLE  //  AGENT-WASHING  //  08</w:t>
      </w:r>
    </w:p>
    <w:p>
      <w:r>
        <w:br w:type="page"/>
      </w:r>
    </w:p>
    <w:p>
      <w:pPr>
        <w:spacing w:after="600"/>
      </w:pPr>
      <w:r>
        <w:rPr>
          <w:rFonts w:ascii="Calibri" w:cs="Calibri" w:eastAsia="Calibri" w:hAnsi="Calibri"/>
          <w:b w:val="false"/>
          <w:bCs w:val="false"/>
          <w:i w:val="false"/>
          <w:iCs w:val="false"/>
          <w:color w:val="1F2933"/>
          <w:sz w:val="26"/>
          <w:szCs w:val="26"/>
        </w:rPr>
        <w:t xml:space="preserve"/>
      </w:r>
    </w:p>
    <w:p>
      <w:pPr>
        <w:spacing w:after="100"/>
        <w:jc w:val="center"/>
      </w:pPr>
      <w:r>
        <w:rPr>
          <w:rFonts w:ascii="Calibri" w:cs="Calibri" w:eastAsia="Calibri" w:hAnsi="Calibri"/>
          <w:b/>
          <w:bCs/>
          <w:color w:val="0D1B2A"/>
          <w:spacing w:val="120"/>
          <w:sz w:val="56"/>
          <w:szCs w:val="56"/>
        </w:rPr>
        <w:t xml:space="preserve">ENTERPRISE.AI</w:t>
      </w:r>
    </w:p>
    <w:p>
      <w:pPr>
        <w:pBdr>
          <w:bottom w:val="single" w:color="C9A227" w:sz="6" w:space="12"/>
        </w:pBdr>
        <w:spacing w:after="300"/>
        <w:jc w:val="center"/>
      </w:pPr>
      <w:r>
        <w:rPr>
          <w:rFonts w:ascii="Calibri" w:cs="Calibri" w:eastAsia="Calibri" w:hAnsi="Calibri"/>
          <w:b/>
          <w:bCs/>
          <w:color w:val="C9A227"/>
          <w:spacing w:val="160"/>
          <w:sz w:val="22"/>
          <w:szCs w:val="22"/>
        </w:rPr>
        <w:t xml:space="preserve">SCALE  ·  GOVERN  ·  UNLOCK</w:t>
      </w:r>
    </w:p>
    <w:p>
      <w:pPr>
        <w:spacing w:after="200"/>
      </w:pPr>
      <w:r>
        <w:rPr>
          <w:rFonts w:ascii="Calibri" w:cs="Calibri" w:eastAsia="Calibri" w:hAnsi="Calibri"/>
          <w:b w:val="false"/>
          <w:bCs w:val="false"/>
          <w:i w:val="false"/>
          <w:iCs w:val="false"/>
          <w:color w:val="1F2933"/>
          <w:sz w:val="26"/>
          <w:szCs w:val="26"/>
        </w:rPr>
        <w:t xml:space="preserve"/>
      </w:r>
    </w:p>
    <w:p>
      <w:pPr>
        <w:spacing w:after="80"/>
        <w:jc w:val="center"/>
      </w:pPr>
      <w:r>
        <w:rPr>
          <w:rFonts w:ascii="Calibri" w:cs="Calibri" w:eastAsia="Calibri" w:hAnsi="Calibri"/>
          <w:color w:val="1B4F72"/>
          <w:sz w:val="28"/>
          <w:szCs w:val="28"/>
        </w:rPr>
        <w:t xml:space="preserve">AI Builder and Advisor</w:t>
      </w:r>
    </w:p>
    <w:p>
      <w:pPr>
        <w:spacing w:after="80"/>
        <w:jc w:val="center"/>
      </w:pPr>
      <w:r>
        <w:rPr>
          <w:rFonts w:ascii="Calibri" w:cs="Calibri" w:eastAsia="Calibri" w:hAnsi="Calibri"/>
          <w:color w:val="6C757D"/>
          <w:sz w:val="22"/>
          <w:szCs w:val="22"/>
        </w:rPr>
        <w:t xml:space="preserve">Banking  ·  Capital Markets  ·  Insurance  ·  Investment Management</w:t>
      </w:r>
    </w:p>
    <w:p>
      <w:pPr>
        <w:spacing w:after="80"/>
        <w:jc w:val="center"/>
      </w:pPr>
      <w:r>
        <w:rPr>
          <w:rFonts w:ascii="Calibri" w:cs="Calibri" w:eastAsia="Calibri" w:hAnsi="Calibri"/>
          <w:color w:val="6C757D"/>
          <w:sz w:val="22"/>
          <w:szCs w:val="22"/>
        </w:rPr>
        <w:t xml:space="preserve">Middle East  ·  Europe</w:t>
      </w:r>
    </w:p>
    <w:p>
      <w:pPr>
        <w:spacing w:after="400"/>
      </w:pPr>
      <w:r>
        <w:rPr>
          <w:rFonts w:ascii="Calibri" w:cs="Calibri" w:eastAsia="Calibri" w:hAnsi="Calibri"/>
          <w:b w:val="false"/>
          <w:bCs w:val="false"/>
          <w:i w:val="false"/>
          <w:iCs w:val="false"/>
          <w:color w:val="1F2933"/>
          <w:sz w:val="26"/>
          <w:szCs w:val="26"/>
        </w:rPr>
        <w:t xml:space="preserve"/>
      </w:r>
    </w:p>
    <w:p>
      <w:pPr>
        <w:spacing w:after="80"/>
        <w:jc w:val="center"/>
      </w:pPr>
      <w:r>
        <w:rPr>
          <w:rFonts w:ascii="Calibri" w:cs="Calibri" w:eastAsia="Calibri" w:hAnsi="Calibri"/>
          <w:color w:val="2874A6"/>
          <w:sz w:val="20"/>
          <w:szCs w:val="20"/>
        </w:rPr>
        <w:t xml:space="preserve">theenterpriseai.co.uk</w:t>
      </w:r>
    </w:p>
    <w:p>
      <w:pPr>
        <w:spacing w:after="80"/>
        <w:jc w:val="center"/>
      </w:pPr>
      <w:r>
        <w:rPr>
          <w:rFonts w:ascii="Calibri" w:cs="Calibri" w:eastAsia="Calibri" w:hAnsi="Calibri"/>
          <w:color w:val="2874A6"/>
          <w:sz w:val="20"/>
          <w:szCs w:val="20"/>
        </w:rPr>
        <w:t xml:space="preserve">rodney@bost.sa</w:t>
      </w:r>
    </w:p>
    <w:p>
      <w:pPr>
        <w:spacing w:after="80"/>
        <w:jc w:val="center"/>
      </w:pPr>
      <w:r>
        <w:rPr>
          <w:rFonts w:ascii="Calibri" w:cs="Calibri" w:eastAsia="Calibri" w:hAnsi="Calibri"/>
          <w:color w:val="2874A6"/>
          <w:sz w:val="20"/>
          <w:szCs w:val="20"/>
        </w:rPr>
        <w:t xml:space="preserve">linkedin.com/in/rodneycoutinho</w:t>
      </w:r>
    </w:p>
    <w:p>
      <w:pPr>
        <w:spacing w:after="300"/>
      </w:pPr>
      <w:r>
        <w:rPr>
          <w:rFonts w:ascii="Calibri" w:cs="Calibri" w:eastAsia="Calibri" w:hAnsi="Calibri"/>
          <w:b w:val="false"/>
          <w:bCs w:val="false"/>
          <w:i w:val="false"/>
          <w:iCs w:val="false"/>
          <w:color w:val="1F2933"/>
          <w:sz w:val="26"/>
          <w:szCs w:val="26"/>
        </w:rPr>
        <w:t xml:space="preserve"/>
      </w:r>
    </w:p>
    <w:p>
      <w:pPr>
        <w:spacing w:after="80"/>
        <w:jc w:val="center"/>
      </w:pPr>
      <w:r>
        <w:rPr>
          <w:rFonts w:ascii="Calibri" w:cs="Calibri" w:eastAsia="Calibri" w:hAnsi="Calibri"/>
          <w:color w:val="6C757D"/>
          <w:sz w:val="16"/>
          <w:szCs w:val="16"/>
        </w:rPr>
        <w:t xml:space="preserve">ENTERPRISE.AI  //  STANDALONE ARTICLE  //  AGENT-WASHING</w:t>
      </w:r>
    </w:p>
    <w:sectPr>
      <w:pgSz w:w="12240" w:h="15840" w:orient="portrait"/>
      <w:pgMar w:top="1080" w:right="1440" w:bottom="72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9e4e76b4ad436f7fd16b1834431bd2b410c90cb1.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Agent-Washing: How to Spot It Before It Costs You Millions</dc:title>
  <dc:creator>Rodney Coutinho</dc:creator>
  <cp:lastModifiedBy>Un-named</cp:lastModifiedBy>
  <cp:revision>1</cp:revision>
  <dcterms:created xsi:type="dcterms:W3CDTF">2026-07-16T13:03:18.832Z</dcterms:created>
  <dcterms:modified xsi:type="dcterms:W3CDTF">2026-07-16T13:03:18.832Z</dcterms:modified>
</cp:coreProperties>
</file>

<file path=docProps/custom.xml><?xml version="1.0" encoding="utf-8"?>
<Properties xmlns="http://schemas.openxmlformats.org/officeDocument/2006/custom-properties" xmlns:vt="http://schemas.openxmlformats.org/officeDocument/2006/docPropsVTypes"/>
</file>