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Georgia" w:cs="Georgia" w:eastAsia="Georgia" w:hAnsi="Georgia"/>
          <w:b/>
          <w:bCs/>
          <w:color w:val="0D1B2A"/>
          <w:sz w:val="48"/>
          <w:szCs w:val="48"/>
        </w:rPr>
        <w:t xml:space="preserve">Enterprise.AI</w:t>
      </w:r>
    </w:p>
    <w:p>
      <w:pPr>
        <w:spacing w:after="200"/>
        <w:jc w:val="center"/>
      </w:pPr>
      <w:r>
        <w:rPr>
          <w:b/>
          <w:bCs/>
          <w:color w:val="006B5E"/>
          <w:sz w:val="22"/>
          <w:szCs w:val="22"/>
        </w:rPr>
        <w:t xml:space="preserve">SCALE · GOVERN · UNLOCK</w:t>
      </w:r>
    </w:p>
    <w:p>
      <w:pPr>
        <w:pBdr>
          <w:bottom w:val="single" w:color="006B5E" w:sz="6" w:space="8"/>
        </w:pBdr>
        <w:spacing w:after="400"/>
        <w:jc w:val="center"/>
      </w:pPr>
      <w:r>
        <w:rPr>
          <w:b/>
          <w:bCs/>
          <w:color w:val="0D1B2A"/>
          <w:sz w:val="28"/>
          <w:szCs w:val="28"/>
        </w:rPr>
        <w:t xml:space="preserve">Video Script — 90-Second Explainer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Format: </w:t>
      </w:r>
      <w:r>
        <w:rPr>
          <w:sz w:val="20"/>
          <w:szCs w:val="20"/>
        </w:rPr>
        <w:t xml:space="preserve">Voiceover + Motion Graphics / Kinetic Data Animation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Duration: </w:t>
      </w:r>
      <w:r>
        <w:rPr>
          <w:sz w:val="20"/>
          <w:szCs w:val="20"/>
        </w:rPr>
        <w:t xml:space="preserve">85–90 seconds</w:t>
      </w:r>
    </w:p>
    <w:p>
      <w:pPr>
        <w:spacing w:after="60"/>
      </w:pPr>
      <w:r>
        <w:rPr>
          <w:b/>
          <w:bCs/>
          <w:sz w:val="20"/>
          <w:szCs w:val="20"/>
        </w:rPr>
        <w:t xml:space="preserve">Tone: </w:t>
      </w:r>
      <w:r>
        <w:rPr>
          <w:sz w:val="20"/>
          <w:szCs w:val="20"/>
        </w:rPr>
        <w:t xml:space="preserve">Authoritative, measured, premium. Think McKinsey meets Bloomberg.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Music: </w:t>
      </w:r>
      <w:r>
        <w:rPr>
          <w:sz w:val="20"/>
          <w:szCs w:val="20"/>
        </w:rPr>
        <w:t xml:space="preserve">Subtle ambient electronic, building through sections. No drums until the CTA.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Audience: </w:t>
      </w:r>
      <w:r>
        <w:rPr>
          <w:sz w:val="20"/>
          <w:szCs w:val="20"/>
        </w:rPr>
        <w:t xml:space="preserve">CEOs, CROs, CDOs, Board members at Gulf FS institutions.</w:t>
      </w:r>
    </w:p>
    <w:p>
      <w:r>
        <w:br w:type="page"/>
      </w:r>
    </w:p>
    <w:p>
      <w:pPr>
        <w:pStyle w:val="Heading1"/>
      </w:pPr>
      <w:r>
        <w:t xml:space="preserve">Scene 1: The Stakes</w:t>
      </w:r>
    </w:p>
    <w:p>
      <w:pPr>
        <w:spacing w:after="60"/>
      </w:pPr>
      <w:r>
        <w:rPr>
          <w:b/>
          <w:bCs/>
          <w:color w:val="006B5E"/>
          <w:sz w:val="20"/>
          <w:szCs w:val="20"/>
        </w:rPr>
        <w:t xml:space="preserve">[0:00 – 0:18]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EDE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006B5E"/>
                <w:sz w:val="20"/>
                <w:szCs w:val="20"/>
              </w:rPr>
              <w:t xml:space="preserve">VISUALS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Aerial footage of Riyadh skyline (KAFD) at dawn. Camera slowly pulls back. Data particles begin flowing across the cityscape.</w:t>
            </w:r>
          </w:p>
          <w:p>
            <w:r>
              <w:rPr>
                <w:sz w:val="18"/>
                <w:szCs w:val="18"/>
              </w:rPr>
              <w:t xml:space="preserve">Counter animates: SAR 40.8B appears in large kinetic type.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0D1B2A"/>
                <w:sz w:val="20"/>
                <w:szCs w:val="20"/>
              </w:rPr>
              <w:t xml:space="preserve">VOICEOVER</w:t>
            </w:r>
          </w:p>
          <w:p>
            <w:pPr>
              <w:spacing w:after="80"/>
            </w:pPr>
            <w:r>
              <w:rPr>
                <w:i/>
                <w:iCs/>
                <w:sz w:val="20"/>
                <w:szCs w:val="20"/>
              </w:rPr>
              <w:t xml:space="preserve">Saudi Arabia’s banking sector is sitting on SAR 40.8 billion of annual AI-enabled value.</w:t>
            </w:r>
          </w:p>
          <w:p>
            <w:r>
              <w:rPr>
                <w:i/>
                <w:iCs/>
                <w:sz w:val="20"/>
                <w:szCs w:val="20"/>
              </w:rPr>
              <w:t xml:space="preserve">Revenue monetization. Asset tokenization. Capital efficiency. Sovereign infrastructure. Four levers. One question: who captures it first?</w:t>
            </w:r>
          </w:p>
        </w:tc>
      </w:tr>
    </w:tbl>
    <w:p>
      <w:pPr>
        <w:pStyle w:val="Heading1"/>
      </w:pPr>
      <w:r>
        <w:t xml:space="preserve">Scene 2: The Gap</w:t>
      </w:r>
    </w:p>
    <w:p>
      <w:pPr>
        <w:spacing w:after="60"/>
      </w:pPr>
      <w:r>
        <w:rPr>
          <w:b/>
          <w:bCs/>
          <w:color w:val="006B5E"/>
          <w:sz w:val="20"/>
          <w:szCs w:val="20"/>
        </w:rPr>
        <w:t xml:space="preserve">[0:18 – 0:35]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EDE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006B5E"/>
                <w:sz w:val="20"/>
                <w:szCs w:val="20"/>
              </w:rPr>
              <w:t xml:space="preserve">VISUALS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Split screen: Left shows “85%” ring filling (AI strategy). Right shows “12%” ring barely moving (enterprise adoption). The contrast is stark.</w:t>
            </w:r>
          </w:p>
          <w:p>
            <w:r>
              <w:rPr>
                <w:sz w:val="18"/>
                <w:szCs w:val="18"/>
              </w:rPr>
              <w:t xml:space="preserve">Text overlay fades in: “The gap isn’t technology.”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0D1B2A"/>
                <w:sz w:val="20"/>
                <w:szCs w:val="20"/>
              </w:rPr>
              <w:t xml:space="preserve">VOICEOVER</w:t>
            </w:r>
          </w:p>
          <w:p>
            <w:pPr>
              <w:spacing w:after="80"/>
            </w:pPr>
            <w:r>
              <w:rPr>
                <w:i/>
                <w:iCs/>
                <w:sz w:val="20"/>
                <w:szCs w:val="20"/>
              </w:rPr>
              <w:t xml:space="preserve">Eighty-five percent of Gulf banks have an AI strategy. But only twelve percent have achieved enterprise-wide adoption.</w:t>
            </w:r>
          </w:p>
          <w:p>
            <w:r>
              <w:rPr>
                <w:i/>
                <w:iCs/>
                <w:sz w:val="20"/>
                <w:szCs w:val="20"/>
              </w:rPr>
              <w:t xml:space="preserve">The gap isn’t technology. It’s execution. It’s governance. It’s change management at scale.</w:t>
            </w:r>
          </w:p>
        </w:tc>
      </w:tr>
    </w:tbl>
    <w:p>
      <w:pPr>
        <w:pStyle w:val="Heading1"/>
      </w:pPr>
      <w:r>
        <w:t xml:space="preserve">Scene 3: Why Now</w:t>
      </w:r>
    </w:p>
    <w:p>
      <w:pPr>
        <w:spacing w:after="60"/>
      </w:pPr>
      <w:r>
        <w:rPr>
          <w:b/>
          <w:bCs/>
          <w:color w:val="006B5E"/>
          <w:sz w:val="20"/>
          <w:szCs w:val="20"/>
        </w:rPr>
        <w:t xml:space="preserve">[0:35 – 0:52]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EDE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006B5E"/>
                <w:sz w:val="20"/>
                <w:szCs w:val="20"/>
              </w:rPr>
              <w:t xml:space="preserve">VISUALS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Montage: Vision 2030 logo morphs into SDAIA logo. SAMA building. FSDP timeline. PIF/HUMAIN logos emerge. A map of the Gulf lights up node by node.</w:t>
            </w:r>
          </w:p>
          <w:p>
            <w:r>
              <w:rPr>
                <w:sz w:val="18"/>
                <w:szCs w:val="18"/>
              </w:rPr>
              <w:t xml:space="preserve">Logos of Anthropic, Google Gemini, Microsoft Copilot cycle through.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0D1B2A"/>
                <w:sz w:val="20"/>
                <w:szCs w:val="20"/>
              </w:rPr>
              <w:t xml:space="preserve">VOICEOVER</w:t>
            </w:r>
          </w:p>
          <w:p>
            <w:pPr>
              <w:spacing w:after="80"/>
            </w:pPr>
            <w:r>
              <w:rPr>
                <w:i/>
                <w:iCs/>
                <w:sz w:val="20"/>
                <w:szCs w:val="20"/>
              </w:rPr>
              <w:t xml:space="preserve">Vision 2030 is accelerating. SDAIA is setting the regulatory pace. SAMA expects AI governance at board level. And the enterprise platforms — Anthropic, Google, Microsoft — are shipping weekly.</w:t>
            </w:r>
          </w:p>
          <w:p>
            <w:r>
              <w:rPr>
                <w:i/>
                <w:iCs/>
                <w:sz w:val="20"/>
                <w:szCs w:val="20"/>
              </w:rPr>
              <w:t xml:space="preserve">The institutions that move now will define the next decade of Gulf financial services.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Scene 4: The Approach</w:t>
      </w:r>
    </w:p>
    <w:p>
      <w:pPr>
        <w:spacing w:after="60"/>
      </w:pPr>
      <w:r>
        <w:rPr>
          <w:b/>
          <w:bCs/>
          <w:color w:val="006B5E"/>
          <w:sz w:val="20"/>
          <w:szCs w:val="20"/>
        </w:rPr>
        <w:t xml:space="preserve">[0:52 – 1:12]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EDE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006B5E"/>
                <w:sz w:val="20"/>
                <w:szCs w:val="20"/>
              </w:rPr>
              <w:t xml:space="preserve">VISUALS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Three pillars animate in sequence: SCALE → GOVERN → UNLOCK. Each reveals a brief visual: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 xml:space="preserve">• SCALE: Operating model blueprint diagram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 xml:space="preserve">• GOVERN: Risk framework matrix with SAMA/SDAIA logos</w:t>
            </w:r>
          </w:p>
          <w:p>
            <w:r>
              <w:rPr>
                <w:sz w:val="18"/>
                <w:szCs w:val="18"/>
              </w:rPr>
              <w:t xml:space="preserve">• UNLOCK: 6-week adoption timeline with ROI counter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0D1B2A"/>
                <w:sz w:val="20"/>
                <w:szCs w:val="20"/>
              </w:rPr>
              <w:t xml:space="preserve">VOICEOVER</w:t>
            </w:r>
          </w:p>
          <w:p>
            <w:pPr>
              <w:spacing w:after="80"/>
            </w:pPr>
            <w:r>
              <w:rPr>
                <w:i/>
                <w:iCs/>
                <w:sz w:val="20"/>
                <w:szCs w:val="20"/>
              </w:rPr>
              <w:t xml:space="preserve">Enterprise.AI works at the intersection of strategy, governance, and execution. We don’t advise from the sideline. We embed with your leadership team.</w:t>
            </w:r>
          </w:p>
          <w:p>
            <w:pPr>
              <w:spacing w:after="80"/>
            </w:pPr>
            <w:r>
              <w:rPr>
                <w:i/>
                <w:iCs/>
                <w:sz w:val="20"/>
                <w:szCs w:val="20"/>
              </w:rPr>
              <w:t xml:space="preserve">Scale your AI operating model. Govern it to regulator standards. Unlock enterprise-wide adoption in six weeks — with measurable return on investment.</w:t>
            </w:r>
          </w:p>
          <w:p>
            <w:r>
              <w:rPr>
                <w:i/>
                <w:iCs/>
                <w:sz w:val="20"/>
                <w:szCs w:val="20"/>
              </w:rPr>
              <w:t xml:space="preserve">From board approval to value realisation.</w:t>
            </w:r>
          </w:p>
        </w:tc>
      </w:tr>
    </w:tbl>
    <w:p>
      <w:pPr>
        <w:pStyle w:val="Heading1"/>
      </w:pPr>
      <w:r>
        <w:t xml:space="preserve">Scene 5: The Proof</w:t>
      </w:r>
    </w:p>
    <w:p>
      <w:pPr>
        <w:spacing w:after="60"/>
      </w:pPr>
      <w:r>
        <w:rPr>
          <w:b/>
          <w:bCs/>
          <w:color w:val="006B5E"/>
          <w:sz w:val="20"/>
          <w:szCs w:val="20"/>
        </w:rPr>
        <w:t xml:space="preserve">[1:12 – 1:22]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EDE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006B5E"/>
                <w:sz w:val="20"/>
                <w:szCs w:val="20"/>
              </w:rPr>
              <w:t xml:space="preserve">VISUALS</w:t>
            </w:r>
          </w:p>
          <w:p>
            <w:r>
              <w:rPr>
                <w:sz w:val="18"/>
                <w:szCs w:val="18"/>
              </w:rPr>
              <w:t xml:space="preserve">Credential counters animate: $1B+ value unlocked. 25+ years. SAMA, SDAIA, QCB logos. Arabic quote from Saudi CEO fades in with mashrabiya pattern border.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0D1B2A"/>
                <w:sz w:val="20"/>
                <w:szCs w:val="20"/>
              </w:rPr>
              <w:t xml:space="preserve">VOICEOVER</w:t>
            </w:r>
          </w:p>
          <w:p>
            <w:r>
              <w:rPr>
                <w:i/>
                <w:iCs/>
                <w:sz w:val="20"/>
                <w:szCs w:val="20"/>
              </w:rPr>
              <w:t xml:space="preserve">Over one billion dollars of lifetime business value unlocked. Twenty-five years across banking, capital markets, and sovereign institutions. Senior practitioners who’ve done the work at board level, regulator level, and platform level.</w:t>
            </w:r>
          </w:p>
        </w:tc>
      </w:tr>
    </w:tbl>
    <w:p>
      <w:pPr>
        <w:pStyle w:val="Heading1"/>
      </w:pPr>
      <w:r>
        <w:t xml:space="preserve">Scene 6: The Call to Action</w:t>
      </w:r>
    </w:p>
    <w:p>
      <w:pPr>
        <w:spacing w:after="60"/>
      </w:pPr>
      <w:r>
        <w:rPr>
          <w:b/>
          <w:bCs/>
          <w:color w:val="006B5E"/>
          <w:sz w:val="20"/>
          <w:szCs w:val="20"/>
        </w:rPr>
        <w:t xml:space="preserve">[1:22 – 1:30]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EDE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006B5E"/>
                <w:sz w:val="20"/>
                <w:szCs w:val="20"/>
              </w:rPr>
              <w:t xml:space="preserve">VISUALS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Screen resolves to Enterprise.AI wordmark on dark navy. Gold dot pulses. “SCALE · GOVERN · UNLOCK” fades in below.</w:t>
            </w:r>
          </w:p>
          <w:p>
            <w:r>
              <w:rPr>
                <w:sz w:val="18"/>
                <w:szCs w:val="18"/>
              </w:rPr>
              <w:t xml:space="preserve">CTA appears: “Book a Briefing — rodney@theenterpriseai.co.uk”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0D1B2A"/>
                <w:sz w:val="20"/>
                <w:szCs w:val="20"/>
              </w:rPr>
              <w:t xml:space="preserve">VOICEOVER</w:t>
            </w:r>
          </w:p>
          <w:p>
            <w:pPr>
              <w:spacing w:after="80"/>
            </w:pPr>
            <w:r>
              <w:rPr>
                <w:i/>
                <w:iCs/>
                <w:sz w:val="20"/>
                <w:szCs w:val="20"/>
              </w:rPr>
              <w:t xml:space="preserve">Enterprise.AI. Strategy. Governance. Execution.</w:t>
            </w:r>
          </w:p>
          <w:p>
            <w:r>
              <w:rPr>
                <w:i/>
                <w:iCs/>
                <w:sz w:val="20"/>
                <w:szCs w:val="20"/>
              </w:rPr>
              <w:t xml:space="preserve">[Beat] Start with a briefing.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Production Notes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Color palette: </w:t>
      </w:r>
      <w:r>
        <w:rPr>
          <w:sz w:val="20"/>
          <w:szCs w:val="20"/>
        </w:rPr>
        <w:t xml:space="preserve">Navy (#0D1B2A), Teal-green (#006B5E), Warm sand (#F5EDE0), Gold accent (#C9A227). Consistent with the Enterprise.AI website.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Typography: </w:t>
      </w:r>
      <w:r>
        <w:rPr>
          <w:sz w:val="20"/>
          <w:szCs w:val="20"/>
        </w:rPr>
        <w:t xml:space="preserve">Fraunces (serif) for headlines and stats. Inter (sans-serif) for body text. Amiri for Arabic passages.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Data sources: </w:t>
      </w:r>
      <w:r>
        <w:rPr>
          <w:sz w:val="20"/>
          <w:szCs w:val="20"/>
        </w:rPr>
        <w:t xml:space="preserve">All figures from the Enterprise.AI Banking 2030 Scoreboard series (Parts 1–5). SAR 40.8B, $295B market cap, 85%/12% adoption gap.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Arabic elements: </w:t>
      </w:r>
      <w:r>
        <w:rPr>
          <w:sz w:val="20"/>
          <w:szCs w:val="20"/>
        </w:rPr>
        <w:t xml:space="preserve">Include mashrabiya pattern overlays during Scene 5. Arabic CEO quote should appear RTL with Amiri font.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Voiceover direction: </w:t>
      </w:r>
      <w:r>
        <w:rPr>
          <w:sz w:val="20"/>
          <w:szCs w:val="20"/>
        </w:rPr>
        <w:t xml:space="preserve">Male voice, mid-40s, British or Gulf-accented English. Measured pace. Pauses between scenes. Never rushed.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Production options: </w:t>
      </w:r>
      <w:r>
        <w:rPr>
          <w:sz w:val="20"/>
          <w:szCs w:val="20"/>
        </w:rPr>
        <w:t xml:space="preserve">Can be produced as (a) pure motion graphics with kinetic data, (b) AI-generated footage + motion graphics, or (c) stock footage + motion graphics overlay. Option (a) recommended for fastest turnaround.</w:t>
      </w:r>
    </w:p>
    <w:p>
      <w:pPr>
        <w:pBdr>
          <w:top w:val="single" w:color="006B5E" w:sz="4" w:space="12"/>
        </w:pBdr>
        <w:spacing w:before="400"/>
        <w:jc w:val="center"/>
      </w:pPr>
      <w:r>
        <w:rPr>
          <w:color w:val="888888"/>
          <w:sz w:val="18"/>
          <w:szCs w:val="18"/>
        </w:rPr>
        <w:t xml:space="preserve">© 2026 Enterprise.AI  |  rodney@theenterpriseai.co.uk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0D1B2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006B5E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2026-05-11T15:44:27.948Z</dcterms:created>
  <dcterms:modified xsi:type="dcterms:W3CDTF">2026-05-11T15:44:28.001Z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