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D1B2A"/>
          <w:sz w:val="48"/>
          <w:szCs w:val="48"/>
        </w:rPr>
        <w:t xml:space="preserve">Enterprise.AI</w:t>
      </w:r>
    </w:p>
    <w:p>
      <w:pPr>
        <w:spacing w:after="200"/>
        <w:jc w:val="center"/>
      </w:pPr>
      <w:r>
        <w:rPr>
          <w:b/>
          <w:bCs/>
          <w:color w:val="006B5E"/>
          <w:sz w:val="22"/>
          <w:szCs w:val="22"/>
        </w:rPr>
        <w:t xml:space="preserve">SCALE · GOVERN · UNLOCK</w:t>
      </w:r>
    </w:p>
    <w:p>
      <w:pPr>
        <w:pBdr>
          <w:bottom w:val="single" w:color="006B5E" w:sz="6" w:space="8"/>
        </w:pBdr>
        <w:spacing w:after="400"/>
        <w:jc w:val="center"/>
      </w:pPr>
      <w:r>
        <w:rPr>
          <w:b/>
          <w:bCs/>
          <w:color w:val="0D1B2A"/>
          <w:sz w:val="28"/>
          <w:szCs w:val="28"/>
        </w:rPr>
        <w:t xml:space="preserve">Video Script — 90-Second Explainer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Format: </w:t>
      </w:r>
      <w:r>
        <w:rPr>
          <w:sz w:val="20"/>
          <w:szCs w:val="20"/>
        </w:rPr>
        <w:t xml:space="preserve">Voiceover + Motion Graphics / Kinetic Data Animation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85–90 seconds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Tone: </w:t>
      </w:r>
      <w:r>
        <w:rPr>
          <w:sz w:val="20"/>
          <w:szCs w:val="20"/>
        </w:rPr>
        <w:t xml:space="preserve">Authoritative, measured, premium. Think McKinsey meets Bloomberg.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Music: </w:t>
      </w:r>
      <w:r>
        <w:rPr>
          <w:sz w:val="20"/>
          <w:szCs w:val="20"/>
        </w:rPr>
        <w:t xml:space="preserve">Subtle ambient electronic, building through sections. No drums until the CTA.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Audience: </w:t>
      </w:r>
      <w:r>
        <w:rPr>
          <w:sz w:val="20"/>
          <w:szCs w:val="20"/>
        </w:rPr>
        <w:t xml:space="preserve">CEOs, CROs, CDOs, Board members at Gulf FS institutions.</w:t>
      </w:r>
    </w:p>
    <w:p>
      <w:r>
        <w:br w:type="page"/>
      </w:r>
    </w:p>
    <w:p>
      <w:pPr>
        <w:pStyle w:val="Heading1"/>
      </w:pPr>
      <w:r>
        <w:t xml:space="preserve">Scene 1: The Stakes</w:t>
      </w:r>
    </w:p>
    <w:p>
      <w:pPr>
        <w:spacing w:after="60"/>
      </w:pPr>
      <w:r>
        <w:rPr>
          <w:b/>
          <w:bCs/>
          <w:color w:val="006B5E"/>
          <w:sz w:val="20"/>
          <w:szCs w:val="20"/>
        </w:rPr>
        <w:t xml:space="preserve">[0:00 – 0:18]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06B5E"/>
                <w:sz w:val="20"/>
                <w:szCs w:val="20"/>
              </w:rPr>
              <w:t xml:space="preserve">VISUALS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Aerial footage of Riyadh skyline (KAFD) at dawn. Camera slowly pulls back. Data particles begin flowing across the cityscape.</w:t>
            </w:r>
          </w:p>
          <w:p>
            <w:r>
              <w:rPr>
                <w:sz w:val="18"/>
                <w:szCs w:val="18"/>
              </w:rPr>
              <w:t xml:space="preserve">Counter animates: SAR 40.8B appears in large kinetic type.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VOICEOVER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Saudi Arabia’s banking sector is sitting on SAR 40.8 billion of annual AI-enabled value.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Revenue monetization. Asset tokenization. Capital efficiency. Sovereign infrastructure. Four levers. One question: who captures it first?</w:t>
            </w:r>
          </w:p>
        </w:tc>
      </w:tr>
    </w:tbl>
    <w:p>
      <w:pPr>
        <w:pStyle w:val="Heading1"/>
      </w:pPr>
      <w:r>
        <w:t xml:space="preserve">Scene 2: The Gap</w:t>
      </w:r>
    </w:p>
    <w:p>
      <w:pPr>
        <w:spacing w:after="60"/>
      </w:pPr>
      <w:r>
        <w:rPr>
          <w:b/>
          <w:bCs/>
          <w:color w:val="006B5E"/>
          <w:sz w:val="20"/>
          <w:szCs w:val="20"/>
        </w:rPr>
        <w:t xml:space="preserve">[0:18 – 0:35]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06B5E"/>
                <w:sz w:val="20"/>
                <w:szCs w:val="20"/>
              </w:rPr>
              <w:t xml:space="preserve">VISUALS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Split screen: Left shows “85%” ring filling (AI strategy). Right shows “12%” ring barely moving (enterprise adoption). The contrast is stark.</w:t>
            </w:r>
          </w:p>
          <w:p>
            <w:r>
              <w:rPr>
                <w:sz w:val="18"/>
                <w:szCs w:val="18"/>
              </w:rPr>
              <w:t xml:space="preserve">Text overlay fades in: “The gap isn’t technology.”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VOICEOVER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Eighty-five percent of Gulf banks have an AI strategy. But only twelve percent have achieved enterprise-wide adoption.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The gap isn’t technology. It’s execution. It’s governance. It’s change management at scale.</w:t>
            </w:r>
          </w:p>
        </w:tc>
      </w:tr>
    </w:tbl>
    <w:p>
      <w:pPr>
        <w:pStyle w:val="Heading1"/>
      </w:pPr>
      <w:r>
        <w:t xml:space="preserve">Scene 3: Why Now</w:t>
      </w:r>
    </w:p>
    <w:p>
      <w:pPr>
        <w:spacing w:after="60"/>
      </w:pPr>
      <w:r>
        <w:rPr>
          <w:b/>
          <w:bCs/>
          <w:color w:val="006B5E"/>
          <w:sz w:val="20"/>
          <w:szCs w:val="20"/>
        </w:rPr>
        <w:t xml:space="preserve">[0:35 – 0:52]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06B5E"/>
                <w:sz w:val="20"/>
                <w:szCs w:val="20"/>
              </w:rPr>
              <w:t xml:space="preserve">VISUALS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Montage: Vision 2030 logo morphs into SDAIA logo. SAMA building. FSDP timeline. PIF/HUMAIN logos emerge. A map of the Gulf lights up node by node.</w:t>
            </w:r>
          </w:p>
          <w:p>
            <w:r>
              <w:rPr>
                <w:sz w:val="18"/>
                <w:szCs w:val="18"/>
              </w:rPr>
              <w:t xml:space="preserve">Logos of Anthropic, Google Gemini, Microsoft Copilot cycle through.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VOICEOVER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Vision 2030 is accelerating. SDAIA is setting the regulatory pace. SAMA expects AI governance at board level. And the enterprise platforms — Anthropic, Google, Microsoft — are shipping weekly.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The institutions that move now will define the next decade of Gulf financial services.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Scene 4: The Approach</w:t>
      </w:r>
    </w:p>
    <w:p>
      <w:pPr>
        <w:spacing w:after="60"/>
      </w:pPr>
      <w:r>
        <w:rPr>
          <w:b/>
          <w:bCs/>
          <w:color w:val="006B5E"/>
          <w:sz w:val="20"/>
          <w:szCs w:val="20"/>
        </w:rPr>
        <w:t xml:space="preserve">[0:52 – 1:12]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06B5E"/>
                <w:sz w:val="20"/>
                <w:szCs w:val="20"/>
              </w:rPr>
              <w:t xml:space="preserve">VISUALS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Three pillars animate in sequence: SCALE → GOVERN → UNLOCK. Each reveals a brief visual: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SCALE: Operating model blueprint diagram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• GOVERN: Risk framework matrix with SAMA/SDAIA logos</w:t>
            </w:r>
          </w:p>
          <w:p>
            <w:r>
              <w:rPr>
                <w:sz w:val="18"/>
                <w:szCs w:val="18"/>
              </w:rPr>
              <w:t xml:space="preserve">• UNLOCK: 6-week adoption timeline with ROI counter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VOICEOVER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Enterprise.AI works at the intersection of strategy, governance, and execution. We don’t advise from the sideline. We embed with your leadership team.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Scale your AI operating model. Govern it to regulator standards. Unlock enterprise-wide adoption in six weeks — with measurable return on investment.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From board approval to value realisation.</w:t>
            </w:r>
          </w:p>
        </w:tc>
      </w:tr>
    </w:tbl>
    <w:p>
      <w:pPr>
        <w:pStyle w:val="Heading1"/>
      </w:pPr>
      <w:r>
        <w:t xml:space="preserve">Scene 5: The Proof</w:t>
      </w:r>
    </w:p>
    <w:p>
      <w:pPr>
        <w:spacing w:after="60"/>
      </w:pPr>
      <w:r>
        <w:rPr>
          <w:b/>
          <w:bCs/>
          <w:color w:val="006B5E"/>
          <w:sz w:val="20"/>
          <w:szCs w:val="20"/>
        </w:rPr>
        <w:t xml:space="preserve">[1:12 – 1:22]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06B5E"/>
                <w:sz w:val="20"/>
                <w:szCs w:val="20"/>
              </w:rPr>
              <w:t xml:space="preserve">VISUALS</w:t>
            </w:r>
          </w:p>
          <w:p>
            <w:r>
              <w:rPr>
                <w:sz w:val="18"/>
                <w:szCs w:val="18"/>
              </w:rPr>
              <w:t xml:space="preserve">Credential counters animate: $1B+ value unlocked. 25+ years. SAMA, SDAIA, QCB logos. Arabic quote from Saudi CEO fades in with mashrabiya pattern border.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VOICEOVER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Over one billion dollars of lifetime business value unlocked. Twenty-five years across banking, capital markets, and sovereign institutions. Senior practitioners who’ve done the work at board level, regulator level, and platform level.</w:t>
            </w:r>
          </w:p>
        </w:tc>
      </w:tr>
    </w:tbl>
    <w:p>
      <w:pPr>
        <w:pStyle w:val="Heading1"/>
      </w:pPr>
      <w:r>
        <w:t xml:space="preserve">Scene 6: The Call to Action</w:t>
      </w:r>
    </w:p>
    <w:p>
      <w:pPr>
        <w:spacing w:after="60"/>
      </w:pPr>
      <w:r>
        <w:rPr>
          <w:b/>
          <w:bCs/>
          <w:color w:val="006B5E"/>
          <w:sz w:val="20"/>
          <w:szCs w:val="20"/>
        </w:rPr>
        <w:t xml:space="preserve">[1:22 – 1:30]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06B5E"/>
                <w:sz w:val="20"/>
                <w:szCs w:val="20"/>
              </w:rPr>
              <w:t xml:space="preserve">VISUALS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Screen resolves to Enterprise.AI wordmark on dark navy. Gold dot pulses. “SCALE · GOVERN · UNLOCK” fades in below.</w:t>
            </w:r>
          </w:p>
          <w:p>
            <w:r>
              <w:rPr>
                <w:sz w:val="18"/>
                <w:szCs w:val="18"/>
              </w:rPr>
              <w:t xml:space="preserve">CTA appears: “Book a Briefing — advisor@rodney-ai.com”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VOICEOVER</w:t>
            </w:r>
          </w:p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Enterprise.AI. Strategy. Governance. Execution.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[Beat] Start with a briefing.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Production Notes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Color palette: </w:t>
      </w:r>
      <w:r>
        <w:rPr>
          <w:sz w:val="20"/>
          <w:szCs w:val="20"/>
        </w:rPr>
        <w:t xml:space="preserve">Navy (#0D1B2A), Teal-green (#006B5E), Warm sand (#F5EDE0), Gold accent (#C9A227). Consistent with the Enterprise.AI website.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Typography: </w:t>
      </w:r>
      <w:r>
        <w:rPr>
          <w:sz w:val="20"/>
          <w:szCs w:val="20"/>
        </w:rPr>
        <w:t xml:space="preserve">Fraunces (serif) for headlines and stats. Inter (sans-serif) for body text. Amiri for Arabic passages.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Data sources: </w:t>
      </w:r>
      <w:r>
        <w:rPr>
          <w:sz w:val="20"/>
          <w:szCs w:val="20"/>
        </w:rPr>
        <w:t xml:space="preserve">All figures from the Enterprise.AI Banking 2030 Scoreboard series (Parts 1–5). SAR 40.8B, $295B market cap, 85%/12% adoption gap.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Arabic elements: </w:t>
      </w:r>
      <w:r>
        <w:rPr>
          <w:sz w:val="20"/>
          <w:szCs w:val="20"/>
        </w:rPr>
        <w:t xml:space="preserve">Include mashrabiya pattern overlays during Scene 5. Arabic CEO quote should appear RTL with Amiri font.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Voiceover direction: </w:t>
      </w:r>
      <w:r>
        <w:rPr>
          <w:sz w:val="20"/>
          <w:szCs w:val="20"/>
        </w:rPr>
        <w:t xml:space="preserve">Male voice, mid-40s, British or Gulf-accented English. Measured pace. Pauses between scenes. Never rushed.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Production options: </w:t>
      </w:r>
      <w:r>
        <w:rPr>
          <w:sz w:val="20"/>
          <w:szCs w:val="20"/>
        </w:rPr>
        <w:t xml:space="preserve">Can be produced as (a) pure motion graphics with kinetic data, (b) AI-generated footage + motion graphics, or (c) stock footage + motion graphics overlay. Option (a) recommended for fastest turnaround.</w:t>
      </w:r>
    </w:p>
    <w:p>
      <w:pPr>
        <w:pBdr>
          <w:top w:val="single" w:color="006B5E" w:sz="4" w:space="12"/>
        </w:pBdr>
        <w:spacing w:before="400"/>
        <w:jc w:val="center"/>
      </w:pPr>
      <w:r>
        <w:rPr>
          <w:color w:val="888888"/>
          <w:sz w:val="18"/>
          <w:szCs w:val="18"/>
        </w:rPr>
        <w:t xml:space="preserve">© 2026 Enterprise.AI  |  advisor@rodney-ai.com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6B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2026-05-11T15:44:27.948Z</dcterms:created>
  <dcterms:modified xsi:type="dcterms:W3CDTF">2026-05-11T15:44:28.001Z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