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Meridian Data Operations Manual</w:t>
      </w:r>
    </w:p>
    <w:p>
      <w:pPr>
        <w:jc w:val="center"/>
      </w:pPr>
      <w:r>
        <w:rPr>
          <w:i/>
          <w:sz w:val="28"/>
        </w:rPr>
        <w:t>Providers, backfills, data-source routing, and storage</w:t>
      </w:r>
    </w:p>
    <w:p>
      <w:pPr>
        <w:jc w:val="center"/>
      </w:pPr>
      <w:r>
        <w:t>Author: Codex | Version: 0.1 | Date: 2026-04-07</w:t>
      </w:r>
    </w:p>
    <w:p/>
    <w:p>
      <w:r>
        <w:t>This manual covers the main data-operations workflow in Meridian: configure providers, validate feed posture, plan backfills, choose routing defaults, and confirm storage behavior.</w:t>
      </w:r>
    </w:p>
    <w:p>
      <w:r>
        <w:t>Screenshots were captured from the Windows WPF shell in fixture mode on April 7, 2026. Live provider counts and operational metrics will vary in a connected environment.</w:t>
      </w:r>
    </w:p>
    <w:p>
      <w:pPr>
        <w:pStyle w:val="Heading1"/>
      </w:pPr>
      <w:r>
        <w:t>Open The Workspace</w:t>
      </w:r>
    </w:p>
    <w:p>
      <w:r>
        <w:t>Start from the landing surface that groups the core data-management actions.</w:t>
      </w:r>
    </w:p>
    <w:p>
      <w:pPr>
        <w:pStyle w:val="Heading2"/>
      </w:pPr>
      <w:r>
        <w:t>Step 1. Begin in Data Operations</w:t>
      </w:r>
    </w:p>
    <w:p>
      <w:r>
        <w:t>Open the Data Operations workspace to reach the main controls for providers, backfills, symbols, storage, and collection sessions. This workspace is the fastest way to orient around data-ingestion responsibilities.</w:t>
      </w:r>
    </w:p>
    <w:p>
      <w:pPr>
        <w:pStyle w:val="ListBullet"/>
      </w:pPr>
      <w:r>
        <w:t>Use the quick actions row to jump directly into the page you need.</w:t>
      </w:r>
    </w:p>
    <w:p>
      <w:pPr>
        <w:pStyle w:val="ListBullet"/>
      </w:pPr>
      <w:r>
        <w:t>The operational focus cards are useful when you want to review provider posture or storage before making changes.</w:t>
      </w:r>
    </w:p>
    <w:p>
      <w:r>
        <w:drawing>
          <wp:inline xmlns:a="http://schemas.openxmlformats.org/drawingml/2006/main" xmlns:pic="http://schemas.openxmlformats.org/drawingml/2006/picture">
            <wp:extent cx="6400800" cy="3464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ta-operations-she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Data Operations workspace with its main quick actions.</w:t>
      </w:r>
    </w:p>
    <w:p/>
    <w:p>
      <w:pPr>
        <w:pStyle w:val="Heading1"/>
      </w:pPr>
      <w:r>
        <w:t>Configure Providers</w:t>
      </w:r>
    </w:p>
    <w:p>
      <w:r>
        <w:t>Set up the upstream market-data providers and confirm that Meridian can reach them cleanly.</w:t>
      </w:r>
    </w:p>
    <w:p>
      <w:pPr>
        <w:pStyle w:val="Heading2"/>
      </w:pPr>
      <w:r>
        <w:t>Step 2. Configure and validate providers</w:t>
      </w:r>
    </w:p>
    <w:p>
      <w:r>
        <w:t>Open Data Providers to review the configured streaming and backfill sources. Use Configure for provider-specific settings, then use Validate or Test Connections to confirm that credentials, routing, and network posture are usable before data collection begins.</w:t>
      </w:r>
    </w:p>
    <w:p>
      <w:pPr>
        <w:pStyle w:val="ListBullet"/>
      </w:pPr>
      <w:r>
        <w:t>Typical operator-managed providers shown here include Interactive Brokers, Alpaca, Polygon, StockSharp, and NYSE.</w:t>
      </w:r>
    </w:p>
    <w:p>
      <w:pPr>
        <w:pStyle w:val="ListBullet"/>
      </w:pPr>
      <w:r>
        <w:t>Validate provider setup before you schedule backfills or expand symbol coverage.</w:t>
      </w:r>
    </w:p>
    <w:p>
      <w:r>
        <w:drawing>
          <wp:inline xmlns:a="http://schemas.openxmlformats.org/drawingml/2006/main" xmlns:pic="http://schemas.openxmlformats.org/drawingml/2006/picture">
            <wp:extent cx="6400800" cy="3464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vid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Data Providers page used to configure and test market-data integrations.</w:t>
      </w:r>
    </w:p>
    <w:p/>
    <w:p>
      <w:pPr>
        <w:pStyle w:val="Heading2"/>
      </w:pPr>
      <w:r>
        <w:t>Step 3. Review provider health and recent connection history</w:t>
      </w:r>
    </w:p>
    <w:p>
      <w:r>
        <w:t>Open Provider Health after configuration changes or before market open. This page summarizes connected and disconnected providers, latency, and recent connection activity so you can catch degraded posture early.</w:t>
      </w:r>
    </w:p>
    <w:p>
      <w:pPr>
        <w:pStyle w:val="ListBullet"/>
      </w:pPr>
      <w:r>
        <w:t>Refresh the page after changing credentials or restarting a backend service.</w:t>
      </w:r>
    </w:p>
    <w:p>
      <w:pPr>
        <w:pStyle w:val="ListBullet"/>
      </w:pPr>
      <w:r>
        <w:t>Connection History helps explain recent disconnects or retries.</w:t>
      </w:r>
    </w:p>
    <w:p>
      <w:r>
        <w:drawing>
          <wp:inline xmlns:a="http://schemas.openxmlformats.org/drawingml/2006/main" xmlns:pic="http://schemas.openxmlformats.org/drawingml/2006/picture">
            <wp:extent cx="6400800" cy="3464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vider-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Provider Health page with connectivity and latency summary tiles.</w:t>
      </w:r>
    </w:p>
    <w:p/>
    <w:p>
      <w:pPr>
        <w:pStyle w:val="Heading1"/>
      </w:pPr>
      <w:r>
        <w:t>Manage Historical Collection</w:t>
      </w:r>
    </w:p>
    <w:p>
      <w:r>
        <w:t>Use backfill and routing controls to decide how Meridian should catch up and recover missing history.</w:t>
      </w:r>
    </w:p>
    <w:p>
      <w:pPr>
        <w:pStyle w:val="Heading2"/>
      </w:pPr>
      <w:r>
        <w:t>Step 4. Plan and launch historical backfills</w:t>
      </w:r>
    </w:p>
    <w:p>
      <w:r>
        <w:t>Open Historical Data Backfill when you need to repair gaps, update a symbol set, or build an archive from scratch. Choose the provider, symbol list, provider-priority fallback order, and granularity before launching a job.</w:t>
      </w:r>
    </w:p>
    <w:p>
      <w:pPr>
        <w:pStyle w:val="ListBullet"/>
      </w:pPr>
      <w:r>
        <w:t>Backfill Wizard is a good starting point for first-time operators.</w:t>
      </w:r>
    </w:p>
    <w:p>
      <w:pPr>
        <w:pStyle w:val="ListBullet"/>
      </w:pPr>
      <w:r>
        <w:t>Use Fill All Gaps or Update to Latest after the initial archive is established.</w:t>
      </w:r>
    </w:p>
    <w:p>
      <w:r>
        <w:drawing>
          <wp:inline xmlns:a="http://schemas.openxmlformats.org/drawingml/2006/main" xmlns:pic="http://schemas.openxmlformats.org/drawingml/2006/picture">
            <wp:extent cx="6400800" cy="34648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ackfi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Historical Data Backfill page with workflow and scheduling controls.</w:t>
      </w:r>
    </w:p>
    <w:p/>
    <w:p>
      <w:pPr>
        <w:pStyle w:val="Heading2"/>
      </w:pPr>
      <w:r>
        <w:t>Step 5. Set the default real-time and historical sources</w:t>
      </w:r>
    </w:p>
    <w:p>
      <w:r>
        <w:t>Open Data Sources Configuration to choose the default real-time and historical providers Meridian should prefer. Enable automatic failover if you want Meridian to switch to the next source when the primary source becomes unavailable.</w:t>
      </w:r>
    </w:p>
    <w:p>
      <w:pPr>
        <w:pStyle w:val="ListBullet"/>
      </w:pPr>
      <w:r>
        <w:t>Finish basic provider configuration before expecting the drop-downs to populate.</w:t>
      </w:r>
    </w:p>
    <w:p>
      <w:pPr>
        <w:pStyle w:val="ListBullet"/>
      </w:pPr>
      <w:r>
        <w:t>Keep failover settings modest until you understand provider stability and entitlement limits.</w:t>
      </w:r>
    </w:p>
    <w:p>
      <w:r>
        <w:drawing>
          <wp:inline xmlns:a="http://schemas.openxmlformats.org/drawingml/2006/main" xmlns:pic="http://schemas.openxmlformats.org/drawingml/2006/picture">
            <wp:extent cx="6400800" cy="34648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ta-sour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Data Sources Configuration page for default routing and automatic failover.</w:t>
      </w:r>
    </w:p>
    <w:p/>
    <w:p>
      <w:pPr>
        <w:pStyle w:val="Heading1"/>
      </w:pPr>
      <w:r>
        <w:t>Confirm Storage</w:t>
      </w:r>
    </w:p>
    <w:p>
      <w:r>
        <w:t>Verify how the archive will be laid out on disk before data volume grows.</w:t>
      </w:r>
    </w:p>
    <w:p>
      <w:pPr>
        <w:pStyle w:val="Heading2"/>
      </w:pPr>
      <w:r>
        <w:t>Step 6. Review storage directory, layout, and compression</w:t>
      </w:r>
    </w:p>
    <w:p>
      <w:r>
        <w:t>Open Storage Management to confirm where Meridian writes data, how files are organized, and which compression format is active. The file-structure preview helps operators understand exactly what the archive will look like on disk.</w:t>
      </w:r>
    </w:p>
    <w:p>
      <w:pPr>
        <w:pStyle w:val="ListBullet"/>
      </w:pPr>
      <w:r>
        <w:t>Symbol-based layout and gzip are the default posture shown in the fixture screenshot.</w:t>
      </w:r>
    </w:p>
    <w:p>
      <w:pPr>
        <w:pStyle w:val="ListBullet"/>
      </w:pPr>
      <w:r>
        <w:t>If you need a different disk or mount point, change the data directory before large backfills.</w:t>
      </w:r>
    </w:p>
    <w:p>
      <w:r>
        <w:drawing>
          <wp:inline xmlns:a="http://schemas.openxmlformats.org/drawingml/2006/main" xmlns:pic="http://schemas.openxmlformats.org/drawingml/2006/picture">
            <wp:extent cx="6400800" cy="34648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o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Storage Management page showing archive path, naming convention, and compression.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