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>ML520 – Lesson 1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Use the Avila dataset to explore multiclass classification by utilizing the - One Versus All (</w:t>
      </w:r>
      <w:proofErr w:type="spellStart"/>
      <w:r>
        <w:t>OvA</w:t>
      </w:r>
      <w:proofErr w:type="spellEnd"/>
      <w:r>
        <w:t xml:space="preserve">) and One </w:t>
      </w:r>
      <w:proofErr w:type="gramStart"/>
      <w:r>
        <w:t>Versus</w:t>
      </w:r>
      <w:proofErr w:type="gramEnd"/>
      <w:r>
        <w:t xml:space="preserve"> One (</w:t>
      </w:r>
      <w:proofErr w:type="spellStart"/>
      <w:r>
        <w:t>OvO</w:t>
      </w:r>
      <w:proofErr w:type="spellEnd"/>
      <w:r>
        <w:t>) Classification methods.  You utilize these methods when you classification is more than 2 groups (example: white, blue, and green).  One Versus All (</w:t>
      </w:r>
      <w:proofErr w:type="spellStart"/>
      <w:r>
        <w:t>OvA</w:t>
      </w:r>
      <w:proofErr w:type="spellEnd"/>
      <w:r>
        <w:t>) is where you follow similar logic to simple classification as you group them into 2 different categories, the category you want and everything else.  For example if you wanted to identify how many were “white” you would have 2 groups 1) white 2) everything else – blue and green.  One Versus One is where you compare all of the different groups so you run white vs blue, white vs green, etc.</w:t>
      </w:r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492463" w:rsidRDefault="00492463" w:rsidP="00492463">
      <w:pPr>
        <w:pStyle w:val="ListParagraph"/>
        <w:numPr>
          <w:ilvl w:val="1"/>
          <w:numId w:val="2"/>
        </w:numPr>
      </w:pPr>
      <w:hyperlink r:id="rId5" w:history="1">
        <w:r w:rsidRPr="00402591">
          <w:rPr>
            <w:rStyle w:val="Hyperlink"/>
          </w:rPr>
          <w:t>https://labs.vocareum.com/lti/vclab.php?course=vc_2_0_102620216178558da9c6c&amp;assignment=591720</w:t>
        </w:r>
      </w:hyperlink>
    </w:p>
    <w:p w:rsidR="00492463" w:rsidRPr="00492463" w:rsidRDefault="00492463" w:rsidP="00492463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Lesson 1: Introduction to Advanced Machine Learning 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Lesson 01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Pr="00492463">
        <w:t>ML520 - Lesson1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:rsidR="00492463" w:rsidRPr="00492463" w:rsidRDefault="00492463" w:rsidP="00492463">
      <w:pPr>
        <w:pStyle w:val="ListParagraph"/>
        <w:numPr>
          <w:ilvl w:val="2"/>
          <w:numId w:val="2"/>
        </w:numPr>
      </w:pPr>
      <w:r w:rsidRPr="00492463">
        <w:t>avila-tr.txt (Training Set)</w:t>
      </w:r>
    </w:p>
    <w:p w:rsidR="00492463" w:rsidRPr="00492463" w:rsidRDefault="00492463" w:rsidP="00492463">
      <w:pPr>
        <w:pStyle w:val="ListParagraph"/>
        <w:numPr>
          <w:ilvl w:val="2"/>
          <w:numId w:val="2"/>
        </w:numPr>
      </w:pPr>
      <w:r w:rsidRPr="00492463">
        <w:t>avila-ts.txt (Test Set)</w:t>
      </w:r>
    </w:p>
    <w:p w:rsidR="00492463" w:rsidRPr="00492463" w:rsidRDefault="00492463" w:rsidP="00492463">
      <w:pPr>
        <w:pStyle w:val="ListParagraph"/>
        <w:numPr>
          <w:ilvl w:val="2"/>
          <w:numId w:val="2"/>
        </w:numPr>
      </w:pPr>
      <w:r w:rsidRPr="00492463">
        <w:t>avila-description.txt (Description)</w:t>
      </w:r>
    </w:p>
    <w:p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6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</w:t>
            </w:r>
            <w:r w:rsidRPr="00CE0769">
              <w:t xml:space="preserve">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492463"/>
    <w:rsid w:val="00835F9D"/>
    <w:rsid w:val="00CE0769"/>
    <w:rsid w:val="00E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senl2@uw.edu" TargetMode="External"/><Relationship Id="rId5" Type="http://schemas.openxmlformats.org/officeDocument/2006/relationships/hyperlink" Target="https://labs.vocareum.com/lti/vclab.php?course=vc_2_0_102620216178558da9c6c&amp;assignment=5917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1</cp:revision>
  <dcterms:created xsi:type="dcterms:W3CDTF">2022-01-13T05:44:00Z</dcterms:created>
  <dcterms:modified xsi:type="dcterms:W3CDTF">2022-01-13T06:13:00Z</dcterms:modified>
</cp:coreProperties>
</file>