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Do we need to import a sample code base to github?</w:t>
      </w:r>
    </w:p>
    <w:p w:rsidR="00000000" w:rsidDel="00000000" w:rsidP="00000000" w:rsidRDefault="00000000" w:rsidRPr="00000000">
      <w:pPr>
        <w:contextualSpacing w:val="0"/>
        <w:rPr/>
      </w:pPr>
      <w:r w:rsidDel="00000000" w:rsidR="00000000" w:rsidRPr="00000000">
        <w:rPr>
          <w:rtl w:val="0"/>
        </w:rPr>
        <w:t xml:space="preserve">Why don’t we use bitbucket?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Linking a Bitbucket or GitHub repository with JIRA</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https://confluence.atlassian.com/adminjiraserver073/linking-a-bitbucket-or-github-repository-with-jira-867028213.html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Will we be allowed to do this?</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contextualSpacing w:val="0"/>
        <w:rPr>
          <w:rFonts w:ascii="Roboto" w:cs="Roboto" w:eastAsia="Roboto" w:hAnsi="Roboto"/>
          <w:color w:val="333333"/>
          <w:sz w:val="30"/>
          <w:szCs w:val="30"/>
        </w:rPr>
      </w:pPr>
      <w:bookmarkStart w:colFirst="0" w:colLast="0" w:name="_ckwqukjzm8dh" w:id="0"/>
      <w:bookmarkEnd w:id="0"/>
      <w:r w:rsidDel="00000000" w:rsidR="00000000" w:rsidRPr="00000000">
        <w:rPr>
          <w:rFonts w:ascii="Roboto" w:cs="Roboto" w:eastAsia="Roboto" w:hAnsi="Roboto"/>
          <w:color w:val="333333"/>
          <w:sz w:val="30"/>
          <w:szCs w:val="30"/>
          <w:rtl w:val="0"/>
        </w:rPr>
        <w:t xml:space="preserve">Make sure you understand how JIRA Software connects to your DVCS account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contextualSpacing w:val="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JIRA DVCS connector links JIRA Software Server to an account on a DVCS hosting service (Bitbucket Cloud, GitHub, or GitHub Enterprise). For this reason, the connector needs permission from your DVCS account to access your account data. The connector does this through an </w:t>
      </w:r>
      <w:hyperlink r:id="rId7">
        <w:r w:rsidDel="00000000" w:rsidR="00000000" w:rsidRPr="00000000">
          <w:rPr>
            <w:rFonts w:ascii="Roboto" w:cs="Roboto" w:eastAsia="Roboto" w:hAnsi="Roboto"/>
            <w:color w:val="3572b0"/>
            <w:sz w:val="21"/>
            <w:szCs w:val="21"/>
            <w:u w:val="single"/>
            <w:rtl w:val="0"/>
          </w:rPr>
          <w:t xml:space="preserve">OAuth</w:t>
        </w:r>
      </w:hyperlink>
      <w:r w:rsidDel="00000000" w:rsidR="00000000" w:rsidRPr="00000000">
        <w:rPr>
          <w:rFonts w:ascii="Roboto" w:cs="Roboto" w:eastAsia="Roboto" w:hAnsi="Roboto"/>
          <w:color w:val="172b4d"/>
          <w:sz w:val="21"/>
          <w:szCs w:val="21"/>
          <w:rtl w:val="0"/>
        </w:rPr>
        <w:t xml:space="preserve"> access token.  </w:t>
      </w:r>
    </w:p>
    <w:p w:rsidR="00000000" w:rsidDel="00000000" w:rsidP="00000000" w:rsidRDefault="00000000" w:rsidRPr="00000000">
      <w:pPr>
        <w:contextualSpacing w:val="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we want a fully functioning model / test env?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in DD project:</w:t>
      </w:r>
    </w:p>
    <w:p w:rsidR="00000000" w:rsidDel="00000000" w:rsidP="00000000" w:rsidRDefault="00000000" w:rsidRPr="00000000">
      <w:pPr>
        <w:contextualSpacing w:val="0"/>
        <w:rPr/>
      </w:pPr>
      <w:r w:rsidDel="00000000" w:rsidR="00000000" w:rsidRPr="00000000">
        <w:rPr>
          <w:rtl w:val="0"/>
        </w:rPr>
        <w:t xml:space="preserve">Development changes are tracked through the development field: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462463" cy="1295354"/>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62463" cy="12953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 on commits or pull requests to see what was checked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510338" cy="4168424"/>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510338" cy="41684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DD, here is the disconnect… Jenkins is separate entity from Jira, so we can’t see if a build ran or was successful based on the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Enter… Jenkins Integration for Jira</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https://marketplace.atlassian.com/plugins/com.marvelution.jira.plugins.jenkins/server/overview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add-on had to uploaded manually for some reason.  I could not find it in the 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 into a problem:</w:t>
      </w:r>
    </w:p>
    <w:p w:rsidR="00000000" w:rsidDel="00000000" w:rsidP="00000000" w:rsidRDefault="00000000" w:rsidRPr="00000000">
      <w:pPr>
        <w:contextualSpacing w:val="0"/>
        <w:rPr/>
      </w:pPr>
      <w:r w:rsidDel="00000000" w:rsidR="00000000" w:rsidRPr="00000000">
        <w:rPr/>
        <w:drawing>
          <wp:inline distB="114300" distT="114300" distL="114300" distR="114300">
            <wp:extent cx="6858000" cy="1689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58000" cy="168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Created ticket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500563" cy="2194024"/>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00563" cy="21940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Are we dead in the water?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662488" cy="1884422"/>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62488" cy="18844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marketplace.atlassian.com/plugins/com.marvelution.jira.plugins.jenkins/server/overview" TargetMode="External"/><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confluence.atlassian.com/adminjiraserver073/linking-a-bitbucket-or-github-repository-with-jira-867028213.html" TargetMode="External"/><Relationship Id="rId7" Type="http://schemas.openxmlformats.org/officeDocument/2006/relationships/hyperlink" Target="http://oauth.net/"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