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44"/>
        </w:rPr>
        <w:t>Especificação Técnica de Software (ETS)</w:t>
      </w:r>
    </w:p>
    <w:p>
      <w:pPr>
        <w:spacing w:after="280"/>
      </w:pPr>
      <w:r>
        <w:rPr>
          <w:color w:val="2563EB"/>
          <w:sz w:val="26"/>
        </w:rPr>
        <w:t>Projeto: Wizard de Onboarding de Novo Cliente RPPS [MVP]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color w:val="64748B"/>
                <w:sz w:val="19"/>
              </w:rPr>
              <w:t>Status:</w:t>
            </w:r>
          </w:p>
        </w:tc>
        <w:tc>
          <w:tcPr>
            <w:tcW w:type="dxa" w:w="7632"/>
          </w:tcPr>
          <w:p>
            <w:pPr>
              <w:spacing w:before="20" w:after="20"/>
            </w:pPr>
            <w:r>
              <w:rPr>
                <w:color w:val="334155"/>
                <w:sz w:val="19"/>
              </w:rPr>
              <w:t>MVP Homologado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color w:val="64748B"/>
                <w:sz w:val="19"/>
              </w:rPr>
              <w:t>Autor:</w:t>
            </w:r>
          </w:p>
        </w:tc>
        <w:tc>
          <w:tcPr>
            <w:tcW w:type="dxa" w:w="7632"/>
          </w:tcPr>
          <w:p>
            <w:pPr>
              <w:spacing w:before="20" w:after="20"/>
            </w:pPr>
            <w:r>
              <w:rPr>
                <w:color w:val="334155"/>
                <w:sz w:val="19"/>
              </w:rPr>
              <w:t>Google DeepMind Antigravity Pair-Programmer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color w:val="64748B"/>
                <w:sz w:val="19"/>
              </w:rPr>
              <w:t>Data:</w:t>
            </w:r>
          </w:p>
        </w:tc>
        <w:tc>
          <w:tcPr>
            <w:tcW w:type="dxa" w:w="7632"/>
          </w:tcPr>
          <w:p>
            <w:pPr>
              <w:spacing w:before="20" w:after="20"/>
            </w:pPr>
            <w:r>
              <w:rPr>
                <w:color w:val="334155"/>
                <w:sz w:val="19"/>
              </w:rPr>
              <w:t>17 de Agosto de 2026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1. Introdução e Objetivo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1.1 Contexto</w:t>
      </w:r>
    </w:p>
    <w:p>
      <w:pPr>
        <w:spacing w:after="160"/>
      </w:pPr>
      <w:r>
        <w:t>A implantação e configuração inicial de um novo cliente RPPS (Regime Próprio de Previdência Social) em sistemas de gestão de carteiras e acompanhamento regulatório costumam ser processos complexos. Eles envolvem a inserção de dados institucionais, cadastramento de comitês, importação histórica de dezenas de ativos, parametrização da Política Anual de Investimentos (PAI) e conciliação bancária.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1.2 Objetivo</w:t>
      </w:r>
    </w:p>
    <w:p>
      <w:pPr>
        <w:spacing w:after="240"/>
      </w:pPr>
      <w:r>
        <w:t>Este projeto estabelece um fluxo dinâmico e assistido por um Wizard de 6 etapas sequenciais, projetado para guiar o consultor de implantação de forma que o onboarding completo de um RPPS de médio porte (até 30 ativos) seja executado de forma consistente em menos de 8 horas de trabalho de um consultor.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2. Arquitetura Geral e Tecnologias</w:t>
      </w:r>
    </w:p>
    <w:p>
      <w:pPr>
        <w:spacing w:after="160"/>
      </w:pPr>
      <w:r>
        <w:t>Para o MVP, priorizou-se uma arquitetura baseada em Static Web App / Frontend-Only (Client-Side). O objetivo é garantir portabilidade, agilidade na homologação de UX e execução isolada em qualquer máquina de consultoria, sem dependência imediata de servidores ou banco de dados integrados.</w:t>
      </w:r>
    </w:p>
    <w:p>
      <w:pPr>
        <w:spacing w:after="80"/>
      </w:pPr>
      <w:r>
        <w:rPr>
          <w:b/>
        </w:rPr>
        <w:t>Stack Tecnológica:</w:t>
      </w:r>
    </w:p>
    <w:p>
      <w:pPr>
        <w:pStyle w:val="ListBullet"/>
        <w:spacing w:before="0" w:after="60"/>
      </w:pPr>
      <w:r>
        <w:rPr>
          <w:b/>
        </w:rPr>
        <w:t xml:space="preserve">Estruturação: </w:t>
      </w:r>
      <w:r>
        <w:t>HTML5 Semântico.</w:t>
      </w:r>
    </w:p>
    <w:p>
      <w:pPr>
        <w:pStyle w:val="ListBullet"/>
        <w:spacing w:before="0" w:after="60"/>
      </w:pPr>
      <w:r>
        <w:rPr>
          <w:b/>
        </w:rPr>
        <w:t xml:space="preserve">Estilização e Temas: </w:t>
      </w:r>
      <w:r>
        <w:t>CSS3 Custom Properties (Variáveis CSS) para implementar o mecanismo de peles de interface (Dual-Skinning).</w:t>
      </w:r>
    </w:p>
    <w:p>
      <w:pPr>
        <w:pStyle w:val="ListBullet"/>
        <w:spacing w:before="0" w:after="60"/>
      </w:pPr>
      <w:r>
        <w:rPr>
          <w:b/>
        </w:rPr>
        <w:t xml:space="preserve">Lógica e Validações: </w:t>
      </w:r>
      <w:r>
        <w:t>JavaScript (ES6+) nativo, sem frameworks externos, para assegurar carregamento instantâneo.</w:t>
      </w:r>
    </w:p>
    <w:p>
      <w:pPr>
        <w:pStyle w:val="ListBullet"/>
        <w:spacing w:before="0" w:after="60"/>
      </w:pPr>
      <w:r>
        <w:rPr>
          <w:b/>
        </w:rPr>
        <w:t xml:space="preserve">Persistência: </w:t>
      </w:r>
      <w:r>
        <w:t>Window.localStorage para salvamento de estado do formulário e recuperação de sessões.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3. Requisitos de Software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3.1 Requisitos Funcionais (RF)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F172A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fill="0F172A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168"/>
            <w:shd w:fill="0F172A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5040"/>
            <w:shd w:fill="0F172A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15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RF-01</w:t>
            </w:r>
          </w:p>
        </w:tc>
        <w:tc>
          <w:tcPr>
            <w:tcW w:type="dxa" w:w="3168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Configuração do RPPS</w:t>
            </w:r>
          </w:p>
        </w:tc>
        <w:tc>
          <w:tcPr>
            <w:tcW w:type="dxa" w:w="504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Permitir o preenchimento de Razão Social, CNPJ, Ente Federativo (Estado e Município) e Nível Pró-Gestão vigente (Não Aderido, I, II, III ou IV).</w:t>
            </w:r>
          </w:p>
        </w:tc>
      </w:tr>
      <w:tr>
        <w:tc>
          <w:tcPr>
            <w:tcW w:type="dxa" w:w="115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RF-02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Gestão de Planos do Ente</w:t>
            </w:r>
          </w:p>
        </w:tc>
        <w:tc>
          <w:tcPr>
            <w:tcW w:type="dxa" w:w="504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Oferecer seleção de planos ativos no RPPS: Plano Previdenciário (Civil), Plano Financeiro (Militar/Segregado) e Taxa de Administração.</w:t>
            </w:r>
          </w:p>
        </w:tc>
      </w:tr>
      <w:tr>
        <w:tc>
          <w:tcPr>
            <w:tcW w:type="dxa" w:w="115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RF-03</w:t>
            </w:r>
          </w:p>
        </w:tc>
        <w:tc>
          <w:tcPr>
            <w:tcW w:type="dxa" w:w="3168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Cadastro de Responsáveis</w:t>
            </w:r>
          </w:p>
        </w:tc>
        <w:tc>
          <w:tcPr>
            <w:tcW w:type="dxa" w:w="504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Permitir a adição e deleção dinâmica de contatos institucionais do RPPS contendo Nome, E-mail, Telefone e Cargo do responsável.</w:t>
            </w:r>
          </w:p>
        </w:tc>
      </w:tr>
      <w:tr>
        <w:tc>
          <w:tcPr>
            <w:tcW w:type="dxa" w:w="115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RF-04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Convite de Usuários e Perfis</w:t>
            </w:r>
          </w:p>
        </w:tc>
        <w:tc>
          <w:tcPr>
            <w:tcW w:type="dxa" w:w="504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Permitir convidar novos usuários por e-mail com seleção de perfil de acesso: Administrador, Gestor, Conselheiro, Consultor e Leitura.</w:t>
            </w:r>
          </w:p>
        </w:tc>
      </w:tr>
      <w:tr>
        <w:tc>
          <w:tcPr>
            <w:tcW w:type="dxa" w:w="115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RF-05</w:t>
            </w:r>
          </w:p>
        </w:tc>
        <w:tc>
          <w:tcPr>
            <w:tcW w:type="dxa" w:w="3168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Importação de Carteira</w:t>
            </w:r>
          </w:p>
        </w:tc>
        <w:tc>
          <w:tcPr>
            <w:tcW w:type="dxa" w:w="504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Permitir upload de arquivo (.xlsx ou .csv) contendo os ativos vigentes na carteira do cliente, com barras de progresso simuladas para resposta operacional rápida.</w:t>
            </w:r>
          </w:p>
        </w:tc>
      </w:tr>
      <w:tr>
        <w:tc>
          <w:tcPr>
            <w:tcW w:type="dxa" w:w="115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RF-06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Mapeamento Legal</w:t>
            </w:r>
          </w:p>
        </w:tc>
        <w:tc>
          <w:tcPr>
            <w:tcW w:type="dxa" w:w="504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Executar mapeamento automático dos ativos importados para os respectivos artigos de alocação da Resolução CMN 4.963.</w:t>
            </w:r>
          </w:p>
        </w:tc>
      </w:tr>
      <w:tr>
        <w:tc>
          <w:tcPr>
            <w:tcW w:type="dxa" w:w="115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RF-07</w:t>
            </w:r>
          </w:p>
        </w:tc>
        <w:tc>
          <w:tcPr>
            <w:tcW w:type="dxa" w:w="3168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Parametrização da PAI</w:t>
            </w:r>
          </w:p>
        </w:tc>
        <w:tc>
          <w:tcPr>
            <w:tcW w:type="dxa" w:w="504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Permitir preenchimento dos limites percentuais da Política Anual de Investimentos por artigo do CMN para o ano vigente.</w:t>
            </w:r>
          </w:p>
        </w:tc>
      </w:tr>
      <w:tr>
        <w:tc>
          <w:tcPr>
            <w:tcW w:type="dxa" w:w="115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RF-08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Validação Ativa CMN 4.963</w:t>
            </w:r>
          </w:p>
        </w:tc>
        <w:tc>
          <w:tcPr>
            <w:tcW w:type="dxa" w:w="504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Bloquear o avanço do Wizard caso o somatório da PAI difira de 100% ou caso uma meta proposta supere o limite legal permitido pelo artigo do CMN.</w:t>
            </w:r>
          </w:p>
        </w:tc>
      </w:tr>
      <w:tr>
        <w:tc>
          <w:tcPr>
            <w:tcW w:type="dxa" w:w="115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RF-09</w:t>
            </w:r>
          </w:p>
        </w:tc>
        <w:tc>
          <w:tcPr>
            <w:tcW w:type="dxa" w:w="3168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Contas Bancárias</w:t>
            </w:r>
          </w:p>
        </w:tc>
        <w:tc>
          <w:tcPr>
            <w:tcW w:type="dxa" w:w="504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Permitir cadastro de contas correntes associadas aos respectivos planos do RPPS, definindo saldos iniciais de conciliação.</w:t>
            </w:r>
          </w:p>
        </w:tc>
      </w:tr>
      <w:tr>
        <w:tc>
          <w:tcPr>
            <w:tcW w:type="dxa" w:w="115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RF-10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Relatório de Conformidade</w:t>
            </w:r>
          </w:p>
        </w:tc>
        <w:tc>
          <w:tcPr>
            <w:tcW w:type="dxa" w:w="504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Consolidar os dados em um relatório detalhado separando os ativos em: Enquadrados, Desenquadrados e Críticos.</w:t>
            </w:r>
          </w:p>
        </w:tc>
      </w:tr>
      <w:tr>
        <w:tc>
          <w:tcPr>
            <w:tcW w:type="dxa" w:w="115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RF-11</w:t>
            </w:r>
          </w:p>
        </w:tc>
        <w:tc>
          <w:tcPr>
            <w:tcW w:type="dxa" w:w="3168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Salvamento Automático</w:t>
            </w:r>
          </w:p>
        </w:tc>
        <w:tc>
          <w:tcPr>
            <w:tcW w:type="dxa" w:w="504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Salvar o estado da máquina localmente a cada mudança de passo. Se o navegador for fechado, o Wizard reabre no passo salvo com dados preenchidos.</w:t>
            </w:r>
          </w:p>
        </w:tc>
      </w:tr>
      <w:tr>
        <w:tc>
          <w:tcPr>
            <w:tcW w:type="dxa" w:w="115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RF-12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Alternador Wireframe / Hifi</w:t>
            </w:r>
          </w:p>
        </w:tc>
        <w:tc>
          <w:tcPr>
            <w:tcW w:type="dxa" w:w="504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Oferecer toggle para alternar o CSS visual de um visual estrutural preto/branco (wireframe/blueprint) para um tema de alta fidelidade premium.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3.2 Requisitos Não-Funcionais (RNF)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F172A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fill="0F172A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592"/>
            <w:shd w:fill="0F172A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5616"/>
            <w:shd w:fill="0F172A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15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RNF-01</w:t>
            </w:r>
          </w:p>
        </w:tc>
        <w:tc>
          <w:tcPr>
            <w:tcW w:type="dxa" w:w="259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Tempo de Execução</w:t>
            </w:r>
          </w:p>
        </w:tc>
        <w:tc>
          <w:tcPr>
            <w:tcW w:type="dxa" w:w="5616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O fluxo de onboarding padrão de um RPPS de médio porte com até 30 ativos deve ser concluído pelo consultor em menos de 8 horas de trabalho.</w:t>
            </w:r>
          </w:p>
        </w:tc>
      </w:tr>
      <w:tr>
        <w:tc>
          <w:tcPr>
            <w:tcW w:type="dxa" w:w="115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RNF-02</w:t>
            </w:r>
          </w:p>
        </w:tc>
        <w:tc>
          <w:tcPr>
            <w:tcW w:type="dxa" w:w="259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Zero Dependências</w:t>
            </w:r>
          </w:p>
        </w:tc>
        <w:tc>
          <w:tcPr>
            <w:tcW w:type="dxa" w:w="5616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A aplicação não deve depender de conexão de rede externa ativa (APIs externas, CDN, banco de dados hospedado) para rodar o MVP.</w:t>
            </w:r>
          </w:p>
        </w:tc>
      </w:tr>
      <w:tr>
        <w:tc>
          <w:tcPr>
            <w:tcW w:type="dxa" w:w="115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RNF-03</w:t>
            </w:r>
          </w:p>
        </w:tc>
        <w:tc>
          <w:tcPr>
            <w:tcW w:type="dxa" w:w="259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Latência de Interface</w:t>
            </w:r>
          </w:p>
        </w:tc>
        <w:tc>
          <w:tcPr>
            <w:tcW w:type="dxa" w:w="5616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Validações de limites e somatórios de metas no grid do Passo 4 devem rodar em tempo de digitação (latência &lt; 50ms).</w:t>
            </w:r>
          </w:p>
        </w:tc>
      </w:tr>
      <w:tr>
        <w:tc>
          <w:tcPr>
            <w:tcW w:type="dxa" w:w="115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RNF-04</w:t>
            </w:r>
          </w:p>
        </w:tc>
        <w:tc>
          <w:tcPr>
            <w:tcW w:type="dxa" w:w="259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Responsividade</w:t>
            </w:r>
          </w:p>
        </w:tc>
        <w:tc>
          <w:tcPr>
            <w:tcW w:type="dxa" w:w="5616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A interface deve se ajustar automaticamente a telas de notebooks de 13 polegadas até monitores desktop de 24 polegadas sem quebras.</w:t>
            </w:r>
          </w:p>
        </w:tc>
      </w:tr>
      <w:tr>
        <w:tc>
          <w:tcPr>
            <w:tcW w:type="dxa" w:w="115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RNF-05</w:t>
            </w:r>
          </w:p>
        </w:tc>
        <w:tc>
          <w:tcPr>
            <w:tcW w:type="dxa" w:w="259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Dados no Client</w:t>
            </w:r>
          </w:p>
        </w:tc>
        <w:tc>
          <w:tcPr>
            <w:tcW w:type="dxa" w:w="5616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Todos os dados salvos devem permanecer no escopo de sandbox do navegador do cliente (localStorage), sem tráfego externo.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4. Modelagem e Estrutura de Dados</w:t>
      </w:r>
    </w:p>
    <w:p>
      <w:pPr>
        <w:spacing w:after="120"/>
      </w:pPr>
      <w:r>
        <w:t>A persistência local opera sobre uma única chave em formato JSON: rpps_wizard_state. Veja a estrutura lógica aplicada: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12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"currentStep": 1,</w:t>
              <w:br/>
              <w:t xml:space="preserve">  "theme": "high-fidelity-mode",</w:t>
              <w:br/>
              <w:t xml:space="preserve">  "rppsInfo": {</w:t>
              <w:br/>
              <w:t xml:space="preserve">    "nome": "Instituto de Previdência de Exemplo",</w:t>
              <w:br/>
              <w:t xml:space="preserve">    "cnpj": "12.345.678/0001-90",</w:t>
              <w:br/>
              <w:t xml:space="preserve">    "enteEstado": "SP",</w:t>
              <w:br/>
              <w:t xml:space="preserve">    "enteMunicipio": "São Paulo",</w:t>
              <w:br/>
              <w:t xml:space="preserve">    "progestao": "Nível II",</w:t>
              <w:br/>
              <w:t xml:space="preserve">    "planos": {</w:t>
              <w:br/>
              <w:t xml:space="preserve">      "civil": true,</w:t>
              <w:br/>
              <w:t xml:space="preserve">      "militar": false,</w:t>
              <w:br/>
              <w:t xml:space="preserve">      "taxa": true</w:t>
              <w:br/>
              <w:t xml:space="preserve">    },</w:t>
              <w:br/>
              <w:t xml:space="preserve">    "contacts": [</w:t>
              <w:br/>
              <w:t xml:space="preserve">      {</w:t>
              <w:br/>
              <w:t xml:space="preserve">        "nome": "Cláudio Silva",</w:t>
              <w:br/>
              <w:t xml:space="preserve">        "email": "claudio@rpps.sp.gov.br",</w:t>
              <w:br/>
              <w:t xml:space="preserve">        "telefone": "(11) 98765-4321",</w:t>
              <w:br/>
              <w:t xml:space="preserve">        "cargo": "Gestor"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"assets": [</w:t>
              <w:br/>
              <w:t xml:space="preserve">    {</w:t>
              <w:br/>
              <w:t xml:space="preserve">      "nome": "Tesouro IPCA+ 2035",</w:t>
              <w:br/>
              <w:t xml:space="preserve">      "cnpj": "Direto - Tesouro",</w:t>
              <w:br/>
              <w:t xml:space="preserve">      "saldo": 25000000.0,</w:t>
              <w:br/>
              <w:t xml:space="preserve">      "art": "7-1-a",</w:t>
              <w:br/>
              <w:t xml:space="preserve">      "status": "OK"</w:t>
              <w:br/>
              <w:t xml:space="preserve">    }</w:t>
              <w:br/>
              <w:t xml:space="preserve">  ],</w:t>
              <w:br/>
              <w:t xml:space="preserve">  "pai": {</w:t>
              <w:br/>
              <w:t xml:space="preserve">    "allocations": {</w:t>
              <w:br/>
              <w:t xml:space="preserve">      "7-1-a": 45.0,</w:t>
              <w:br/>
              <w:t xml:space="preserve">      "7-1-b": 25.0,</w:t>
              <w:br/>
              <w:t xml:space="preserve">      "7-3-a": 15.0,</w:t>
              <w:br/>
              <w:t xml:space="preserve">      "7-4": 5.0,</w:t>
              <w:br/>
              <w:t xml:space="preserve">      "8-1": 6.0,</w:t>
              <w:br/>
              <w:t xml:space="preserve">      "8-2": 4.0,</w:t>
              <w:br/>
              <w:t xml:space="preserve">      "9-a": 0.0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5. Regras de Negócio e Validação (Resolução CMN 4.963)</w:t>
      </w:r>
    </w:p>
    <w:p>
      <w:pPr>
        <w:spacing w:after="120"/>
      </w:pPr>
      <w:r>
        <w:t>O motor de validação regulatória no arquivo javascript aplica os limites máximos de carteira por segmento: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F172A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0F172A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Artigo Regulatório</w:t>
            </w:r>
          </w:p>
        </w:tc>
        <w:tc>
          <w:tcPr>
            <w:tcW w:type="dxa" w:w="5472"/>
            <w:shd w:fill="0F172A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Descrição Técnica</w:t>
            </w:r>
          </w:p>
        </w:tc>
        <w:tc>
          <w:tcPr>
            <w:tcW w:type="dxa" w:w="1728"/>
            <w:shd w:fill="0F172A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Limite Máximo CMN</w:t>
            </w:r>
          </w:p>
        </w:tc>
      </w:tr>
      <w:tr>
        <w:tc>
          <w:tcPr>
            <w:tcW w:type="dxa" w:w="216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Art. 7º, I, "a"</w:t>
            </w:r>
          </w:p>
        </w:tc>
        <w:tc>
          <w:tcPr>
            <w:tcW w:type="dxa" w:w="547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Títulos do Tesouro Nacional (Custódia Direta)</w:t>
            </w:r>
          </w:p>
        </w:tc>
        <w:tc>
          <w:tcPr>
            <w:tcW w:type="dxa" w:w="1728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100.00%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Art. 7º, I, "b"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Fundos de Renda Fixa referenciados em Títulos Públicos</w:t>
            </w:r>
          </w:p>
        </w:tc>
        <w:tc>
          <w:tcPr>
            <w:tcW w:type="dxa" w:w="1728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100.00%</w:t>
            </w:r>
          </w:p>
        </w:tc>
      </w:tr>
      <w:tr>
        <w:tc>
          <w:tcPr>
            <w:tcW w:type="dxa" w:w="216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Art. 7º, III, "a"</w:t>
            </w:r>
          </w:p>
        </w:tc>
        <w:tc>
          <w:tcPr>
            <w:tcW w:type="dxa" w:w="547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Fundos de Renda Fixa Crédito Privado / Geral</w:t>
            </w:r>
          </w:p>
        </w:tc>
        <w:tc>
          <w:tcPr>
            <w:tcW w:type="dxa" w:w="1728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60.00%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Art. 7º, IV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Fundos de Debêntures, FIDC ou CRI</w:t>
            </w:r>
          </w:p>
        </w:tc>
        <w:tc>
          <w:tcPr>
            <w:tcW w:type="dxa" w:w="1728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20.00%</w:t>
            </w:r>
          </w:p>
        </w:tc>
      </w:tr>
      <w:tr>
        <w:tc>
          <w:tcPr>
            <w:tcW w:type="dxa" w:w="216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Art. 8º, I</w:t>
            </w:r>
          </w:p>
        </w:tc>
        <w:tc>
          <w:tcPr>
            <w:tcW w:type="dxa" w:w="547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Fundos de Investimento em Renda Variável (Ações)</w:t>
            </w:r>
          </w:p>
        </w:tc>
        <w:tc>
          <w:tcPr>
            <w:tcW w:type="dxa" w:w="1728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30.00%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Art. 8º, II</w:t>
            </w:r>
          </w:p>
        </w:tc>
        <w:tc>
          <w:tcPr>
            <w:tcW w:type="dxa" w:w="5472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Fundos de Investimento Multimercado (FIM)</w:t>
            </w:r>
          </w:p>
        </w:tc>
        <w:tc>
          <w:tcPr>
            <w:tcW w:type="dxa" w:w="1728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15.00%</w:t>
            </w:r>
          </w:p>
        </w:tc>
      </w:tr>
      <w:tr>
        <w:tc>
          <w:tcPr>
            <w:tcW w:type="dxa" w:w="216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Art. 9º-A, III</w:t>
            </w:r>
          </w:p>
        </w:tc>
        <w:tc>
          <w:tcPr>
            <w:tcW w:type="dxa" w:w="5472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Fundos de Investimento no Exterior (BDR ou FIEX)</w:t>
            </w:r>
          </w:p>
        </w:tc>
        <w:tc>
          <w:tcPr>
            <w:tcW w:type="dxa" w:w="1728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10.00%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6. Arquitetura de UI/UX e Estratégia de Dual-Skinning</w:t>
      </w:r>
    </w:p>
    <w:p>
      <w:pPr>
        <w:spacing w:after="120"/>
      </w:pPr>
      <w:r>
        <w:t>Para viabilizar a alternância de pele em tempo real, a folha de estilo styles.css foi modelada com base em CSS Custom Properties herdadas pelo elemento body. A tabela abaixo resume as substituições: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F172A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0F172A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Variável CSS</w:t>
            </w:r>
          </w:p>
        </w:tc>
        <w:tc>
          <w:tcPr>
            <w:tcW w:type="dxa" w:w="3600"/>
            <w:shd w:fill="0F172A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Modo Alta Fidelidade</w:t>
            </w:r>
          </w:p>
        </w:tc>
        <w:tc>
          <w:tcPr>
            <w:tcW w:type="dxa" w:w="2880"/>
            <w:shd w:fill="0F172A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19"/>
              </w:rPr>
              <w:t>Modo Wireframe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--font-family-base</w:t>
            </w:r>
          </w:p>
        </w:tc>
        <w:tc>
          <w:tcPr>
            <w:tcW w:type="dxa" w:w="360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'Plus Jakarta Sans' (Sem serifa geométrica)</w:t>
            </w:r>
          </w:p>
        </w:tc>
        <w:tc>
          <w:tcPr>
            <w:tcW w:type="dxa" w:w="288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'Fira Code' (Monospace técnico)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--bg-app</w:t>
            </w:r>
          </w:p>
        </w:tc>
        <w:tc>
          <w:tcPr>
            <w:tcW w:type="dxa" w:w="360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Slate/Navy ultra escuro (#0b0f19)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Cinza claro técnico (#f1f5f9)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--border-color</w:t>
            </w:r>
          </w:p>
        </w:tc>
        <w:tc>
          <w:tcPr>
            <w:tcW w:type="dxa" w:w="360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Slate Cinza Suave (#374151)</w:t>
            </w:r>
          </w:p>
        </w:tc>
        <w:tc>
          <w:tcPr>
            <w:tcW w:type="dxa" w:w="288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Preto Sólido (#000000)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--border-radius</w:t>
            </w:r>
          </w:p>
        </w:tc>
        <w:tc>
          <w:tcPr>
            <w:tcW w:type="dxa" w:w="360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Bordas arredondadas (8px)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Bordas retas (0px)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--card-shadow</w:t>
            </w:r>
          </w:p>
        </w:tc>
        <w:tc>
          <w:tcPr>
            <w:tcW w:type="dxa" w:w="360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Sombras suaves com desfoque</w:t>
            </w:r>
          </w:p>
        </w:tc>
        <w:tc>
          <w:tcPr>
            <w:tcW w:type="dxa" w:w="2880"/>
          </w:tcPr>
          <w:p>
            <w:pPr>
              <w:spacing w:before="80" w:after="80"/>
              <w:jc w:val="left"/>
            </w:pPr>
            <w:r>
              <w:rPr>
                <w:color w:val="334155"/>
                <w:sz w:val="18"/>
              </w:rPr>
              <w:t>Nenhuma (plano)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