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0EC5" w:rsidRPr="008A0EC5" w:rsidRDefault="008A0EC5" w:rsidP="008A0EC5">
      <w:pPr>
        <w:pStyle w:val="Default"/>
        <w:jc w:val="center"/>
        <w:rPr>
          <w:b/>
          <w:bCs/>
          <w:lang w:val="es-MX"/>
        </w:rPr>
      </w:pPr>
      <w:r w:rsidRPr="008A0EC5">
        <w:rPr>
          <w:b/>
          <w:bCs/>
        </w:rPr>
        <w:t>TÍTULO III</w:t>
      </w:r>
    </w:p>
    <w:p w:rsidR="008A0EC5" w:rsidRDefault="008A0EC5" w:rsidP="008A0EC5">
      <w:pPr>
        <w:pStyle w:val="Default"/>
        <w:jc w:val="center"/>
        <w:rPr>
          <w:b/>
          <w:bCs/>
          <w:lang w:val="es-MX"/>
        </w:rPr>
      </w:pPr>
    </w:p>
    <w:p w:rsidR="008A0EC5" w:rsidRPr="008A0EC5" w:rsidRDefault="008A0EC5" w:rsidP="008A0EC5">
      <w:pPr>
        <w:pStyle w:val="Default"/>
        <w:jc w:val="center"/>
        <w:rPr>
          <w:b/>
          <w:bCs/>
          <w:lang w:val="es-MX"/>
        </w:rPr>
      </w:pPr>
      <w:r w:rsidRPr="008A0EC5">
        <w:rPr>
          <w:b/>
          <w:bCs/>
          <w:lang w:val="es-MX"/>
        </w:rPr>
        <w:t>Del Procedimiento Operativo</w:t>
      </w:r>
    </w:p>
    <w:p w:rsidR="008A0EC5" w:rsidRPr="008A0EC5" w:rsidRDefault="008A0EC5" w:rsidP="008A0EC5">
      <w:pPr>
        <w:pStyle w:val="Default"/>
        <w:rPr>
          <w:lang w:val="es-MX"/>
        </w:rPr>
      </w:pPr>
    </w:p>
    <w:p w:rsidR="008A0EC5" w:rsidRPr="008A0EC5" w:rsidRDefault="008A0EC5" w:rsidP="008A0EC5">
      <w:pPr>
        <w:pStyle w:val="Default"/>
        <w:rPr>
          <w:lang w:val="es-MX"/>
        </w:rPr>
      </w:pPr>
      <w:r w:rsidRPr="008A0EC5">
        <w:rPr>
          <w:b/>
          <w:bCs/>
          <w:lang w:val="es-MX"/>
        </w:rPr>
        <w:t xml:space="preserve">Artículo 43. </w:t>
      </w:r>
      <w:r w:rsidRPr="008A0EC5">
        <w:rPr>
          <w:lang w:val="es-MX"/>
        </w:rPr>
        <w:t xml:space="preserve">La Solicitud de Apoyo del Programa de Fomento a la Productividad Pesquera y Acuícola debe entregarse dentro de los plazos y las fechas señaladas en las presentes Reglas de Operación, en las ventanillas que establezca la Instancia Ejecutora y entregar la documentación requerida. </w:t>
      </w:r>
    </w:p>
    <w:p w:rsidR="008A0EC5" w:rsidRPr="008A0EC5" w:rsidRDefault="008A0EC5" w:rsidP="008A0EC5">
      <w:pPr>
        <w:pStyle w:val="Default"/>
        <w:rPr>
          <w:lang w:val="es-MX"/>
        </w:rPr>
      </w:pPr>
      <w:r w:rsidRPr="008A0EC5">
        <w:rPr>
          <w:lang w:val="es-MX"/>
        </w:rPr>
        <w:t xml:space="preserve">Las Unidades Responsables y/o Instancias Ejecutoras sólo podrán exigir al solicitante los datos y documentos que se establecen dentro del cuerpo de las Reglas de Operación, por lo que no existe obligación por parte del solicitante de entregar algún otro documento o información adicional que le sea requerida. </w:t>
      </w:r>
    </w:p>
    <w:p w:rsidR="008A0EC5" w:rsidRPr="008A0EC5" w:rsidRDefault="008A0EC5" w:rsidP="008A0EC5">
      <w:pPr>
        <w:pStyle w:val="Default"/>
        <w:rPr>
          <w:lang w:val="es-MX"/>
        </w:rPr>
      </w:pPr>
      <w:r w:rsidRPr="008A0EC5">
        <w:rPr>
          <w:lang w:val="es-MX"/>
        </w:rPr>
        <w:t xml:space="preserve">Para el trámite de apoyo del Programa y sus componentes a que se refieren las presentes Reglas de Operación, se deberá seguir el procedimiento siguiente: </w:t>
      </w:r>
    </w:p>
    <w:p w:rsidR="008A0EC5" w:rsidRPr="008A0EC5" w:rsidRDefault="008A0EC5" w:rsidP="008A0EC5">
      <w:pPr>
        <w:pStyle w:val="Default"/>
        <w:rPr>
          <w:b/>
          <w:bCs/>
          <w:lang w:val="es-MX"/>
        </w:rPr>
      </w:pPr>
    </w:p>
    <w:p w:rsidR="008A0EC5" w:rsidRPr="008A0EC5" w:rsidRDefault="008A0EC5" w:rsidP="008A0EC5">
      <w:pPr>
        <w:pStyle w:val="Default"/>
        <w:rPr>
          <w:lang w:val="es-MX"/>
        </w:rPr>
      </w:pPr>
      <w:r w:rsidRPr="008A0EC5">
        <w:rPr>
          <w:b/>
          <w:bCs/>
          <w:lang w:val="es-MX"/>
        </w:rPr>
        <w:t xml:space="preserve">I. La ventanilla: </w:t>
      </w:r>
    </w:p>
    <w:p w:rsidR="008A0EC5" w:rsidRPr="008A0EC5" w:rsidRDefault="008A0EC5" w:rsidP="008A0EC5">
      <w:pPr>
        <w:pStyle w:val="Default"/>
        <w:rPr>
          <w:lang w:val="es-MX"/>
        </w:rPr>
      </w:pPr>
      <w:r w:rsidRPr="008A0EC5">
        <w:rPr>
          <w:lang w:val="es-MX"/>
        </w:rPr>
        <w:t xml:space="preserve">a) Recibe el formato de Solicitud de Apoyo y documentos anexos de acuerdo a los requisitos generales y específicos del componente y Subcomponente solicitado; </w:t>
      </w:r>
    </w:p>
    <w:p w:rsidR="008A0EC5" w:rsidRPr="008A0EC5" w:rsidRDefault="008A0EC5" w:rsidP="008A0EC5">
      <w:pPr>
        <w:pStyle w:val="Default"/>
        <w:rPr>
          <w:lang w:val="es-MX"/>
        </w:rPr>
      </w:pPr>
      <w:r w:rsidRPr="008A0EC5">
        <w:rPr>
          <w:lang w:val="es-MX"/>
        </w:rPr>
        <w:t xml:space="preserve">b) Si al solicitante le falta alguno(s) </w:t>
      </w:r>
      <w:proofErr w:type="gramStart"/>
      <w:r w:rsidRPr="008A0EC5">
        <w:rPr>
          <w:lang w:val="es-MX"/>
        </w:rPr>
        <w:t>de los requisito</w:t>
      </w:r>
      <w:proofErr w:type="gramEnd"/>
      <w:r w:rsidRPr="008A0EC5">
        <w:rPr>
          <w:lang w:val="es-MX"/>
        </w:rPr>
        <w:t xml:space="preserve">(s) señalados en las presentes Reglas de Operación para el componente y Subcomponente correspondiente, se le hará saber explicándole el procedimiento a seguir para cumplir con dicho requisito y los plazos legales para el cumplimiento; </w:t>
      </w:r>
    </w:p>
    <w:p w:rsidR="008A0EC5" w:rsidRPr="008A0EC5" w:rsidRDefault="008A0EC5" w:rsidP="008A0EC5">
      <w:pPr>
        <w:pStyle w:val="Default"/>
        <w:rPr>
          <w:lang w:val="es-MX"/>
        </w:rPr>
      </w:pPr>
      <w:r w:rsidRPr="008A0EC5">
        <w:rPr>
          <w:lang w:val="es-MX"/>
        </w:rPr>
        <w:t xml:space="preserve">c) Entrega al solicitante un acuse de recibo con el folio de registro el cual deberá conservar para el seguimiento y conclusión de su trámite, y </w:t>
      </w:r>
    </w:p>
    <w:p w:rsidR="008A0EC5" w:rsidRPr="008A0EC5" w:rsidRDefault="008A0EC5" w:rsidP="008A0EC5">
      <w:pPr>
        <w:rPr>
          <w:rFonts w:ascii="Arial" w:hAnsi="Arial" w:cs="Arial"/>
          <w:sz w:val="24"/>
          <w:szCs w:val="24"/>
          <w:lang w:val="es-MX"/>
        </w:rPr>
      </w:pPr>
      <w:r w:rsidRPr="008A0EC5">
        <w:rPr>
          <w:rFonts w:ascii="Arial" w:hAnsi="Arial" w:cs="Arial"/>
          <w:sz w:val="24"/>
          <w:szCs w:val="24"/>
          <w:lang w:val="es-MX"/>
        </w:rPr>
        <w:t>d) Integra el expediente y lo remite con sus anexos a la Unidad Responsable y/o Instancia Ejecutora correspondiente, en un plazo no mayor a cinco días hábiles.</w:t>
      </w:r>
    </w:p>
    <w:p w:rsidR="008A0EC5" w:rsidRPr="008A0EC5" w:rsidRDefault="008A0EC5" w:rsidP="008A0EC5">
      <w:pPr>
        <w:pStyle w:val="Default"/>
        <w:rPr>
          <w:lang w:val="es-MX"/>
        </w:rPr>
      </w:pPr>
      <w:r w:rsidRPr="008A0EC5">
        <w:rPr>
          <w:b/>
          <w:bCs/>
          <w:lang w:val="es-MX"/>
        </w:rPr>
        <w:t xml:space="preserve">II. La Instancia Ejecutora: </w:t>
      </w:r>
    </w:p>
    <w:p w:rsidR="008A0EC5" w:rsidRPr="008A0EC5" w:rsidRDefault="008A0EC5" w:rsidP="008A0EC5">
      <w:pPr>
        <w:pStyle w:val="Default"/>
        <w:rPr>
          <w:lang w:val="es-MX"/>
        </w:rPr>
      </w:pPr>
      <w:r w:rsidRPr="008A0EC5">
        <w:rPr>
          <w:lang w:val="es-MX"/>
        </w:rPr>
        <w:t xml:space="preserve">a) En caso de que la Solicitud de Apoyo no contenga los datos o no se cumplan los requisitos aplicables, se deberá prevenir al solicitante mediante publicación en la ventanilla correspondiente y en la página electrónica de la Instancia Ejecutora por una sola vez, identificando el trámite por su número de folio, para que subsane la omisión en un plazo no mayor de 10 días hábiles, contados a partir del día de la notificación, por lo que una vez que el solicitante presente completos los requisitos, se continuará con el trámite. Transcurrido el plazo de 10 días hábiles, sin que se desahogue la prevención, se tendrá por no presentada la Solicitud de Apoyo, y </w:t>
      </w:r>
    </w:p>
    <w:p w:rsidR="008A0EC5" w:rsidRPr="008A0EC5" w:rsidRDefault="008A0EC5" w:rsidP="008A0EC5">
      <w:pPr>
        <w:rPr>
          <w:rFonts w:ascii="Arial" w:hAnsi="Arial" w:cs="Arial"/>
          <w:sz w:val="24"/>
          <w:szCs w:val="24"/>
          <w:lang w:val="es-MX"/>
        </w:rPr>
      </w:pPr>
      <w:r w:rsidRPr="008A0EC5">
        <w:rPr>
          <w:rFonts w:ascii="Arial" w:hAnsi="Arial" w:cs="Arial"/>
          <w:sz w:val="24"/>
          <w:szCs w:val="24"/>
          <w:lang w:val="es-MX"/>
        </w:rPr>
        <w:t>b) Publica el listado de beneficiarios autorizados y el de los solicitantes rechazados en las ventanillas correspondientes y en la página electrónica del Instituto Nacional de Pesca y Acuacultura, en un plazo no mayor a dos meses contados a partir de la fecha de cierre de ventanillas, salvo que en los componentes de las presentes Reglas de Operación se determine un plazo diferente.</w:t>
      </w:r>
    </w:p>
    <w:p w:rsidR="008A0EC5" w:rsidRPr="008A0EC5" w:rsidRDefault="008A0EC5" w:rsidP="008A0EC5">
      <w:pPr>
        <w:pStyle w:val="Default"/>
        <w:rPr>
          <w:lang w:val="es-MX"/>
        </w:rPr>
      </w:pPr>
      <w:r w:rsidRPr="008A0EC5">
        <w:rPr>
          <w:b/>
          <w:bCs/>
          <w:lang w:val="es-MX"/>
        </w:rPr>
        <w:t xml:space="preserve">III. Procedimiento de selección </w:t>
      </w:r>
      <w:r w:rsidRPr="008A0EC5">
        <w:rPr>
          <w:lang w:val="es-MX"/>
        </w:rPr>
        <w:t xml:space="preserve">(De acuerdo al componente y subcomponente del que se trate): </w:t>
      </w:r>
    </w:p>
    <w:p w:rsidR="008A0EC5" w:rsidRPr="008A0EC5" w:rsidRDefault="008A0EC5" w:rsidP="008A0EC5">
      <w:pPr>
        <w:pStyle w:val="Default"/>
        <w:rPr>
          <w:lang w:val="es-MX"/>
        </w:rPr>
      </w:pPr>
      <w:r w:rsidRPr="008A0EC5">
        <w:rPr>
          <w:lang w:val="es-MX"/>
        </w:rPr>
        <w:t xml:space="preserve">a) El que cumpla con la pertenencia a la población objetivo, los criterios, requisitos generales y específicos hasta agotar la disponibilidad presupuestaria, y </w:t>
      </w:r>
    </w:p>
    <w:p w:rsidR="008A0EC5" w:rsidRDefault="008A0EC5" w:rsidP="008A0EC5">
      <w:pPr>
        <w:pStyle w:val="Default"/>
        <w:rPr>
          <w:lang w:val="es-MX"/>
        </w:rPr>
      </w:pPr>
      <w:r w:rsidRPr="008A0EC5">
        <w:rPr>
          <w:lang w:val="es-MX"/>
        </w:rPr>
        <w:lastRenderedPageBreak/>
        <w:t>b) El que obtenga la mejor calificación con base en la evaluación técnica y/o económica y/o financiera, legal e impacto social y/o los criterios de elegibilidad de cada componente. En caso de que las Solicitudes de Apoyo alcancen un nivel de calificación similar, se atenderán conforme a la fecha y en su caso, hora de ingreso de las mismas.</w:t>
      </w:r>
    </w:p>
    <w:p w:rsidR="008A0EC5" w:rsidRPr="008A0EC5" w:rsidRDefault="008A0EC5" w:rsidP="008A0EC5">
      <w:pPr>
        <w:pStyle w:val="Default"/>
        <w:rPr>
          <w:lang w:val="es-MX"/>
        </w:rPr>
      </w:pPr>
      <w:r w:rsidRPr="008A0EC5">
        <w:rPr>
          <w:lang w:val="es-MX"/>
        </w:rPr>
        <w:t xml:space="preserve"> </w:t>
      </w:r>
    </w:p>
    <w:p w:rsidR="008A0EC5" w:rsidRPr="008A0EC5" w:rsidRDefault="008A0EC5" w:rsidP="008A0EC5">
      <w:pPr>
        <w:pStyle w:val="Default"/>
        <w:rPr>
          <w:lang w:val="es-MX"/>
        </w:rPr>
      </w:pPr>
      <w:r w:rsidRPr="008A0EC5">
        <w:rPr>
          <w:b/>
          <w:bCs/>
          <w:lang w:val="es-MX"/>
        </w:rPr>
        <w:t xml:space="preserve">IV. Entrega de apoyo o subsidio: </w:t>
      </w:r>
    </w:p>
    <w:p w:rsidR="008A0EC5" w:rsidRPr="008A0EC5" w:rsidRDefault="008A0EC5" w:rsidP="008A0EC5">
      <w:pPr>
        <w:pStyle w:val="Default"/>
        <w:rPr>
          <w:lang w:val="es-MX"/>
        </w:rPr>
      </w:pPr>
      <w:r w:rsidRPr="008A0EC5">
        <w:rPr>
          <w:lang w:val="es-MX"/>
        </w:rPr>
        <w:t xml:space="preserve">a) La Instancia que corresponda (Unidad Responsable y/o Instancia Ejecutora) suscribe el instrumento jurídico respectivo con el beneficiario para la entrega del subsidio. </w:t>
      </w:r>
    </w:p>
    <w:p w:rsidR="008A0EC5" w:rsidRPr="008A0EC5" w:rsidRDefault="008A0EC5" w:rsidP="008A0EC5">
      <w:pPr>
        <w:pStyle w:val="Default"/>
        <w:rPr>
          <w:lang w:val="es-MX"/>
        </w:rPr>
      </w:pPr>
      <w:r w:rsidRPr="008A0EC5">
        <w:rPr>
          <w:lang w:val="es-MX"/>
        </w:rPr>
        <w:t xml:space="preserve">Para el caso de los componentes que así lo requieran, el beneficiario dispondrá de hasta treinta días hábiles, contados a partir del día siguiente a la firma del Convenio de Concertación, para exhibir los documentos que demuestren que realizó su aportación del recurso al que se obligó en su Proyecto y conforme se acordó en el Convenio de Concertación. De abstenerse, se le tendrá por desistido del apoyo autorizado, sin que para tal efecto se requiera su consentimiento expreso mediante escrito; </w:t>
      </w:r>
    </w:p>
    <w:p w:rsidR="008A0EC5" w:rsidRPr="008A0EC5" w:rsidRDefault="008A0EC5" w:rsidP="008A0EC5">
      <w:pPr>
        <w:pStyle w:val="Default"/>
        <w:rPr>
          <w:lang w:val="es-MX"/>
        </w:rPr>
      </w:pPr>
      <w:r w:rsidRPr="008A0EC5">
        <w:rPr>
          <w:lang w:val="es-MX"/>
        </w:rPr>
        <w:t xml:space="preserve">b) Se realiza la transferencia del subsidio al beneficiario, y </w:t>
      </w:r>
    </w:p>
    <w:p w:rsidR="008A0EC5" w:rsidRPr="008A0EC5" w:rsidRDefault="008A0EC5" w:rsidP="008A0EC5">
      <w:pPr>
        <w:rPr>
          <w:rFonts w:ascii="Arial" w:hAnsi="Arial" w:cs="Arial"/>
          <w:sz w:val="24"/>
          <w:szCs w:val="24"/>
          <w:lang w:val="es-MX"/>
        </w:rPr>
      </w:pPr>
      <w:r w:rsidRPr="008A0EC5">
        <w:rPr>
          <w:rFonts w:ascii="Arial" w:hAnsi="Arial" w:cs="Arial"/>
          <w:sz w:val="24"/>
          <w:szCs w:val="24"/>
          <w:lang w:val="es-MX"/>
        </w:rPr>
        <w:t>c) Tratándose de subsidios que por decisión del beneficiario sean aplicados a través de proveedores que libremente elija se deberá contar con la cesión de derechos del beneficiario/a en favor del citado proveedor.</w:t>
      </w:r>
    </w:p>
    <w:p w:rsidR="008A0EC5" w:rsidRPr="008A0EC5" w:rsidRDefault="008A0EC5" w:rsidP="008A0EC5">
      <w:pPr>
        <w:pStyle w:val="Default"/>
        <w:rPr>
          <w:lang w:val="es-MX"/>
        </w:rPr>
      </w:pPr>
      <w:r w:rsidRPr="008A0EC5">
        <w:rPr>
          <w:b/>
          <w:bCs/>
          <w:lang w:val="es-MX"/>
        </w:rPr>
        <w:t xml:space="preserve">V. Comprobación de los incentivos o subsidios: </w:t>
      </w:r>
    </w:p>
    <w:p w:rsidR="008A0EC5" w:rsidRPr="008A0EC5" w:rsidRDefault="008A0EC5" w:rsidP="008A0EC5">
      <w:pPr>
        <w:pStyle w:val="Default"/>
        <w:rPr>
          <w:lang w:val="es-MX"/>
        </w:rPr>
      </w:pPr>
      <w:r w:rsidRPr="008A0EC5">
        <w:rPr>
          <w:lang w:val="es-MX"/>
        </w:rPr>
        <w:t xml:space="preserve">a) El beneficiario/a o representante legal presentará la factura electrónica conforme a la normatividad aplicable y en su caso el comprobante correspondiente que establezca el componente. La Unidad Responsable reconocerá el gasto relacionado con el proyecto, a partir del 1 de enero y hasta el 31 de diciembre del ejercicio fiscal correspondiente, o hasta la fecha de conclusión para apoyos devengados al cierre del ejercicio fiscal y concluido durante el siguiente año. Para este último caso, y en los componentes y subcomponentes que aplique, deberá estar vigente el instrumento jurídico suscrito mediante Convenio Modificatorio o </w:t>
      </w:r>
      <w:proofErr w:type="spellStart"/>
      <w:r w:rsidRPr="008A0EC5">
        <w:rPr>
          <w:lang w:val="es-MX"/>
        </w:rPr>
        <w:t>Addendum</w:t>
      </w:r>
      <w:proofErr w:type="spellEnd"/>
      <w:r w:rsidRPr="008A0EC5">
        <w:rPr>
          <w:lang w:val="es-MX"/>
        </w:rPr>
        <w:t xml:space="preserve">; </w:t>
      </w:r>
    </w:p>
    <w:p w:rsidR="008A0EC5" w:rsidRPr="008A0EC5" w:rsidRDefault="008A0EC5" w:rsidP="008A0EC5">
      <w:pPr>
        <w:pStyle w:val="Default"/>
        <w:rPr>
          <w:lang w:val="es-MX"/>
        </w:rPr>
      </w:pPr>
      <w:r w:rsidRPr="008A0EC5">
        <w:rPr>
          <w:lang w:val="es-MX"/>
        </w:rPr>
        <w:t xml:space="preserve">b) Tratándose de incentivos aplicados a través de convenios con los beneficiarios/as, la documentación que avala el recibo de incentivos serán los comprobantes fiscales presentados por estos últimos; así como la verificación de la comprobación de la erogación del recurso público por parte de la Instancia Ejecutora, con independencia del seguimiento que hasta el finiquito de los mismos llegase a corresponder; </w:t>
      </w:r>
    </w:p>
    <w:p w:rsidR="008A0EC5" w:rsidRPr="008A0EC5" w:rsidRDefault="008A0EC5" w:rsidP="008A0EC5">
      <w:pPr>
        <w:pStyle w:val="Default"/>
        <w:rPr>
          <w:lang w:val="es-MX"/>
        </w:rPr>
      </w:pPr>
      <w:r w:rsidRPr="008A0EC5">
        <w:rPr>
          <w:lang w:val="es-MX"/>
        </w:rPr>
        <w:t xml:space="preserve">c) El beneficiario/a deberá poner en las facturas electrónicas y demás documentación digital que se utilice para comprobar el subsidio la leyenda: El presente documento forma parte de la comprobación del subsidio federal del subcomponente (señalar el nombre del subcomponente que corresponda de acuerdo a lo solicitado y otorgado en 2019), la cual deberán estar firmadas por el beneficiario/a o su representante legal; </w:t>
      </w:r>
    </w:p>
    <w:p w:rsidR="008A0EC5" w:rsidRPr="008A0EC5" w:rsidRDefault="008A0EC5" w:rsidP="008A0EC5">
      <w:pPr>
        <w:pStyle w:val="Default"/>
        <w:rPr>
          <w:lang w:val="es-MX"/>
        </w:rPr>
      </w:pPr>
      <w:r w:rsidRPr="008A0EC5">
        <w:rPr>
          <w:lang w:val="es-MX"/>
        </w:rPr>
        <w:t xml:space="preserve">d) Para los subcomponentes que se aplican de forma directa o mediante padrón de beneficiarios/as, a través de medios electrónicos de pago a la cuenta (sistema bancarizado) o medio de disposición de cada beneficiario/a, de manera nominativa, la documentación que avala la entrega recepción de los incentivos será la orden de depósito de la Instancia Ejecutora o los reportes; </w:t>
      </w:r>
    </w:p>
    <w:p w:rsidR="008A0EC5" w:rsidRPr="008A0EC5" w:rsidRDefault="008A0EC5" w:rsidP="008A0EC5">
      <w:pPr>
        <w:pStyle w:val="Default"/>
        <w:rPr>
          <w:lang w:val="es-MX"/>
        </w:rPr>
      </w:pPr>
      <w:r w:rsidRPr="008A0EC5">
        <w:rPr>
          <w:lang w:val="es-MX"/>
        </w:rPr>
        <w:t xml:space="preserve">e) En su caso, el beneficiario/a conservará en carácter de depositario los expedientes únicos contables, así como la documentación soporte y Acta Finiquito de la comprobación de los recursos, por un término mínimo de cinco años y otorgará las facilidades a la Unidad Responsable y/o autoridades fiscalizadoras y hacendarias, para </w:t>
      </w:r>
      <w:r w:rsidRPr="008A0EC5">
        <w:rPr>
          <w:lang w:val="es-MX"/>
        </w:rPr>
        <w:lastRenderedPageBreak/>
        <w:t xml:space="preserve">su evaluación y auditorías </w:t>
      </w:r>
      <w:proofErr w:type="gramStart"/>
      <w:r w:rsidRPr="008A0EC5">
        <w:rPr>
          <w:lang w:val="es-MX"/>
        </w:rPr>
        <w:t>que</w:t>
      </w:r>
      <w:proofErr w:type="gramEnd"/>
      <w:r w:rsidRPr="008A0EC5">
        <w:rPr>
          <w:lang w:val="es-MX"/>
        </w:rPr>
        <w:t xml:space="preserve"> en su caso, las autoridades competentes decidan practicar, y </w:t>
      </w:r>
    </w:p>
    <w:p w:rsidR="008A0EC5" w:rsidRPr="008A0EC5" w:rsidRDefault="008A0EC5" w:rsidP="008A0EC5">
      <w:pPr>
        <w:rPr>
          <w:rFonts w:ascii="Arial" w:hAnsi="Arial" w:cs="Arial"/>
          <w:sz w:val="24"/>
          <w:szCs w:val="24"/>
          <w:lang w:val="es-MX"/>
        </w:rPr>
      </w:pPr>
      <w:r w:rsidRPr="008A0EC5">
        <w:rPr>
          <w:rFonts w:ascii="Arial" w:hAnsi="Arial" w:cs="Arial"/>
          <w:sz w:val="24"/>
          <w:szCs w:val="24"/>
          <w:lang w:val="es-MX"/>
        </w:rPr>
        <w:t>f) La documentación fiscal digital, en original o copia certificada que avala el recibo de incentivos deberá formar parte del expediente correspondiente siendo responsabilidad de la Instancia Ejecutora su resguardo para los efectos legales correspondientes, por el tiempo que establece la normatividad aplicable.</w:t>
      </w:r>
    </w:p>
    <w:p w:rsidR="008A0EC5" w:rsidRPr="008A0EC5" w:rsidRDefault="008A0EC5" w:rsidP="008A0EC5">
      <w:pPr>
        <w:pStyle w:val="Default"/>
        <w:rPr>
          <w:lang w:val="es-MX"/>
        </w:rPr>
      </w:pPr>
      <w:r w:rsidRPr="008A0EC5">
        <w:rPr>
          <w:b/>
          <w:bCs/>
          <w:lang w:val="es-MX"/>
        </w:rPr>
        <w:t xml:space="preserve">VI. Seguimiento y supervisión de la dependencia del uso de los recursos del erario público: </w:t>
      </w:r>
    </w:p>
    <w:p w:rsidR="008A0EC5" w:rsidRPr="008A0EC5" w:rsidRDefault="008A0EC5" w:rsidP="008A0EC5">
      <w:pPr>
        <w:pStyle w:val="Default"/>
        <w:rPr>
          <w:lang w:val="es-MX"/>
        </w:rPr>
      </w:pPr>
      <w:r w:rsidRPr="008A0EC5">
        <w:rPr>
          <w:lang w:val="es-MX"/>
        </w:rPr>
        <w:t xml:space="preserve">La Unidad Responsable o quien ésta determine, en cumplimiento de la normatividad establecida en las presentes Reglas de Operación, realizará la supervisión de la aplicación de los subsidios otorgados a los beneficiarios/as, debiendo estos comprobar y permitir la verificación relativa a los conceptos siguientes: </w:t>
      </w:r>
    </w:p>
    <w:p w:rsidR="008A0EC5" w:rsidRPr="008A0EC5" w:rsidRDefault="008A0EC5" w:rsidP="008A0EC5">
      <w:pPr>
        <w:pStyle w:val="Default"/>
        <w:rPr>
          <w:lang w:val="es-MX"/>
        </w:rPr>
      </w:pPr>
      <w:r w:rsidRPr="008A0EC5">
        <w:rPr>
          <w:lang w:val="es-MX"/>
        </w:rPr>
        <w:t xml:space="preserve">a) Los avances del proyecto; </w:t>
      </w:r>
    </w:p>
    <w:p w:rsidR="008A0EC5" w:rsidRPr="008A0EC5" w:rsidRDefault="008A0EC5" w:rsidP="008A0EC5">
      <w:pPr>
        <w:pStyle w:val="Default"/>
        <w:rPr>
          <w:lang w:val="es-MX"/>
        </w:rPr>
      </w:pPr>
      <w:r w:rsidRPr="008A0EC5">
        <w:rPr>
          <w:lang w:val="es-MX"/>
        </w:rPr>
        <w:t>b) La aplicación de la totalidad de los recursos en los conceptos y montos autorizados, el cumplimiento de las obligaciones y los compromisos contraídos, la existencia del bien en su caso (de acuerdo a las</w:t>
      </w:r>
      <w:r w:rsidRPr="008A0EC5">
        <w:rPr>
          <w:lang w:val="es-MX"/>
        </w:rPr>
        <w:t xml:space="preserve"> </w:t>
      </w:r>
      <w:r w:rsidRPr="008A0EC5">
        <w:rPr>
          <w:lang w:val="es-MX"/>
        </w:rPr>
        <w:t xml:space="preserve">características y en los términos autorizados por la Instancia Ejecutora o establecidos en el convenio correspondiente); </w:t>
      </w:r>
    </w:p>
    <w:p w:rsidR="008A0EC5" w:rsidRPr="008A0EC5" w:rsidRDefault="008A0EC5" w:rsidP="008A0EC5">
      <w:pPr>
        <w:pStyle w:val="Default"/>
        <w:rPr>
          <w:lang w:val="es-MX"/>
        </w:rPr>
      </w:pPr>
      <w:r w:rsidRPr="008A0EC5">
        <w:rPr>
          <w:lang w:val="es-MX"/>
        </w:rPr>
        <w:t xml:space="preserve">c) La verificación de la existencia del solicitante y predio; </w:t>
      </w:r>
    </w:p>
    <w:p w:rsidR="008A0EC5" w:rsidRPr="008A0EC5" w:rsidRDefault="008A0EC5" w:rsidP="008A0EC5">
      <w:pPr>
        <w:pStyle w:val="Default"/>
        <w:rPr>
          <w:lang w:val="es-MX"/>
        </w:rPr>
      </w:pPr>
      <w:r w:rsidRPr="008A0EC5">
        <w:rPr>
          <w:lang w:val="es-MX"/>
        </w:rPr>
        <w:t xml:space="preserve">d) La operación de la unidad de producción con la aplicación de los recursos federales (con base en el proyecto, convenio, contrato o programa de trabajo establecido por la Unidad Responsable y/o la Instancia Ejecutora); </w:t>
      </w:r>
    </w:p>
    <w:p w:rsidR="008A0EC5" w:rsidRPr="008A0EC5" w:rsidRDefault="008A0EC5" w:rsidP="008A0EC5">
      <w:pPr>
        <w:pStyle w:val="Default"/>
        <w:rPr>
          <w:lang w:val="es-MX"/>
        </w:rPr>
      </w:pPr>
      <w:r w:rsidRPr="008A0EC5">
        <w:rPr>
          <w:lang w:val="es-MX"/>
        </w:rPr>
        <w:t xml:space="preserve">e) Los empleos directos que genera; </w:t>
      </w:r>
    </w:p>
    <w:p w:rsidR="008A0EC5" w:rsidRPr="008A0EC5" w:rsidRDefault="008A0EC5" w:rsidP="008A0EC5">
      <w:pPr>
        <w:pStyle w:val="Default"/>
        <w:rPr>
          <w:lang w:val="es-MX"/>
        </w:rPr>
      </w:pPr>
      <w:r w:rsidRPr="008A0EC5">
        <w:rPr>
          <w:lang w:val="es-MX"/>
        </w:rPr>
        <w:t xml:space="preserve">f) El impacto del recurso federal otorgado al beneficiario/a; </w:t>
      </w:r>
    </w:p>
    <w:p w:rsidR="008A0EC5" w:rsidRPr="008A0EC5" w:rsidRDefault="008A0EC5" w:rsidP="008A0EC5">
      <w:pPr>
        <w:pStyle w:val="Default"/>
        <w:rPr>
          <w:lang w:val="es-MX"/>
        </w:rPr>
      </w:pPr>
      <w:r w:rsidRPr="008A0EC5">
        <w:rPr>
          <w:lang w:val="es-MX"/>
        </w:rPr>
        <w:t xml:space="preserve">g) La productividad de la Unidad de Producción, con base en los datos técnicos del proyecto, convenio, contrato, anexo técnico, términos de referencia o programa de trabajo; </w:t>
      </w:r>
    </w:p>
    <w:p w:rsidR="008A0EC5" w:rsidRPr="008A0EC5" w:rsidRDefault="008A0EC5" w:rsidP="008A0EC5">
      <w:pPr>
        <w:pStyle w:val="Default"/>
        <w:rPr>
          <w:lang w:val="es-MX"/>
        </w:rPr>
      </w:pPr>
      <w:r w:rsidRPr="008A0EC5">
        <w:rPr>
          <w:lang w:val="es-MX"/>
        </w:rPr>
        <w:t xml:space="preserve">h) Lo señalado en los reportes sobre los avances en la implementación de los proyectos productivos, así como del informe general de la aplicación del recurso, y </w:t>
      </w:r>
    </w:p>
    <w:p w:rsidR="008A0EC5" w:rsidRPr="008A0EC5" w:rsidRDefault="008A0EC5" w:rsidP="008A0EC5">
      <w:pPr>
        <w:pStyle w:val="Default"/>
        <w:rPr>
          <w:lang w:val="es-MX"/>
        </w:rPr>
      </w:pPr>
      <w:r w:rsidRPr="008A0EC5">
        <w:rPr>
          <w:lang w:val="es-MX"/>
        </w:rPr>
        <w:t xml:space="preserve">i) La comprobación en campo de la aportación directa del beneficiario. </w:t>
      </w:r>
    </w:p>
    <w:p w:rsidR="008A0EC5" w:rsidRPr="008A0EC5" w:rsidRDefault="008A0EC5" w:rsidP="008A0EC5">
      <w:pPr>
        <w:pStyle w:val="Default"/>
        <w:rPr>
          <w:lang w:val="es-MX"/>
        </w:rPr>
      </w:pPr>
      <w:r w:rsidRPr="008A0EC5">
        <w:rPr>
          <w:lang w:val="es-MX"/>
        </w:rPr>
        <w:t xml:space="preserve">En el caso que deban modificarse las metas o acciones comprometidas en el respectivo convenio de concertación, por causas no atribuibles al beneficiario/a o de fuerza mayor, la Instancia Ejecutora deberá celebrar con el beneficiario/a la modificación correspondiente. </w:t>
      </w:r>
    </w:p>
    <w:p w:rsidR="008A0EC5" w:rsidRPr="008A0EC5" w:rsidRDefault="008A0EC5" w:rsidP="008A0EC5">
      <w:pPr>
        <w:pStyle w:val="Default"/>
        <w:rPr>
          <w:lang w:val="es-MX"/>
        </w:rPr>
      </w:pPr>
      <w:r w:rsidRPr="008A0EC5">
        <w:rPr>
          <w:lang w:val="es-MX"/>
        </w:rPr>
        <w:t xml:space="preserve">En caso de no cumplirse el total de las metas comprometidas en el instrumento jurídico correspondiente por causas atribuibles al beneficiario/a, la Instancia Ejecutora solicitará </w:t>
      </w:r>
      <w:bookmarkStart w:id="0" w:name="_GoBack"/>
      <w:bookmarkEnd w:id="0"/>
      <w:r w:rsidRPr="008A0EC5">
        <w:rPr>
          <w:lang w:val="es-MX"/>
        </w:rPr>
        <w:t xml:space="preserve">la devolución proporcional de los incentivos y podrá finiquitar los recursos convenidos. </w:t>
      </w:r>
    </w:p>
    <w:p w:rsidR="008A0EC5" w:rsidRPr="008A0EC5" w:rsidRDefault="008A0EC5" w:rsidP="008A0EC5">
      <w:pPr>
        <w:rPr>
          <w:rFonts w:ascii="Arial" w:hAnsi="Arial" w:cs="Arial"/>
          <w:sz w:val="24"/>
          <w:szCs w:val="24"/>
          <w:lang w:val="es-MX"/>
        </w:rPr>
      </w:pPr>
      <w:r w:rsidRPr="008A0EC5">
        <w:rPr>
          <w:rFonts w:ascii="Arial" w:hAnsi="Arial" w:cs="Arial"/>
          <w:sz w:val="24"/>
          <w:szCs w:val="24"/>
          <w:lang w:val="es-MX"/>
        </w:rPr>
        <w:t>Los beneficiarios/as deberán atender los requerimientos de información sobre los avances en la aplicación de los incentivos recibidos, así como las visitas de supervisión o verificación por parte de la Unidad Responsable y/o Instancia Ejecutora.</w:t>
      </w:r>
      <w:r w:rsidRPr="008A0EC5">
        <w:rPr>
          <w:rFonts w:ascii="Arial" w:hAnsi="Arial" w:cs="Arial"/>
          <w:sz w:val="24"/>
          <w:szCs w:val="24"/>
          <w:lang w:val="es-MX"/>
        </w:rPr>
        <w:t xml:space="preserve"> </w:t>
      </w:r>
    </w:p>
    <w:p w:rsidR="008A0EC5" w:rsidRPr="008A0EC5" w:rsidRDefault="008A0EC5" w:rsidP="008A0EC5">
      <w:pPr>
        <w:pStyle w:val="Default"/>
        <w:rPr>
          <w:lang w:val="es-MX"/>
        </w:rPr>
      </w:pPr>
      <w:r w:rsidRPr="008A0EC5">
        <w:rPr>
          <w:b/>
          <w:bCs/>
          <w:lang w:val="es-MX"/>
        </w:rPr>
        <w:t xml:space="preserve">VII. Finiquito: </w:t>
      </w:r>
    </w:p>
    <w:p w:rsidR="008A0EC5" w:rsidRPr="008A0EC5" w:rsidRDefault="008A0EC5" w:rsidP="008A0EC5">
      <w:pPr>
        <w:rPr>
          <w:rFonts w:ascii="Arial" w:hAnsi="Arial" w:cs="Arial"/>
          <w:sz w:val="24"/>
          <w:szCs w:val="24"/>
          <w:lang w:val="es-MX"/>
        </w:rPr>
      </w:pPr>
      <w:r w:rsidRPr="008A0EC5">
        <w:rPr>
          <w:rFonts w:ascii="Arial" w:hAnsi="Arial" w:cs="Arial"/>
          <w:sz w:val="24"/>
          <w:szCs w:val="24"/>
          <w:lang w:val="es-MX"/>
        </w:rPr>
        <w:t xml:space="preserve">De ser procedente, al término de las acciones convenidas en los instrumentos jurídicos respectivos, el beneficiario/a y la Instancia Ejecutora elaborarán el Acta Finiquito, la cual deberá contener el desglose de los montos de recursos federales recibidos, </w:t>
      </w:r>
      <w:r w:rsidRPr="008A0EC5">
        <w:rPr>
          <w:rFonts w:ascii="Arial" w:hAnsi="Arial" w:cs="Arial"/>
          <w:sz w:val="24"/>
          <w:szCs w:val="24"/>
          <w:lang w:val="es-MX"/>
        </w:rPr>
        <w:lastRenderedPageBreak/>
        <w:t>aplicados y en su caso, devueltos a la TESOFE y las acciones desarrolladas con estos recursos.</w:t>
      </w:r>
    </w:p>
    <w:sectPr w:rsidR="008A0EC5" w:rsidRPr="008A0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S2tDA0NDcyM7AwNjFT0lEKTi0uzszPAykwrAUAEHL6aiwAAAA="/>
  </w:docVars>
  <w:rsids>
    <w:rsidRoot w:val="008A0EC5"/>
    <w:rsid w:val="008A0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E6C57"/>
  <w15:chartTrackingRefBased/>
  <w15:docId w15:val="{D2668418-5333-4C0F-BF04-C19CDB595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8A0EC5"/>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1430</Words>
  <Characters>8155</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dc:creator>
  <cp:keywords/>
  <dc:description/>
  <cp:lastModifiedBy>Ricardo</cp:lastModifiedBy>
  <cp:revision>1</cp:revision>
  <dcterms:created xsi:type="dcterms:W3CDTF">2019-04-10T19:28:00Z</dcterms:created>
  <dcterms:modified xsi:type="dcterms:W3CDTF">2019-04-10T19:31:00Z</dcterms:modified>
</cp:coreProperties>
</file>