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AA3" w:rsidRPr="00764AA3" w:rsidRDefault="00764AA3" w:rsidP="00764AA3">
      <w:pPr>
        <w:spacing w:after="101" w:line="240" w:lineRule="auto"/>
        <w:rPr>
          <w:rFonts w:ascii="Times New Roman" w:eastAsia="Times New Roman" w:hAnsi="Times New Roman" w:cs="Times New Roman"/>
          <w:b/>
          <w:sz w:val="24"/>
          <w:szCs w:val="24"/>
          <w:lang w:val="es-MX"/>
        </w:rPr>
      </w:pPr>
      <w:r w:rsidRPr="00764AA3">
        <w:rPr>
          <w:rFonts w:ascii="Helvetica" w:eastAsia="Times New Roman" w:hAnsi="Helvetica" w:cs="Helvetica"/>
          <w:b/>
          <w:sz w:val="24"/>
          <w:szCs w:val="24"/>
          <w:lang w:val="es-MX"/>
        </w:rPr>
        <w:t>Mecánica operativa:</w:t>
      </w:r>
    </w:p>
    <w:p w:rsidR="00764AA3" w:rsidRPr="00764AA3" w:rsidRDefault="00764AA3" w:rsidP="00764AA3">
      <w:pPr>
        <w:spacing w:after="101" w:line="240" w:lineRule="auto"/>
        <w:ind w:left="432" w:hanging="432"/>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A.</w:t>
      </w:r>
      <w:r w:rsidRPr="00764AA3">
        <w:rPr>
          <w:rFonts w:ascii="Arial" w:eastAsia="Times New Roman" w:hAnsi="Arial" w:cs="Arial"/>
          <w:sz w:val="20"/>
          <w:szCs w:val="20"/>
          <w:lang w:val="es-MX"/>
        </w:rPr>
        <w:t>    </w:t>
      </w:r>
      <w:r w:rsidRPr="00764AA3">
        <w:rPr>
          <w:rFonts w:ascii="Helvetica" w:eastAsia="Times New Roman" w:hAnsi="Helvetica" w:cs="Helvetica"/>
          <w:sz w:val="24"/>
          <w:szCs w:val="24"/>
          <w:lang w:val="es-MX"/>
        </w:rPr>
        <w:t>Seguro Agrícola, Pecuario, Acuícola y Pesquero Catastrófico (SAC)</w:t>
      </w:r>
    </w:p>
    <w:p w:rsidR="00764AA3" w:rsidRPr="00764AA3" w:rsidRDefault="00764AA3" w:rsidP="00764AA3">
      <w:pPr>
        <w:spacing w:after="101" w:line="240" w:lineRule="auto"/>
        <w:ind w:left="432" w:hanging="432"/>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I.</w:t>
      </w:r>
      <w:r w:rsidRPr="00764AA3">
        <w:rPr>
          <w:rFonts w:ascii="Arial" w:eastAsia="Times New Roman" w:hAnsi="Arial" w:cs="Arial"/>
          <w:sz w:val="20"/>
          <w:szCs w:val="20"/>
          <w:lang w:val="es-MX"/>
        </w:rPr>
        <w:t>     </w:t>
      </w:r>
      <w:r w:rsidRPr="00764AA3">
        <w:rPr>
          <w:rFonts w:ascii="Helvetica" w:eastAsia="Times New Roman" w:hAnsi="Helvetica" w:cs="Helvetica"/>
          <w:sz w:val="24"/>
          <w:szCs w:val="24"/>
          <w:lang w:val="es-MX"/>
        </w:rPr>
        <w:t>Los Gobiernos Estatales presentan su solicitud de apoyo, la cual incluye, entre otras cosas, estudio de la empresa aseguradora y detalles de la cobertura de aseguramiento.</w:t>
      </w:r>
    </w:p>
    <w:p w:rsidR="00764AA3" w:rsidRPr="00764AA3" w:rsidRDefault="00764AA3" w:rsidP="00764AA3">
      <w:pPr>
        <w:spacing w:after="101" w:line="240" w:lineRule="auto"/>
        <w:ind w:left="432" w:hanging="432"/>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II.</w:t>
      </w:r>
      <w:r w:rsidRPr="00764AA3">
        <w:rPr>
          <w:rFonts w:ascii="Arial" w:eastAsia="Times New Roman" w:hAnsi="Arial" w:cs="Arial"/>
          <w:sz w:val="20"/>
          <w:szCs w:val="20"/>
          <w:lang w:val="es-MX"/>
        </w:rPr>
        <w:t>     </w:t>
      </w:r>
      <w:r w:rsidRPr="00764AA3">
        <w:rPr>
          <w:rFonts w:ascii="Helvetica" w:eastAsia="Times New Roman" w:hAnsi="Helvetica" w:cs="Helvetica"/>
          <w:sz w:val="24"/>
          <w:szCs w:val="24"/>
          <w:lang w:val="es-MX"/>
        </w:rPr>
        <w:t>La Unidad Responsable recibe y analiza la solicitud de apoyo, considerando la mejor información estadística disponible.</w:t>
      </w:r>
    </w:p>
    <w:p w:rsidR="00764AA3" w:rsidRPr="00764AA3" w:rsidRDefault="00764AA3" w:rsidP="00764AA3">
      <w:pPr>
        <w:spacing w:after="101" w:line="240" w:lineRule="auto"/>
        <w:ind w:left="432" w:hanging="432"/>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III.</w:t>
      </w:r>
      <w:r w:rsidRPr="00764AA3">
        <w:rPr>
          <w:rFonts w:ascii="Arial" w:eastAsia="Times New Roman" w:hAnsi="Arial" w:cs="Arial"/>
          <w:sz w:val="20"/>
          <w:szCs w:val="20"/>
          <w:lang w:val="es-MX"/>
        </w:rPr>
        <w:t>    </w:t>
      </w:r>
      <w:r w:rsidRPr="00764AA3">
        <w:rPr>
          <w:rFonts w:ascii="Helvetica" w:eastAsia="Times New Roman" w:hAnsi="Helvetica" w:cs="Helvetica"/>
          <w:sz w:val="24"/>
          <w:szCs w:val="24"/>
          <w:lang w:val="es-MX"/>
        </w:rPr>
        <w:t>Se suscribe el instrumento correspondiente para la radicación de los recursos federales se especifica el monto y las acciones autorizadas.</w:t>
      </w:r>
    </w:p>
    <w:p w:rsidR="00764AA3" w:rsidRPr="00764AA3" w:rsidRDefault="00764AA3" w:rsidP="00764AA3">
      <w:pPr>
        <w:spacing w:after="101" w:line="240" w:lineRule="auto"/>
        <w:ind w:left="432" w:hanging="432"/>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IV.</w:t>
      </w:r>
      <w:r w:rsidRPr="00764AA3">
        <w:rPr>
          <w:rFonts w:ascii="Arial" w:eastAsia="Times New Roman" w:hAnsi="Arial" w:cs="Arial"/>
          <w:sz w:val="20"/>
          <w:szCs w:val="20"/>
          <w:lang w:val="es-MX"/>
        </w:rPr>
        <w:t>   </w:t>
      </w:r>
      <w:r w:rsidRPr="00764AA3">
        <w:rPr>
          <w:rFonts w:ascii="Helvetica" w:eastAsia="Times New Roman" w:hAnsi="Helvetica" w:cs="Helvetica"/>
          <w:sz w:val="24"/>
          <w:szCs w:val="24"/>
          <w:lang w:val="es-MX"/>
        </w:rPr>
        <w:t>Los Gobiernos Estatales remiten a la Unidad Responsable los datos de la cuenta bancaria en la cual la Secretaría realizará la radicación de los recursos federales, para el pago de la prima del seguro.</w:t>
      </w:r>
    </w:p>
    <w:p w:rsidR="00764AA3" w:rsidRPr="00764AA3" w:rsidRDefault="00764AA3" w:rsidP="00764AA3">
      <w:pPr>
        <w:spacing w:after="101" w:line="240" w:lineRule="auto"/>
        <w:ind w:left="432" w:hanging="432"/>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V.</w:t>
      </w:r>
      <w:r w:rsidRPr="00764AA3">
        <w:rPr>
          <w:rFonts w:ascii="Arial" w:eastAsia="Times New Roman" w:hAnsi="Arial" w:cs="Arial"/>
          <w:sz w:val="20"/>
          <w:szCs w:val="20"/>
          <w:lang w:val="es-MX"/>
        </w:rPr>
        <w:t>    </w:t>
      </w:r>
      <w:r w:rsidRPr="00764AA3">
        <w:rPr>
          <w:rFonts w:ascii="Helvetica" w:eastAsia="Times New Roman" w:hAnsi="Helvetica" w:cs="Helvetica"/>
          <w:sz w:val="24"/>
          <w:szCs w:val="24"/>
          <w:lang w:val="es-MX"/>
        </w:rPr>
        <w:t>Con la finalidad de llevar un adecuado seguimiento y control del ejercicio de los recursos federales y de las indemnizaciones, se integra una Comisión de Evaluación y Seguimiento.</w:t>
      </w:r>
    </w:p>
    <w:p w:rsidR="00764AA3" w:rsidRPr="00764AA3" w:rsidRDefault="00764AA3" w:rsidP="00764AA3">
      <w:pPr>
        <w:spacing w:after="101" w:line="240" w:lineRule="auto"/>
        <w:ind w:left="432" w:hanging="432"/>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VI.</w:t>
      </w:r>
      <w:r w:rsidRPr="00764AA3">
        <w:rPr>
          <w:rFonts w:ascii="Arial" w:eastAsia="Times New Roman" w:hAnsi="Arial" w:cs="Arial"/>
          <w:sz w:val="20"/>
          <w:szCs w:val="20"/>
          <w:lang w:val="es-MX"/>
        </w:rPr>
        <w:t>   </w:t>
      </w:r>
      <w:r w:rsidRPr="00764AA3">
        <w:rPr>
          <w:rFonts w:ascii="Helvetica" w:eastAsia="Times New Roman" w:hAnsi="Helvetica" w:cs="Helvetica"/>
          <w:sz w:val="24"/>
          <w:szCs w:val="24"/>
          <w:lang w:val="es-MX"/>
        </w:rPr>
        <w:t>Ante la ocurrencia de una contingencia el Estado da aviso a la aseguradora y de proceder la indemnización, la empresa le deposita el recurso al Estado para dispersarlo a los productores afectados y ejerce los recursos conforme a lo señalado en los criterios operativos</w:t>
      </w:r>
    </w:p>
    <w:p w:rsidR="00764AA3" w:rsidRPr="00764AA3" w:rsidRDefault="00764AA3" w:rsidP="00764AA3">
      <w:pPr>
        <w:spacing w:after="101" w:line="240" w:lineRule="auto"/>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Se lleva a cabo en un plazo máximo de dos meses calendario, posteriores a que se concluya el calendario de pagos de la última indemnización.</w:t>
      </w:r>
    </w:p>
    <w:p w:rsidR="00764AA3" w:rsidRPr="00764AA3" w:rsidRDefault="00764AA3" w:rsidP="00764AA3">
      <w:pPr>
        <w:spacing w:after="101" w:line="240" w:lineRule="auto"/>
        <w:ind w:hanging="432"/>
        <w:rPr>
          <w:rFonts w:ascii="Times New Roman" w:eastAsia="Times New Roman" w:hAnsi="Times New Roman" w:cs="Times New Roman"/>
          <w:sz w:val="24"/>
          <w:szCs w:val="24"/>
          <w:lang w:val="es-MX"/>
        </w:rPr>
      </w:pPr>
      <w:r w:rsidRPr="00764AA3">
        <w:rPr>
          <w:rFonts w:ascii="Times New Roman" w:eastAsia="Times New Roman" w:hAnsi="Times New Roman" w:cs="Times New Roman"/>
          <w:sz w:val="24"/>
          <w:szCs w:val="24"/>
          <w:lang w:val="es-MX"/>
        </w:rPr>
        <w:t> </w:t>
      </w:r>
    </w:p>
    <w:p w:rsidR="00764AA3" w:rsidRPr="00764AA3" w:rsidRDefault="00764AA3" w:rsidP="00764AA3">
      <w:pPr>
        <w:spacing w:after="101" w:line="240" w:lineRule="auto"/>
        <w:ind w:left="432" w:hanging="432"/>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B.</w:t>
      </w:r>
      <w:r w:rsidRPr="00764AA3">
        <w:rPr>
          <w:rFonts w:ascii="Arial" w:eastAsia="Times New Roman" w:hAnsi="Arial" w:cs="Arial"/>
          <w:sz w:val="20"/>
          <w:szCs w:val="20"/>
          <w:lang w:val="es-MX"/>
        </w:rPr>
        <w:t>    </w:t>
      </w:r>
      <w:r w:rsidRPr="00764AA3">
        <w:rPr>
          <w:rFonts w:ascii="Helvetica" w:eastAsia="Times New Roman" w:hAnsi="Helvetica" w:cs="Helvetica"/>
          <w:sz w:val="24"/>
          <w:szCs w:val="24"/>
          <w:lang w:val="es-MX"/>
        </w:rPr>
        <w:t>Apoyos Directos (AD)</w:t>
      </w:r>
    </w:p>
    <w:p w:rsidR="00764AA3" w:rsidRPr="00764AA3" w:rsidRDefault="00764AA3" w:rsidP="00764AA3">
      <w:pPr>
        <w:spacing w:after="101" w:line="240" w:lineRule="auto"/>
        <w:ind w:left="432" w:hanging="432"/>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I.</w:t>
      </w:r>
      <w:r w:rsidRPr="00764AA3">
        <w:rPr>
          <w:rFonts w:ascii="Arial" w:eastAsia="Times New Roman" w:hAnsi="Arial" w:cs="Arial"/>
          <w:sz w:val="20"/>
          <w:szCs w:val="20"/>
          <w:lang w:val="es-MX"/>
        </w:rPr>
        <w:t>     </w:t>
      </w:r>
      <w:r w:rsidRPr="00764AA3">
        <w:rPr>
          <w:rFonts w:ascii="Helvetica" w:eastAsia="Times New Roman" w:hAnsi="Helvetica" w:cs="Helvetica"/>
          <w:sz w:val="24"/>
          <w:szCs w:val="24"/>
          <w:lang w:val="es-MX"/>
        </w:rPr>
        <w:t>Al ocurrir un desastre natural que afecten regiones o sectores no asegurados, el Gobierno Estatal, con el dictamen técnico, emitirá la corroboración de la ocurrencia de desastre natural y solicitará la publicación de la Declaratoria de Desastre Natural.</w:t>
      </w:r>
    </w:p>
    <w:p w:rsidR="00764AA3" w:rsidRPr="00764AA3" w:rsidRDefault="00764AA3" w:rsidP="00764AA3">
      <w:pPr>
        <w:spacing w:after="101" w:line="240" w:lineRule="auto"/>
        <w:ind w:left="432" w:hanging="432"/>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II.</w:t>
      </w:r>
      <w:r w:rsidRPr="00764AA3">
        <w:rPr>
          <w:rFonts w:ascii="Arial" w:eastAsia="Times New Roman" w:hAnsi="Arial" w:cs="Arial"/>
          <w:sz w:val="20"/>
          <w:szCs w:val="20"/>
          <w:lang w:val="es-MX"/>
        </w:rPr>
        <w:t>     </w:t>
      </w:r>
      <w:r w:rsidRPr="00764AA3">
        <w:rPr>
          <w:rFonts w:ascii="Helvetica" w:eastAsia="Times New Roman" w:hAnsi="Helvetica" w:cs="Helvetica"/>
          <w:sz w:val="24"/>
          <w:szCs w:val="24"/>
          <w:lang w:val="es-MX"/>
        </w:rPr>
        <w:t>La SADER realiza las gestiones para proceder a la publicación de la Declaratoria de Desastre Natural</w:t>
      </w:r>
    </w:p>
    <w:p w:rsidR="00764AA3" w:rsidRPr="00764AA3" w:rsidRDefault="00764AA3" w:rsidP="00764AA3">
      <w:pPr>
        <w:spacing w:after="101" w:line="240" w:lineRule="auto"/>
        <w:ind w:left="432" w:hanging="432"/>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III.</w:t>
      </w:r>
      <w:r w:rsidRPr="00764AA3">
        <w:rPr>
          <w:rFonts w:ascii="Arial" w:eastAsia="Times New Roman" w:hAnsi="Arial" w:cs="Arial"/>
          <w:sz w:val="20"/>
          <w:szCs w:val="20"/>
          <w:lang w:val="es-MX"/>
        </w:rPr>
        <w:t>    </w:t>
      </w:r>
      <w:r w:rsidRPr="00764AA3">
        <w:rPr>
          <w:rFonts w:ascii="Helvetica" w:eastAsia="Times New Roman" w:hAnsi="Helvetica" w:cs="Helvetica"/>
          <w:sz w:val="24"/>
          <w:szCs w:val="24"/>
          <w:lang w:val="es-MX"/>
        </w:rPr>
        <w:t>Se realiza la evaluación de daños y se integra el padrón de productores por parte del Gobierno Estatal y se presentan los resultados correspondientes en el Acta de Diagnóstico de Daños.</w:t>
      </w:r>
    </w:p>
    <w:p w:rsidR="00764AA3" w:rsidRPr="00764AA3" w:rsidRDefault="00764AA3" w:rsidP="00764AA3">
      <w:pPr>
        <w:spacing w:after="101" w:line="240" w:lineRule="auto"/>
        <w:ind w:left="432" w:hanging="432"/>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IV.</w:t>
      </w:r>
      <w:r w:rsidRPr="00764AA3">
        <w:rPr>
          <w:rFonts w:ascii="Arial" w:eastAsia="Times New Roman" w:hAnsi="Arial" w:cs="Arial"/>
          <w:sz w:val="20"/>
          <w:szCs w:val="20"/>
          <w:lang w:val="es-MX"/>
        </w:rPr>
        <w:t>   </w:t>
      </w:r>
      <w:r w:rsidRPr="00764AA3">
        <w:rPr>
          <w:rFonts w:ascii="Helvetica" w:eastAsia="Times New Roman" w:hAnsi="Helvetica" w:cs="Helvetica"/>
          <w:sz w:val="24"/>
          <w:szCs w:val="24"/>
          <w:lang w:val="es-MX"/>
        </w:rPr>
        <w:t>Con base en el acta anteriormente referida el Gobernador de la Entidad solicita el apoyo federal en coparticipación de los recursos federales.</w:t>
      </w:r>
    </w:p>
    <w:p w:rsidR="00764AA3" w:rsidRPr="00764AA3" w:rsidRDefault="00764AA3" w:rsidP="00764AA3">
      <w:pPr>
        <w:spacing w:after="101" w:line="240" w:lineRule="auto"/>
        <w:ind w:left="432" w:hanging="432"/>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V.</w:t>
      </w:r>
      <w:r w:rsidRPr="00764AA3">
        <w:rPr>
          <w:rFonts w:ascii="Arial" w:eastAsia="Times New Roman" w:hAnsi="Arial" w:cs="Arial"/>
          <w:sz w:val="20"/>
          <w:szCs w:val="20"/>
          <w:lang w:val="es-MX"/>
        </w:rPr>
        <w:t>    </w:t>
      </w:r>
      <w:r w:rsidRPr="00764AA3">
        <w:rPr>
          <w:rFonts w:ascii="Helvetica" w:eastAsia="Times New Roman" w:hAnsi="Helvetica" w:cs="Helvetica"/>
          <w:sz w:val="24"/>
          <w:szCs w:val="24"/>
          <w:lang w:val="es-MX"/>
        </w:rPr>
        <w:t>La unidad normativa procede al análisis y dictamen de la solicitud de apoyo y emite el acuerdo correspondiente, el cual lo da a conocer al Gobierno Estatal.</w:t>
      </w:r>
    </w:p>
    <w:p w:rsidR="00764AA3" w:rsidRPr="00764AA3" w:rsidRDefault="00764AA3" w:rsidP="00764AA3">
      <w:pPr>
        <w:spacing w:after="101" w:line="240" w:lineRule="auto"/>
        <w:ind w:left="432" w:hanging="432"/>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VI.</w:t>
      </w:r>
      <w:r w:rsidRPr="00764AA3">
        <w:rPr>
          <w:rFonts w:ascii="Arial" w:eastAsia="Times New Roman" w:hAnsi="Arial" w:cs="Arial"/>
          <w:sz w:val="20"/>
          <w:szCs w:val="20"/>
          <w:lang w:val="es-MX"/>
        </w:rPr>
        <w:t>   </w:t>
      </w:r>
      <w:r w:rsidRPr="00764AA3">
        <w:rPr>
          <w:rFonts w:ascii="Helvetica" w:eastAsia="Times New Roman" w:hAnsi="Helvetica" w:cs="Helvetica"/>
          <w:sz w:val="24"/>
          <w:szCs w:val="24"/>
          <w:lang w:val="es-MX"/>
        </w:rPr>
        <w:t>Se suscribe el instrumento correspondiente para la radicación de los recursos federales se especifica el monto y las acciones autorizadas.</w:t>
      </w:r>
    </w:p>
    <w:p w:rsidR="00764AA3" w:rsidRPr="00764AA3" w:rsidRDefault="00764AA3" w:rsidP="00764AA3">
      <w:pPr>
        <w:spacing w:after="101" w:line="240" w:lineRule="auto"/>
        <w:ind w:left="432" w:hanging="432"/>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lastRenderedPageBreak/>
        <w:t>VII.</w:t>
      </w:r>
      <w:r w:rsidRPr="00764AA3">
        <w:rPr>
          <w:rFonts w:ascii="Arial" w:eastAsia="Times New Roman" w:hAnsi="Arial" w:cs="Arial"/>
          <w:sz w:val="20"/>
          <w:szCs w:val="20"/>
          <w:lang w:val="es-MX"/>
        </w:rPr>
        <w:t>   </w:t>
      </w:r>
      <w:r w:rsidRPr="00764AA3">
        <w:rPr>
          <w:rFonts w:ascii="Helvetica" w:eastAsia="Times New Roman" w:hAnsi="Helvetica" w:cs="Helvetica"/>
          <w:sz w:val="24"/>
          <w:szCs w:val="24"/>
          <w:lang w:val="es-MX"/>
        </w:rPr>
        <w:t xml:space="preserve">Los Gobiernos Estatales remiten a la Unidad Responsable los datos de la cuenta bancaria en la cual la Secretaría realizará la radicación de los recursos federales, para el pago de los apoyos a los productores beneficiarios en </w:t>
      </w:r>
      <w:proofErr w:type="spellStart"/>
      <w:r w:rsidRPr="00764AA3">
        <w:rPr>
          <w:rFonts w:ascii="Helvetica" w:eastAsia="Times New Roman" w:hAnsi="Helvetica" w:cs="Helvetica"/>
          <w:i/>
          <w:iCs/>
          <w:sz w:val="24"/>
          <w:szCs w:val="24"/>
          <w:lang w:val="es-MX"/>
        </w:rPr>
        <w:t>pari</w:t>
      </w:r>
      <w:proofErr w:type="spellEnd"/>
      <w:r w:rsidRPr="00764AA3">
        <w:rPr>
          <w:rFonts w:ascii="Helvetica" w:eastAsia="Times New Roman" w:hAnsi="Helvetica" w:cs="Helvetica"/>
          <w:i/>
          <w:iCs/>
          <w:sz w:val="24"/>
          <w:szCs w:val="24"/>
          <w:lang w:val="es-MX"/>
        </w:rPr>
        <w:t xml:space="preserve"> </w:t>
      </w:r>
      <w:proofErr w:type="spellStart"/>
      <w:r w:rsidRPr="00764AA3">
        <w:rPr>
          <w:rFonts w:ascii="Helvetica" w:eastAsia="Times New Roman" w:hAnsi="Helvetica" w:cs="Helvetica"/>
          <w:i/>
          <w:iCs/>
          <w:sz w:val="24"/>
          <w:szCs w:val="24"/>
          <w:lang w:val="es-MX"/>
        </w:rPr>
        <w:t>passu</w:t>
      </w:r>
      <w:proofErr w:type="spellEnd"/>
      <w:r w:rsidRPr="00764AA3">
        <w:rPr>
          <w:rFonts w:ascii="Helvetica" w:eastAsia="Times New Roman" w:hAnsi="Helvetica" w:cs="Helvetica"/>
          <w:sz w:val="24"/>
          <w:szCs w:val="24"/>
          <w:lang w:val="es-MX"/>
        </w:rPr>
        <w:t>.</w:t>
      </w:r>
    </w:p>
    <w:p w:rsidR="00764AA3" w:rsidRPr="00764AA3" w:rsidRDefault="00764AA3" w:rsidP="00764AA3">
      <w:pPr>
        <w:spacing w:after="101" w:line="240" w:lineRule="auto"/>
        <w:ind w:left="432" w:hanging="432"/>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VIII.</w:t>
      </w:r>
      <w:r w:rsidRPr="00764AA3">
        <w:rPr>
          <w:rFonts w:ascii="Arial" w:eastAsia="Times New Roman" w:hAnsi="Arial" w:cs="Arial"/>
          <w:sz w:val="20"/>
          <w:szCs w:val="20"/>
          <w:lang w:val="es-MX"/>
        </w:rPr>
        <w:t>  </w:t>
      </w:r>
      <w:r w:rsidRPr="00764AA3">
        <w:rPr>
          <w:rFonts w:ascii="Helvetica" w:eastAsia="Times New Roman" w:hAnsi="Helvetica" w:cs="Helvetica"/>
          <w:sz w:val="24"/>
          <w:szCs w:val="24"/>
          <w:lang w:val="es-MX"/>
        </w:rPr>
        <w:t>Con la finalidad de llevar un adecuado seguimiento y control del ejercicio de los recursos federales y de las indemnizaciones, se integra una Comisión de Evaluación y Seguimiento.</w:t>
      </w:r>
    </w:p>
    <w:p w:rsidR="00764AA3" w:rsidRPr="00764AA3" w:rsidRDefault="00764AA3" w:rsidP="00764AA3">
      <w:pPr>
        <w:spacing w:after="101" w:line="240" w:lineRule="auto"/>
        <w:ind w:left="432" w:firstLine="288"/>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Se establece un calendario de pagos a productores que no exceda los dos meses calendario.</w:t>
      </w:r>
    </w:p>
    <w:p w:rsidR="00764AA3" w:rsidRPr="00764AA3" w:rsidRDefault="00764AA3" w:rsidP="00764AA3">
      <w:pPr>
        <w:spacing w:after="101" w:line="240" w:lineRule="auto"/>
        <w:ind w:left="432" w:hanging="432"/>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C.</w:t>
      </w:r>
      <w:r w:rsidRPr="00764AA3">
        <w:rPr>
          <w:rFonts w:ascii="Arial" w:eastAsia="Times New Roman" w:hAnsi="Arial" w:cs="Arial"/>
          <w:sz w:val="20"/>
          <w:szCs w:val="20"/>
          <w:lang w:val="es-MX"/>
        </w:rPr>
        <w:t>    </w:t>
      </w:r>
      <w:r w:rsidRPr="00764AA3">
        <w:rPr>
          <w:rFonts w:ascii="Helvetica" w:eastAsia="Times New Roman" w:hAnsi="Helvetica" w:cs="Helvetica"/>
          <w:sz w:val="24"/>
          <w:szCs w:val="24"/>
          <w:lang w:val="es-MX"/>
        </w:rPr>
        <w:t>Esquemas de aseguramiento para Productores Agrícolas, Pecuarios, Pesqueros y Acuícolas con acceso al seguro.</w:t>
      </w:r>
    </w:p>
    <w:p w:rsidR="00764AA3" w:rsidRPr="00764AA3" w:rsidRDefault="00764AA3" w:rsidP="00764AA3">
      <w:pPr>
        <w:spacing w:after="101" w:line="240" w:lineRule="auto"/>
        <w:ind w:left="432" w:hanging="432"/>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I.</w:t>
      </w:r>
      <w:r w:rsidRPr="00764AA3">
        <w:rPr>
          <w:rFonts w:ascii="Arial" w:eastAsia="Times New Roman" w:hAnsi="Arial" w:cs="Arial"/>
          <w:sz w:val="20"/>
          <w:szCs w:val="20"/>
          <w:lang w:val="es-MX"/>
        </w:rPr>
        <w:t>     </w:t>
      </w:r>
      <w:r w:rsidRPr="00764AA3">
        <w:rPr>
          <w:rFonts w:ascii="Helvetica" w:eastAsia="Times New Roman" w:hAnsi="Helvetica" w:cs="Helvetica"/>
          <w:sz w:val="24"/>
          <w:szCs w:val="24"/>
          <w:lang w:val="es-MX"/>
        </w:rPr>
        <w:t>Se realiza el registro de Aseguradores y de su representante legal. Asimismo, se firma la carta de aceptación y criterios operativos.</w:t>
      </w:r>
    </w:p>
    <w:p w:rsidR="00764AA3" w:rsidRPr="00764AA3" w:rsidRDefault="00764AA3" w:rsidP="00764AA3">
      <w:pPr>
        <w:spacing w:after="101" w:line="240" w:lineRule="auto"/>
        <w:ind w:left="432" w:hanging="432"/>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II.</w:t>
      </w:r>
      <w:r w:rsidRPr="00764AA3">
        <w:rPr>
          <w:rFonts w:ascii="Arial" w:eastAsia="Times New Roman" w:hAnsi="Arial" w:cs="Arial"/>
          <w:sz w:val="20"/>
          <w:szCs w:val="20"/>
          <w:lang w:val="es-MX"/>
        </w:rPr>
        <w:t>     </w:t>
      </w:r>
      <w:r w:rsidRPr="00764AA3">
        <w:rPr>
          <w:rFonts w:ascii="Helvetica" w:eastAsia="Times New Roman" w:hAnsi="Helvetica" w:cs="Helvetica"/>
          <w:sz w:val="24"/>
          <w:szCs w:val="24"/>
          <w:lang w:val="es-MX"/>
        </w:rPr>
        <w:t>La Unidad Responsable autoriza el registro de Aseguradores.</w:t>
      </w:r>
    </w:p>
    <w:p w:rsidR="00764AA3" w:rsidRPr="00764AA3" w:rsidRDefault="00764AA3" w:rsidP="00764AA3">
      <w:pPr>
        <w:spacing w:after="101" w:line="240" w:lineRule="auto"/>
        <w:ind w:left="432" w:hanging="432"/>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III.</w:t>
      </w:r>
      <w:r w:rsidRPr="00764AA3">
        <w:rPr>
          <w:rFonts w:ascii="Arial" w:eastAsia="Times New Roman" w:hAnsi="Arial" w:cs="Arial"/>
          <w:sz w:val="20"/>
          <w:szCs w:val="20"/>
          <w:lang w:val="es-MX"/>
        </w:rPr>
        <w:t>    </w:t>
      </w:r>
      <w:r w:rsidRPr="00764AA3">
        <w:rPr>
          <w:rFonts w:ascii="Helvetica" w:eastAsia="Times New Roman" w:hAnsi="Helvetica" w:cs="Helvetica"/>
          <w:sz w:val="24"/>
          <w:szCs w:val="24"/>
          <w:lang w:val="es-MX"/>
        </w:rPr>
        <w:t>Los Aseguradores gestionan la solicitud acompañada de la base de datos de productores con coberturas y se adjuntan tres pólizas aleatorias y comprobantes de pagos de productores, así como otros documentos que se especifiquen en los criterios operativos correspondientes.</w:t>
      </w:r>
    </w:p>
    <w:p w:rsidR="00764AA3" w:rsidRPr="00764AA3" w:rsidRDefault="00764AA3" w:rsidP="00764AA3">
      <w:pPr>
        <w:spacing w:after="101" w:line="240" w:lineRule="auto"/>
        <w:ind w:left="432" w:hanging="432"/>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IV.</w:t>
      </w:r>
      <w:r w:rsidRPr="00764AA3">
        <w:rPr>
          <w:rFonts w:ascii="Arial" w:eastAsia="Times New Roman" w:hAnsi="Arial" w:cs="Arial"/>
          <w:sz w:val="20"/>
          <w:szCs w:val="20"/>
          <w:lang w:val="es-MX"/>
        </w:rPr>
        <w:t>   </w:t>
      </w:r>
      <w:r w:rsidRPr="00764AA3">
        <w:rPr>
          <w:rFonts w:ascii="Helvetica" w:eastAsia="Times New Roman" w:hAnsi="Helvetica" w:cs="Helvetica"/>
          <w:sz w:val="24"/>
          <w:szCs w:val="24"/>
          <w:lang w:val="es-MX"/>
        </w:rPr>
        <w:t>La Unidad Responsable analiza y dictamina la solicitud de apoyo y remite el acuerdo al asegurador.</w:t>
      </w:r>
    </w:p>
    <w:p w:rsidR="00764AA3" w:rsidRPr="00764AA3" w:rsidRDefault="00764AA3" w:rsidP="00764AA3">
      <w:pPr>
        <w:spacing w:after="101" w:line="240" w:lineRule="auto"/>
        <w:ind w:left="432"/>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El asegurador envía a la Unidad Responsable el recibo y se procede a depositar el apoyo federal que beneficiará a los productores asegurados.</w:t>
      </w:r>
    </w:p>
    <w:p w:rsidR="00764AA3" w:rsidRPr="00764AA3" w:rsidRDefault="00764AA3" w:rsidP="00764AA3">
      <w:pPr>
        <w:spacing w:after="101" w:line="240" w:lineRule="auto"/>
        <w:ind w:left="432"/>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Los detalles de cada una de estas mecánicas operativas se establecen en los criterios operativos para concepto de incentivo emitidos por la Comisión Dictaminadora.</w:t>
      </w:r>
    </w:p>
    <w:p w:rsidR="00764AA3" w:rsidRPr="00764AA3" w:rsidRDefault="00764AA3" w:rsidP="00764AA3">
      <w:pPr>
        <w:spacing w:after="101" w:line="240" w:lineRule="auto"/>
        <w:ind w:left="432"/>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En virtud a que el fin del Componente es la atención a los daños ocasionados por Desastres Naturales que se caracterizan por ser atípicos e impredecibles, con base en lo establecido en el numeral 4 del Estatuto de la Comisión Dictaminadora del Componente relativo a la atención de productores afectados por siniestros agropecuarios publicado en el Diario Oficial de la Federación el 07 de marzo de 2018, así como sus modificaciones, dicha Comisión podrá emitir criterios sobre el proceso de gestión tanto para el SAC, los AD como para los Esquemas de aseguramiento para Productores Agrícolas, Pecuarios y Acuícolas con acceso al seguro.</w:t>
      </w:r>
    </w:p>
    <w:p w:rsidR="00764AA3" w:rsidRPr="00764AA3" w:rsidRDefault="00764AA3" w:rsidP="00764AA3">
      <w:pPr>
        <w:spacing w:after="101" w:line="240" w:lineRule="auto"/>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En la ejecución de este componente los Gobiernos Estatales, empresas aseguradoras y fondos de aseguramiento, en su caso, deberán determinar la documentación que acredite que el productor es elegible para recibir los apoyos del Componente y verificar su cumplimiento.</w:t>
      </w:r>
    </w:p>
    <w:p w:rsidR="00764AA3" w:rsidRPr="00764AA3" w:rsidRDefault="00764AA3" w:rsidP="00764AA3">
      <w:pPr>
        <w:spacing w:after="101" w:line="240" w:lineRule="auto"/>
        <w:rPr>
          <w:rFonts w:ascii="Times New Roman" w:eastAsia="Times New Roman" w:hAnsi="Times New Roman" w:cs="Times New Roman"/>
          <w:sz w:val="24"/>
          <w:szCs w:val="24"/>
          <w:lang w:val="es-MX"/>
        </w:rPr>
      </w:pPr>
      <w:r w:rsidRPr="00764AA3">
        <w:rPr>
          <w:rFonts w:ascii="Helvetica" w:eastAsia="Times New Roman" w:hAnsi="Helvetica" w:cs="Helvetica"/>
          <w:sz w:val="24"/>
          <w:szCs w:val="24"/>
          <w:lang w:val="es-MX"/>
        </w:rPr>
        <w:t xml:space="preserve">Con la finalidad de fortalecer y elevar la eficiencia de la operación del Componente, así como agilizar el proceso de gestión de los apoyos, el único medio de atención y ventanilla será el Sistema de Operación y Gestión Electrónica (SOGE), conforme a los Lineamientos operativos y técnicos del Sistema de Operación y Gestión Electrónica del Componente de Atención a Desastres Naturales en el Sector Agropecuario y Pesquero </w:t>
      </w:r>
      <w:r w:rsidRPr="00764AA3">
        <w:rPr>
          <w:rFonts w:ascii="Helvetica" w:eastAsia="Times New Roman" w:hAnsi="Helvetica" w:cs="Helvetica"/>
          <w:sz w:val="24"/>
          <w:szCs w:val="24"/>
          <w:lang w:val="es-MX"/>
        </w:rPr>
        <w:lastRenderedPageBreak/>
        <w:t>del Programa de Prevención y Manejo de Riesgos (CADENA), publicados en el Diario Oficial de la Federación el 8 de abril de 2011, por lo que no se atenderá ninguna gestión por otra vía. La Secretaría a</w:t>
      </w:r>
      <w:r w:rsidRPr="00764AA3">
        <w:rPr>
          <w:rFonts w:ascii="Helvetica" w:eastAsia="Times New Roman" w:hAnsi="Helvetica" w:cs="Helvetica"/>
          <w:color w:val="FF0000"/>
          <w:sz w:val="24"/>
          <w:szCs w:val="24"/>
          <w:lang w:val="es-MX"/>
        </w:rPr>
        <w:t xml:space="preserve"> </w:t>
      </w:r>
      <w:r w:rsidRPr="00764AA3">
        <w:rPr>
          <w:rFonts w:ascii="Helvetica" w:eastAsia="Times New Roman" w:hAnsi="Helvetica" w:cs="Helvetica"/>
          <w:sz w:val="24"/>
          <w:szCs w:val="24"/>
          <w:lang w:val="es-MX"/>
        </w:rPr>
        <w:t xml:space="preserve">través de la Unidad Responsable, a petición de los usuarios o cuando se incorporen actualizaciones a dicho sistema, otorgará la </w:t>
      </w:r>
      <w:bookmarkStart w:id="0" w:name="_GoBack"/>
      <w:bookmarkEnd w:id="0"/>
      <w:r w:rsidRPr="00764AA3">
        <w:rPr>
          <w:rFonts w:ascii="Helvetica" w:eastAsia="Times New Roman" w:hAnsi="Helvetica" w:cs="Helvetica"/>
          <w:sz w:val="24"/>
          <w:szCs w:val="24"/>
          <w:lang w:val="es-MX"/>
        </w:rPr>
        <w:t>capacitación y el apoyo necesario para su utilización.</w:t>
      </w:r>
    </w:p>
    <w:p w:rsidR="00FB16A8" w:rsidRPr="00FB16A8" w:rsidRDefault="00FB16A8" w:rsidP="00764AA3">
      <w:pPr>
        <w:rPr>
          <w:rFonts w:ascii="Arial" w:hAnsi="Arial" w:cs="Arial"/>
          <w:sz w:val="24"/>
          <w:szCs w:val="24"/>
          <w:lang w:val="es-MX"/>
        </w:rPr>
      </w:pPr>
    </w:p>
    <w:sectPr w:rsidR="00FB16A8" w:rsidRPr="00FB1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sTA1tzSzMDUxNTJT0lEKTi0uzszPAykwrAUA1Qdy1CwAAAA="/>
  </w:docVars>
  <w:rsids>
    <w:rsidRoot w:val="00061728"/>
    <w:rsid w:val="00061728"/>
    <w:rsid w:val="00764AA3"/>
    <w:rsid w:val="00FB1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692C8"/>
  <w15:chartTrackingRefBased/>
  <w15:docId w15:val="{8020A5B3-611C-401B-A67A-BDAC4E57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786413">
      <w:bodyDiv w:val="1"/>
      <w:marLeft w:val="0"/>
      <w:marRight w:val="0"/>
      <w:marTop w:val="0"/>
      <w:marBottom w:val="0"/>
      <w:divBdr>
        <w:top w:val="none" w:sz="0" w:space="0" w:color="auto"/>
        <w:left w:val="none" w:sz="0" w:space="0" w:color="auto"/>
        <w:bottom w:val="none" w:sz="0" w:space="0" w:color="auto"/>
        <w:right w:val="none" w:sz="0" w:space="0" w:color="auto"/>
      </w:divBdr>
      <w:divsChild>
        <w:div w:id="1546331634">
          <w:marLeft w:val="0"/>
          <w:marRight w:val="0"/>
          <w:marTop w:val="0"/>
          <w:marBottom w:val="0"/>
          <w:divBdr>
            <w:top w:val="none" w:sz="0" w:space="0" w:color="auto"/>
            <w:left w:val="none" w:sz="0" w:space="0" w:color="auto"/>
            <w:bottom w:val="none" w:sz="0" w:space="0" w:color="auto"/>
            <w:right w:val="none" w:sz="0" w:space="0" w:color="auto"/>
          </w:divBdr>
          <w:divsChild>
            <w:div w:id="475342691">
              <w:marLeft w:val="0"/>
              <w:marRight w:val="0"/>
              <w:marTop w:val="0"/>
              <w:marBottom w:val="101"/>
              <w:divBdr>
                <w:top w:val="none" w:sz="0" w:space="0" w:color="auto"/>
                <w:left w:val="none" w:sz="0" w:space="0" w:color="auto"/>
                <w:bottom w:val="none" w:sz="0" w:space="0" w:color="auto"/>
                <w:right w:val="none" w:sz="0" w:space="0" w:color="auto"/>
              </w:divBdr>
            </w:div>
            <w:div w:id="91242257">
              <w:marLeft w:val="0"/>
              <w:marRight w:val="0"/>
              <w:marTop w:val="0"/>
              <w:marBottom w:val="101"/>
              <w:divBdr>
                <w:top w:val="none" w:sz="0" w:space="0" w:color="auto"/>
                <w:left w:val="none" w:sz="0" w:space="0" w:color="auto"/>
                <w:bottom w:val="none" w:sz="0" w:space="0" w:color="auto"/>
                <w:right w:val="none" w:sz="0" w:space="0" w:color="auto"/>
              </w:divBdr>
            </w:div>
            <w:div w:id="2014063485">
              <w:marLeft w:val="0"/>
              <w:marRight w:val="0"/>
              <w:marTop w:val="0"/>
              <w:marBottom w:val="101"/>
              <w:divBdr>
                <w:top w:val="none" w:sz="0" w:space="0" w:color="auto"/>
                <w:left w:val="none" w:sz="0" w:space="0" w:color="auto"/>
                <w:bottom w:val="none" w:sz="0" w:space="0" w:color="auto"/>
                <w:right w:val="none" w:sz="0" w:space="0" w:color="auto"/>
              </w:divBdr>
            </w:div>
            <w:div w:id="7804452">
              <w:marLeft w:val="0"/>
              <w:marRight w:val="0"/>
              <w:marTop w:val="0"/>
              <w:marBottom w:val="101"/>
              <w:divBdr>
                <w:top w:val="none" w:sz="0" w:space="0" w:color="auto"/>
                <w:left w:val="none" w:sz="0" w:space="0" w:color="auto"/>
                <w:bottom w:val="none" w:sz="0" w:space="0" w:color="auto"/>
                <w:right w:val="none" w:sz="0" w:space="0" w:color="auto"/>
              </w:divBdr>
            </w:div>
            <w:div w:id="1653177202">
              <w:marLeft w:val="0"/>
              <w:marRight w:val="0"/>
              <w:marTop w:val="0"/>
              <w:marBottom w:val="101"/>
              <w:divBdr>
                <w:top w:val="none" w:sz="0" w:space="0" w:color="auto"/>
                <w:left w:val="none" w:sz="0" w:space="0" w:color="auto"/>
                <w:bottom w:val="none" w:sz="0" w:space="0" w:color="auto"/>
                <w:right w:val="none" w:sz="0" w:space="0" w:color="auto"/>
              </w:divBdr>
            </w:div>
            <w:div w:id="1936941243">
              <w:marLeft w:val="0"/>
              <w:marRight w:val="0"/>
              <w:marTop w:val="0"/>
              <w:marBottom w:val="101"/>
              <w:divBdr>
                <w:top w:val="none" w:sz="0" w:space="0" w:color="auto"/>
                <w:left w:val="none" w:sz="0" w:space="0" w:color="auto"/>
                <w:bottom w:val="none" w:sz="0" w:space="0" w:color="auto"/>
                <w:right w:val="none" w:sz="0" w:space="0" w:color="auto"/>
              </w:divBdr>
            </w:div>
            <w:div w:id="39911913">
              <w:marLeft w:val="0"/>
              <w:marRight w:val="0"/>
              <w:marTop w:val="0"/>
              <w:marBottom w:val="101"/>
              <w:divBdr>
                <w:top w:val="none" w:sz="0" w:space="0" w:color="auto"/>
                <w:left w:val="none" w:sz="0" w:space="0" w:color="auto"/>
                <w:bottom w:val="none" w:sz="0" w:space="0" w:color="auto"/>
                <w:right w:val="none" w:sz="0" w:space="0" w:color="auto"/>
              </w:divBdr>
            </w:div>
          </w:divsChild>
        </w:div>
        <w:div w:id="1843738610">
          <w:marLeft w:val="0"/>
          <w:marRight w:val="0"/>
          <w:marTop w:val="0"/>
          <w:marBottom w:val="0"/>
          <w:divBdr>
            <w:top w:val="none" w:sz="0" w:space="0" w:color="auto"/>
            <w:left w:val="none" w:sz="0" w:space="0" w:color="auto"/>
            <w:bottom w:val="none" w:sz="0" w:space="0" w:color="auto"/>
            <w:right w:val="none" w:sz="0" w:space="0" w:color="auto"/>
          </w:divBdr>
          <w:divsChild>
            <w:div w:id="1054545355">
              <w:marLeft w:val="0"/>
              <w:marRight w:val="0"/>
              <w:marTop w:val="0"/>
              <w:marBottom w:val="101"/>
              <w:divBdr>
                <w:top w:val="none" w:sz="0" w:space="0" w:color="auto"/>
                <w:left w:val="none" w:sz="0" w:space="0" w:color="auto"/>
                <w:bottom w:val="none" w:sz="0" w:space="0" w:color="auto"/>
                <w:right w:val="none" w:sz="0" w:space="0" w:color="auto"/>
              </w:divBdr>
            </w:div>
            <w:div w:id="194345809">
              <w:marLeft w:val="0"/>
              <w:marRight w:val="0"/>
              <w:marTop w:val="0"/>
              <w:marBottom w:val="101"/>
              <w:divBdr>
                <w:top w:val="none" w:sz="0" w:space="0" w:color="auto"/>
                <w:left w:val="none" w:sz="0" w:space="0" w:color="auto"/>
                <w:bottom w:val="none" w:sz="0" w:space="0" w:color="auto"/>
                <w:right w:val="none" w:sz="0" w:space="0" w:color="auto"/>
              </w:divBdr>
            </w:div>
          </w:divsChild>
        </w:div>
      </w:divsChild>
    </w:div>
    <w:div w:id="1562135789">
      <w:bodyDiv w:val="1"/>
      <w:marLeft w:val="0"/>
      <w:marRight w:val="0"/>
      <w:marTop w:val="0"/>
      <w:marBottom w:val="0"/>
      <w:divBdr>
        <w:top w:val="none" w:sz="0" w:space="0" w:color="auto"/>
        <w:left w:val="none" w:sz="0" w:space="0" w:color="auto"/>
        <w:bottom w:val="none" w:sz="0" w:space="0" w:color="auto"/>
        <w:right w:val="none" w:sz="0" w:space="0" w:color="auto"/>
      </w:divBdr>
      <w:divsChild>
        <w:div w:id="1500384613">
          <w:marLeft w:val="0"/>
          <w:marRight w:val="0"/>
          <w:marTop w:val="0"/>
          <w:marBottom w:val="0"/>
          <w:divBdr>
            <w:top w:val="none" w:sz="0" w:space="0" w:color="auto"/>
            <w:left w:val="none" w:sz="0" w:space="0" w:color="auto"/>
            <w:bottom w:val="none" w:sz="0" w:space="0" w:color="auto"/>
            <w:right w:val="none" w:sz="0" w:space="0" w:color="auto"/>
          </w:divBdr>
          <w:divsChild>
            <w:div w:id="597755238">
              <w:marLeft w:val="0"/>
              <w:marRight w:val="0"/>
              <w:marTop w:val="0"/>
              <w:marBottom w:val="101"/>
              <w:divBdr>
                <w:top w:val="none" w:sz="0" w:space="0" w:color="auto"/>
                <w:left w:val="none" w:sz="0" w:space="0" w:color="auto"/>
                <w:bottom w:val="none" w:sz="0" w:space="0" w:color="auto"/>
                <w:right w:val="none" w:sz="0" w:space="0" w:color="auto"/>
              </w:divBdr>
            </w:div>
            <w:div w:id="370812392">
              <w:marLeft w:val="720"/>
              <w:marRight w:val="0"/>
              <w:marTop w:val="0"/>
              <w:marBottom w:val="101"/>
              <w:divBdr>
                <w:top w:val="none" w:sz="0" w:space="0" w:color="auto"/>
                <w:left w:val="none" w:sz="0" w:space="0" w:color="auto"/>
                <w:bottom w:val="none" w:sz="0" w:space="0" w:color="auto"/>
                <w:right w:val="none" w:sz="0" w:space="0" w:color="auto"/>
              </w:divBdr>
            </w:div>
            <w:div w:id="906650376">
              <w:marLeft w:val="1152"/>
              <w:marRight w:val="0"/>
              <w:marTop w:val="0"/>
              <w:marBottom w:val="101"/>
              <w:divBdr>
                <w:top w:val="none" w:sz="0" w:space="0" w:color="auto"/>
                <w:left w:val="none" w:sz="0" w:space="0" w:color="auto"/>
                <w:bottom w:val="none" w:sz="0" w:space="0" w:color="auto"/>
                <w:right w:val="none" w:sz="0" w:space="0" w:color="auto"/>
              </w:divBdr>
            </w:div>
            <w:div w:id="1402751875">
              <w:marLeft w:val="1152"/>
              <w:marRight w:val="0"/>
              <w:marTop w:val="0"/>
              <w:marBottom w:val="101"/>
              <w:divBdr>
                <w:top w:val="none" w:sz="0" w:space="0" w:color="auto"/>
                <w:left w:val="none" w:sz="0" w:space="0" w:color="auto"/>
                <w:bottom w:val="none" w:sz="0" w:space="0" w:color="auto"/>
                <w:right w:val="none" w:sz="0" w:space="0" w:color="auto"/>
              </w:divBdr>
            </w:div>
            <w:div w:id="132333899">
              <w:marLeft w:val="1152"/>
              <w:marRight w:val="0"/>
              <w:marTop w:val="0"/>
              <w:marBottom w:val="101"/>
              <w:divBdr>
                <w:top w:val="none" w:sz="0" w:space="0" w:color="auto"/>
                <w:left w:val="none" w:sz="0" w:space="0" w:color="auto"/>
                <w:bottom w:val="none" w:sz="0" w:space="0" w:color="auto"/>
                <w:right w:val="none" w:sz="0" w:space="0" w:color="auto"/>
              </w:divBdr>
            </w:div>
            <w:div w:id="2027556885">
              <w:marLeft w:val="1152"/>
              <w:marRight w:val="0"/>
              <w:marTop w:val="0"/>
              <w:marBottom w:val="101"/>
              <w:divBdr>
                <w:top w:val="none" w:sz="0" w:space="0" w:color="auto"/>
                <w:left w:val="none" w:sz="0" w:space="0" w:color="auto"/>
                <w:bottom w:val="none" w:sz="0" w:space="0" w:color="auto"/>
                <w:right w:val="none" w:sz="0" w:space="0" w:color="auto"/>
              </w:divBdr>
            </w:div>
            <w:div w:id="257326285">
              <w:marLeft w:val="1152"/>
              <w:marRight w:val="0"/>
              <w:marTop w:val="0"/>
              <w:marBottom w:val="101"/>
              <w:divBdr>
                <w:top w:val="none" w:sz="0" w:space="0" w:color="auto"/>
                <w:left w:val="none" w:sz="0" w:space="0" w:color="auto"/>
                <w:bottom w:val="none" w:sz="0" w:space="0" w:color="auto"/>
                <w:right w:val="none" w:sz="0" w:space="0" w:color="auto"/>
              </w:divBdr>
            </w:div>
            <w:div w:id="2141527745">
              <w:marLeft w:val="1152"/>
              <w:marRight w:val="0"/>
              <w:marTop w:val="0"/>
              <w:marBottom w:val="101"/>
              <w:divBdr>
                <w:top w:val="none" w:sz="0" w:space="0" w:color="auto"/>
                <w:left w:val="none" w:sz="0" w:space="0" w:color="auto"/>
                <w:bottom w:val="none" w:sz="0" w:space="0" w:color="auto"/>
                <w:right w:val="none" w:sz="0" w:space="0" w:color="auto"/>
              </w:divBdr>
            </w:div>
            <w:div w:id="1676805378">
              <w:marLeft w:val="0"/>
              <w:marRight w:val="0"/>
              <w:marTop w:val="0"/>
              <w:marBottom w:val="101"/>
              <w:divBdr>
                <w:top w:val="none" w:sz="0" w:space="0" w:color="auto"/>
                <w:left w:val="none" w:sz="0" w:space="0" w:color="auto"/>
                <w:bottom w:val="none" w:sz="0" w:space="0" w:color="auto"/>
                <w:right w:val="none" w:sz="0" w:space="0" w:color="auto"/>
              </w:divBdr>
            </w:div>
            <w:div w:id="692146634">
              <w:marLeft w:val="720"/>
              <w:marRight w:val="0"/>
              <w:marTop w:val="0"/>
              <w:marBottom w:val="101"/>
              <w:divBdr>
                <w:top w:val="none" w:sz="0" w:space="0" w:color="auto"/>
                <w:left w:val="none" w:sz="0" w:space="0" w:color="auto"/>
                <w:bottom w:val="none" w:sz="0" w:space="0" w:color="auto"/>
                <w:right w:val="none" w:sz="0" w:space="0" w:color="auto"/>
              </w:divBdr>
            </w:div>
          </w:divsChild>
        </w:div>
        <w:div w:id="834764768">
          <w:marLeft w:val="0"/>
          <w:marRight w:val="0"/>
          <w:marTop w:val="0"/>
          <w:marBottom w:val="0"/>
          <w:divBdr>
            <w:top w:val="none" w:sz="0" w:space="0" w:color="auto"/>
            <w:left w:val="none" w:sz="0" w:space="0" w:color="auto"/>
            <w:bottom w:val="none" w:sz="0" w:space="0" w:color="auto"/>
            <w:right w:val="none" w:sz="0" w:space="0" w:color="auto"/>
          </w:divBdr>
          <w:divsChild>
            <w:div w:id="1882282386">
              <w:marLeft w:val="720"/>
              <w:marRight w:val="0"/>
              <w:marTop w:val="0"/>
              <w:marBottom w:val="101"/>
              <w:divBdr>
                <w:top w:val="none" w:sz="0" w:space="0" w:color="auto"/>
                <w:left w:val="none" w:sz="0" w:space="0" w:color="auto"/>
                <w:bottom w:val="none" w:sz="0" w:space="0" w:color="auto"/>
                <w:right w:val="none" w:sz="0" w:space="0" w:color="auto"/>
              </w:divBdr>
            </w:div>
            <w:div w:id="1775591545">
              <w:marLeft w:val="1152"/>
              <w:marRight w:val="0"/>
              <w:marTop w:val="0"/>
              <w:marBottom w:val="101"/>
              <w:divBdr>
                <w:top w:val="none" w:sz="0" w:space="0" w:color="auto"/>
                <w:left w:val="none" w:sz="0" w:space="0" w:color="auto"/>
                <w:bottom w:val="none" w:sz="0" w:space="0" w:color="auto"/>
                <w:right w:val="none" w:sz="0" w:space="0" w:color="auto"/>
              </w:divBdr>
            </w:div>
            <w:div w:id="661740190">
              <w:marLeft w:val="1152"/>
              <w:marRight w:val="0"/>
              <w:marTop w:val="0"/>
              <w:marBottom w:val="101"/>
              <w:divBdr>
                <w:top w:val="none" w:sz="0" w:space="0" w:color="auto"/>
                <w:left w:val="none" w:sz="0" w:space="0" w:color="auto"/>
                <w:bottom w:val="none" w:sz="0" w:space="0" w:color="auto"/>
                <w:right w:val="none" w:sz="0" w:space="0" w:color="auto"/>
              </w:divBdr>
            </w:div>
            <w:div w:id="2080983911">
              <w:marLeft w:val="1152"/>
              <w:marRight w:val="0"/>
              <w:marTop w:val="0"/>
              <w:marBottom w:val="101"/>
              <w:divBdr>
                <w:top w:val="none" w:sz="0" w:space="0" w:color="auto"/>
                <w:left w:val="none" w:sz="0" w:space="0" w:color="auto"/>
                <w:bottom w:val="none" w:sz="0" w:space="0" w:color="auto"/>
                <w:right w:val="none" w:sz="0" w:space="0" w:color="auto"/>
              </w:divBdr>
            </w:div>
            <w:div w:id="1541936825">
              <w:marLeft w:val="1152"/>
              <w:marRight w:val="0"/>
              <w:marTop w:val="0"/>
              <w:marBottom w:val="101"/>
              <w:divBdr>
                <w:top w:val="none" w:sz="0" w:space="0" w:color="auto"/>
                <w:left w:val="none" w:sz="0" w:space="0" w:color="auto"/>
                <w:bottom w:val="none" w:sz="0" w:space="0" w:color="auto"/>
                <w:right w:val="none" w:sz="0" w:space="0" w:color="auto"/>
              </w:divBdr>
            </w:div>
            <w:div w:id="1121219234">
              <w:marLeft w:val="1152"/>
              <w:marRight w:val="0"/>
              <w:marTop w:val="0"/>
              <w:marBottom w:val="101"/>
              <w:divBdr>
                <w:top w:val="none" w:sz="0" w:space="0" w:color="auto"/>
                <w:left w:val="none" w:sz="0" w:space="0" w:color="auto"/>
                <w:bottom w:val="none" w:sz="0" w:space="0" w:color="auto"/>
                <w:right w:val="none" w:sz="0" w:space="0" w:color="auto"/>
              </w:divBdr>
            </w:div>
            <w:div w:id="1555965017">
              <w:marLeft w:val="1152"/>
              <w:marRight w:val="0"/>
              <w:marTop w:val="0"/>
              <w:marBottom w:val="101"/>
              <w:divBdr>
                <w:top w:val="none" w:sz="0" w:space="0" w:color="auto"/>
                <w:left w:val="none" w:sz="0" w:space="0" w:color="auto"/>
                <w:bottom w:val="none" w:sz="0" w:space="0" w:color="auto"/>
                <w:right w:val="none" w:sz="0" w:space="0" w:color="auto"/>
              </w:divBdr>
            </w:div>
            <w:div w:id="228922290">
              <w:marLeft w:val="1152"/>
              <w:marRight w:val="0"/>
              <w:marTop w:val="0"/>
              <w:marBottom w:val="101"/>
              <w:divBdr>
                <w:top w:val="none" w:sz="0" w:space="0" w:color="auto"/>
                <w:left w:val="none" w:sz="0" w:space="0" w:color="auto"/>
                <w:bottom w:val="none" w:sz="0" w:space="0" w:color="auto"/>
                <w:right w:val="none" w:sz="0" w:space="0" w:color="auto"/>
              </w:divBdr>
            </w:div>
            <w:div w:id="784467545">
              <w:marLeft w:val="1152"/>
              <w:marRight w:val="0"/>
              <w:marTop w:val="0"/>
              <w:marBottom w:val="101"/>
              <w:divBdr>
                <w:top w:val="none" w:sz="0" w:space="0" w:color="auto"/>
                <w:left w:val="none" w:sz="0" w:space="0" w:color="auto"/>
                <w:bottom w:val="none" w:sz="0" w:space="0" w:color="auto"/>
                <w:right w:val="none" w:sz="0" w:space="0" w:color="auto"/>
              </w:divBdr>
            </w:div>
            <w:div w:id="484863162">
              <w:marLeft w:val="0"/>
              <w:marRight w:val="0"/>
              <w:marTop w:val="0"/>
              <w:marBottom w:val="101"/>
              <w:divBdr>
                <w:top w:val="none" w:sz="0" w:space="0" w:color="auto"/>
                <w:left w:val="none" w:sz="0" w:space="0" w:color="auto"/>
                <w:bottom w:val="none" w:sz="0" w:space="0" w:color="auto"/>
                <w:right w:val="none" w:sz="0" w:space="0" w:color="auto"/>
              </w:divBdr>
            </w:div>
            <w:div w:id="849369763">
              <w:marLeft w:val="720"/>
              <w:marRight w:val="0"/>
              <w:marTop w:val="0"/>
              <w:marBottom w:val="101"/>
              <w:divBdr>
                <w:top w:val="none" w:sz="0" w:space="0" w:color="auto"/>
                <w:left w:val="none" w:sz="0" w:space="0" w:color="auto"/>
                <w:bottom w:val="none" w:sz="0" w:space="0" w:color="auto"/>
                <w:right w:val="none" w:sz="0" w:space="0" w:color="auto"/>
              </w:divBdr>
            </w:div>
            <w:div w:id="1264260098">
              <w:marLeft w:val="1152"/>
              <w:marRight w:val="0"/>
              <w:marTop w:val="0"/>
              <w:marBottom w:val="101"/>
              <w:divBdr>
                <w:top w:val="none" w:sz="0" w:space="0" w:color="auto"/>
                <w:left w:val="none" w:sz="0" w:space="0" w:color="auto"/>
                <w:bottom w:val="none" w:sz="0" w:space="0" w:color="auto"/>
                <w:right w:val="none" w:sz="0" w:space="0" w:color="auto"/>
              </w:divBdr>
            </w:div>
            <w:div w:id="398601749">
              <w:marLeft w:val="1152"/>
              <w:marRight w:val="0"/>
              <w:marTop w:val="0"/>
              <w:marBottom w:val="101"/>
              <w:divBdr>
                <w:top w:val="none" w:sz="0" w:space="0" w:color="auto"/>
                <w:left w:val="none" w:sz="0" w:space="0" w:color="auto"/>
                <w:bottom w:val="none" w:sz="0" w:space="0" w:color="auto"/>
                <w:right w:val="none" w:sz="0" w:space="0" w:color="auto"/>
              </w:divBdr>
            </w:div>
            <w:div w:id="1684866672">
              <w:marLeft w:val="1152"/>
              <w:marRight w:val="0"/>
              <w:marTop w:val="0"/>
              <w:marBottom w:val="101"/>
              <w:divBdr>
                <w:top w:val="none" w:sz="0" w:space="0" w:color="auto"/>
                <w:left w:val="none" w:sz="0" w:space="0" w:color="auto"/>
                <w:bottom w:val="none" w:sz="0" w:space="0" w:color="auto"/>
                <w:right w:val="none" w:sz="0" w:space="0" w:color="auto"/>
              </w:divBdr>
            </w:div>
            <w:div w:id="203713416">
              <w:marLeft w:val="1152"/>
              <w:marRight w:val="0"/>
              <w:marTop w:val="0"/>
              <w:marBottom w:val="101"/>
              <w:divBdr>
                <w:top w:val="none" w:sz="0" w:space="0" w:color="auto"/>
                <w:left w:val="none" w:sz="0" w:space="0" w:color="auto"/>
                <w:bottom w:val="none" w:sz="0" w:space="0" w:color="auto"/>
                <w:right w:val="none" w:sz="0" w:space="0" w:color="auto"/>
              </w:divBdr>
            </w:div>
            <w:div w:id="1950161114">
              <w:marLeft w:val="0"/>
              <w:marRight w:val="0"/>
              <w:marTop w:val="0"/>
              <w:marBottom w:val="101"/>
              <w:divBdr>
                <w:top w:val="none" w:sz="0" w:space="0" w:color="auto"/>
                <w:left w:val="none" w:sz="0" w:space="0" w:color="auto"/>
                <w:bottom w:val="none" w:sz="0" w:space="0" w:color="auto"/>
                <w:right w:val="none" w:sz="0" w:space="0" w:color="auto"/>
              </w:divBdr>
            </w:div>
            <w:div w:id="1867592872">
              <w:marLeft w:val="0"/>
              <w:marRight w:val="0"/>
              <w:marTop w:val="0"/>
              <w:marBottom w:val="101"/>
              <w:divBdr>
                <w:top w:val="none" w:sz="0" w:space="0" w:color="auto"/>
                <w:left w:val="none" w:sz="0" w:space="0" w:color="auto"/>
                <w:bottom w:val="none" w:sz="0" w:space="0" w:color="auto"/>
                <w:right w:val="none" w:sz="0" w:space="0" w:color="auto"/>
              </w:divBdr>
            </w:div>
            <w:div w:id="922450450">
              <w:marLeft w:val="0"/>
              <w:marRight w:val="0"/>
              <w:marTop w:val="0"/>
              <w:marBottom w:val="101"/>
              <w:divBdr>
                <w:top w:val="none" w:sz="0" w:space="0" w:color="auto"/>
                <w:left w:val="none" w:sz="0" w:space="0" w:color="auto"/>
                <w:bottom w:val="none" w:sz="0" w:space="0" w:color="auto"/>
                <w:right w:val="none" w:sz="0" w:space="0" w:color="auto"/>
              </w:divBdr>
            </w:div>
          </w:divsChild>
        </w:div>
        <w:div w:id="146553245">
          <w:marLeft w:val="0"/>
          <w:marRight w:val="0"/>
          <w:marTop w:val="0"/>
          <w:marBottom w:val="0"/>
          <w:divBdr>
            <w:top w:val="none" w:sz="0" w:space="0" w:color="auto"/>
            <w:left w:val="none" w:sz="0" w:space="0" w:color="auto"/>
            <w:bottom w:val="none" w:sz="0" w:space="0" w:color="auto"/>
            <w:right w:val="none" w:sz="0" w:space="0" w:color="auto"/>
          </w:divBdr>
          <w:divsChild>
            <w:div w:id="1666083801">
              <w:marLeft w:val="0"/>
              <w:marRight w:val="0"/>
              <w:marTop w:val="0"/>
              <w:marBottom w:val="101"/>
              <w:divBdr>
                <w:top w:val="none" w:sz="0" w:space="0" w:color="auto"/>
                <w:left w:val="none" w:sz="0" w:space="0" w:color="auto"/>
                <w:bottom w:val="none" w:sz="0" w:space="0" w:color="auto"/>
                <w:right w:val="none" w:sz="0" w:space="0" w:color="auto"/>
              </w:divBdr>
            </w:div>
            <w:div w:id="2056356">
              <w:marLeft w:val="0"/>
              <w:marRight w:val="0"/>
              <w:marTop w:val="0"/>
              <w:marBottom w:val="101"/>
              <w:divBdr>
                <w:top w:val="none" w:sz="0" w:space="0" w:color="auto"/>
                <w:left w:val="none" w:sz="0" w:space="0" w:color="auto"/>
                <w:bottom w:val="none" w:sz="0" w:space="0" w:color="auto"/>
                <w:right w:val="none" w:sz="0" w:space="0" w:color="auto"/>
              </w:divBdr>
            </w:div>
            <w:div w:id="659502661">
              <w:marLeft w:val="0"/>
              <w:marRight w:val="0"/>
              <w:marTop w:val="0"/>
              <w:marBottom w:val="101"/>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843</Words>
  <Characters>4810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1</cp:revision>
  <dcterms:created xsi:type="dcterms:W3CDTF">2019-04-12T13:15:00Z</dcterms:created>
  <dcterms:modified xsi:type="dcterms:W3CDTF">2019-04-12T13:58:00Z</dcterms:modified>
</cp:coreProperties>
</file>