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4CAE" w14:textId="68EEAF1C" w:rsidR="0646391C" w:rsidRDefault="0646391C" w:rsidP="0012507E">
      <w:pPr>
        <w:pStyle w:val="Ttulo1"/>
        <w:spacing w:before="0" w:after="0"/>
        <w:rPr>
          <w:b/>
          <w:bCs/>
          <w:sz w:val="48"/>
          <w:szCs w:val="48"/>
        </w:rPr>
      </w:pPr>
      <w:r w:rsidRPr="2987EAA1">
        <w:rPr>
          <w:b/>
          <w:bCs/>
          <w:sz w:val="44"/>
          <w:szCs w:val="44"/>
        </w:rPr>
        <w:t xml:space="preserve">Informe de Análisis de Accesibilidad Web </w:t>
      </w:r>
    </w:p>
    <w:p w14:paraId="1010F6AF" w14:textId="0DEC4C45" w:rsidR="0646391C" w:rsidRDefault="0646391C" w:rsidP="0012507E">
      <w:pPr>
        <w:pStyle w:val="Ttulo1"/>
        <w:spacing w:before="0" w:after="0"/>
        <w:rPr>
          <w:sz w:val="36"/>
          <w:szCs w:val="36"/>
        </w:rPr>
      </w:pPr>
      <w:r w:rsidRPr="2987EAA1">
        <w:rPr>
          <w:sz w:val="36"/>
          <w:szCs w:val="36"/>
        </w:rPr>
        <w:t>Página Oficial del Gobierno de UK</w:t>
      </w:r>
    </w:p>
    <w:p w14:paraId="1170FBBA" w14:textId="77777777" w:rsidR="0012507E" w:rsidRPr="0012507E" w:rsidRDefault="0012507E" w:rsidP="0012507E"/>
    <w:p w14:paraId="7E36413D" w14:textId="3C7C09FB" w:rsidR="5E9E4719" w:rsidRDefault="5E9E4719" w:rsidP="00DC69FF">
      <w:pPr>
        <w:spacing w:line="360" w:lineRule="auto"/>
        <w:jc w:val="both"/>
      </w:pPr>
      <w:r>
        <w:t xml:space="preserve">En este informe, se realizará </w:t>
      </w:r>
      <w:r w:rsidR="0012507E">
        <w:t xml:space="preserve">un análisis exhaustivo de la página oficial del Gobierno de Reino Unido, alojada en </w:t>
      </w:r>
      <w:hyperlink r:id="rId5" w:history="1">
        <w:r w:rsidR="0012507E" w:rsidRPr="00A20F63">
          <w:rPr>
            <w:rStyle w:val="Hipervnculo"/>
          </w:rPr>
          <w:t>https://www.gov.uk/</w:t>
        </w:r>
      </w:hyperlink>
      <w:r w:rsidR="0012507E">
        <w:t>. Este análisis tratará de informar sobre cómo esta página rinde en el aspecto de la accesibilidad, y si cumple los estándares requeridos para toda página oficial del gobierno de un país.</w:t>
      </w:r>
    </w:p>
    <w:p w14:paraId="77D9DC40" w14:textId="0E26EB77" w:rsidR="1605E1BE" w:rsidRDefault="1605E1BE" w:rsidP="00DC69FF">
      <w:pPr>
        <w:pStyle w:val="Ttulo2"/>
        <w:numPr>
          <w:ilvl w:val="0"/>
          <w:numId w:val="2"/>
        </w:numPr>
        <w:spacing w:line="360" w:lineRule="auto"/>
      </w:pPr>
      <w:r w:rsidRPr="2987EAA1">
        <w:t>Cumplimiento del Estándar de Accesibilidad</w:t>
      </w:r>
    </w:p>
    <w:p w14:paraId="2EE5CB2F" w14:textId="7B4057FA" w:rsidR="0B4D2836" w:rsidRPr="00974991" w:rsidRDefault="0B4D2836" w:rsidP="00DC69FF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 w:rsidRPr="00974991">
        <w:rPr>
          <w:b/>
          <w:bCs/>
        </w:rPr>
        <w:t>Indicación de estándares cumplidos:</w:t>
      </w:r>
    </w:p>
    <w:p w14:paraId="3FA620D9" w14:textId="6347051D" w:rsidR="00974991" w:rsidRDefault="00974991" w:rsidP="00DC69FF">
      <w:pPr>
        <w:pStyle w:val="Prrafodelista"/>
        <w:spacing w:before="240" w:line="360" w:lineRule="auto"/>
        <w:ind w:left="0"/>
        <w:jc w:val="both"/>
      </w:pPr>
      <w:r>
        <w:t>Al bajar a</w:t>
      </w:r>
      <w:r w:rsidR="0012507E">
        <w:t xml:space="preserve"> la </w:t>
      </w:r>
      <w:r>
        <w:t>zona</w:t>
      </w:r>
      <w:r w:rsidR="0012507E">
        <w:t xml:space="preserve"> inferior se incluye un enlace</w:t>
      </w:r>
      <w:r>
        <w:t xml:space="preserve"> ( </w:t>
      </w:r>
      <w:hyperlink r:id="rId6" w:history="1">
        <w:r w:rsidRPr="00A20F63">
          <w:rPr>
            <w:rStyle w:val="Hipervnculo"/>
          </w:rPr>
          <w:t>https://www.gov.uk/help/accessibility-statement</w:t>
        </w:r>
      </w:hyperlink>
      <w:r>
        <w:t xml:space="preserve"> )</w:t>
      </w:r>
      <w:r w:rsidR="0012507E">
        <w:t xml:space="preserve"> a la página donde se indica correctamente cómo usar la página, las medidas que se han tomado para que sea más accesible</w:t>
      </w:r>
      <w:r w:rsidR="007C5203">
        <w:t xml:space="preserve">, información técnica sobre la accesibilidad de la página </w:t>
      </w:r>
      <w:r>
        <w:t>y el contenido que le impide tener un mayor certificado de accesibilidad entre otras cosas.</w:t>
      </w:r>
    </w:p>
    <w:p w14:paraId="60237AFD" w14:textId="6B1D9E5F" w:rsidR="00974991" w:rsidRDefault="00974991" w:rsidP="00DC69FF">
      <w:pPr>
        <w:pStyle w:val="Prrafodelista"/>
        <w:spacing w:before="240" w:line="360" w:lineRule="auto"/>
        <w:ind w:left="0"/>
        <w:jc w:val="both"/>
      </w:pPr>
      <w:r>
        <w:t xml:space="preserve">En esta sección se menciona que la página cumple el estándar AA declarado por la página oficial de la organización W3 ( </w:t>
      </w:r>
      <w:hyperlink r:id="rId7" w:history="1">
        <w:r w:rsidRPr="00A20F63">
          <w:rPr>
            <w:rStyle w:val="Hipervnculo"/>
          </w:rPr>
          <w:t>https://www.w3.org/TR/WCAG22/</w:t>
        </w:r>
      </w:hyperlink>
      <w:r>
        <w:t xml:space="preserve"> )</w:t>
      </w:r>
      <w:r w:rsidR="00EE3FC9">
        <w:t>.</w:t>
      </w:r>
    </w:p>
    <w:p w14:paraId="569A524C" w14:textId="04A64963" w:rsidR="00EE3FC9" w:rsidRPr="000D57BE" w:rsidRDefault="00EE3FC9" w:rsidP="00DC69FF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b/>
          <w:bCs/>
        </w:rPr>
      </w:pPr>
      <w:r w:rsidRPr="000D57BE">
        <w:rPr>
          <w:b/>
          <w:bCs/>
        </w:rPr>
        <w:t>Declaración de conformidad con el estándar de accesibilidad:</w:t>
      </w:r>
    </w:p>
    <w:p w14:paraId="6CDD2BBA" w14:textId="5F0B8ABD" w:rsidR="00EE3FC9" w:rsidRDefault="00EE3FC9" w:rsidP="00DC69FF">
      <w:pPr>
        <w:pStyle w:val="Prrafodelista"/>
        <w:spacing w:before="240" w:line="360" w:lineRule="auto"/>
        <w:ind w:left="0"/>
        <w:jc w:val="both"/>
      </w:pPr>
      <w:r>
        <w:t>Al final de la página de accesibilidad, se afirma que la declaración fue preparada el 23 de septiembre de 2019 y se revisó por última vez el 7 de octubre de 2025. También afirma que fue se comprobó el cumplimiento del estándar WCAG AA en la versión 2.2 en marzo de 2025 y que dicha comprobación al llevó a cabo</w:t>
      </w:r>
      <w:r w:rsidR="000D57BE">
        <w:t xml:space="preserve"> el DAC (</w:t>
      </w:r>
      <w:r w:rsidR="000D57BE" w:rsidRPr="000D57BE">
        <w:t xml:space="preserve">Digital </w:t>
      </w:r>
      <w:proofErr w:type="spellStart"/>
      <w:r w:rsidR="000D57BE" w:rsidRPr="000D57BE">
        <w:t>Accessibility</w:t>
      </w:r>
      <w:proofErr w:type="spellEnd"/>
      <w:r w:rsidR="000D57BE" w:rsidRPr="000D57BE">
        <w:t xml:space="preserve"> Centre</w:t>
      </w:r>
      <w:r w:rsidR="000D57BE" w:rsidRPr="000D57BE">
        <w:t xml:space="preserve"> </w:t>
      </w:r>
      <w:r w:rsidR="000D57BE">
        <w:t>o Centro de Accesibilidad Digital), una empresa no lucrativa que se encarga de comprobar el cumplimiento del estándar AA según los criterios de W3C.</w:t>
      </w:r>
    </w:p>
    <w:p w14:paraId="5CDBA5B5" w14:textId="77777777" w:rsidR="000D57BE" w:rsidRDefault="000D57BE" w:rsidP="00DC69FF">
      <w:pPr>
        <w:pStyle w:val="Prrafodelista"/>
        <w:spacing w:before="240" w:line="360" w:lineRule="auto"/>
        <w:ind w:left="0"/>
        <w:jc w:val="both"/>
      </w:pPr>
    </w:p>
    <w:p w14:paraId="142F5788" w14:textId="4792A6F2" w:rsidR="000D57BE" w:rsidRDefault="000D57BE" w:rsidP="00DC69FF">
      <w:pPr>
        <w:pStyle w:val="Prrafodelista"/>
        <w:spacing w:before="240" w:line="360" w:lineRule="auto"/>
        <w:ind w:left="0"/>
        <w:jc w:val="both"/>
      </w:pPr>
      <w:r>
        <w:t>La página mantiene un buen nivel de accesibilidad que alcanza los requerimientos que se esperan de una página oficial de un gobierno y además mantiene la declaración de accesibilidad actualizada de manera adecuada.</w:t>
      </w:r>
    </w:p>
    <w:p w14:paraId="643E0DCC" w14:textId="34441D46" w:rsidR="2987EAA1" w:rsidRDefault="000D57BE" w:rsidP="00DC69FF">
      <w:pPr>
        <w:pStyle w:val="Ttulo2"/>
        <w:numPr>
          <w:ilvl w:val="0"/>
          <w:numId w:val="2"/>
        </w:numPr>
        <w:spacing w:line="360" w:lineRule="auto"/>
      </w:pPr>
      <w:r>
        <w:lastRenderedPageBreak/>
        <w:t>Análisis de HTML y CSS</w:t>
      </w:r>
    </w:p>
    <w:p w14:paraId="10FB2245" w14:textId="0B562F92" w:rsidR="00DC69FF" w:rsidRDefault="00DC69FF" w:rsidP="00DC69FF">
      <w:pPr>
        <w:spacing w:line="360" w:lineRule="auto"/>
      </w:pPr>
      <w:r>
        <w:t xml:space="preserve">En este análisis se usarán las páginas de la W3C </w:t>
      </w:r>
      <w:hyperlink r:id="rId8" w:history="1">
        <w:r w:rsidRPr="00A20F63">
          <w:rPr>
            <w:rStyle w:val="Hipervnculo"/>
          </w:rPr>
          <w:t>https://validator.w3.org/</w:t>
        </w:r>
      </w:hyperlink>
      <w:r>
        <w:t xml:space="preserve"> para validar el código HTML y </w:t>
      </w:r>
      <w:hyperlink r:id="rId9" w:history="1">
        <w:r w:rsidRPr="00A20F63">
          <w:rPr>
            <w:rStyle w:val="Hipervnculo"/>
          </w:rPr>
          <w:t>https://jigsaw.w3.org/css-validator/</w:t>
        </w:r>
      </w:hyperlink>
      <w:r>
        <w:t xml:space="preserve"> para validar el código CSS.</w:t>
      </w:r>
    </w:p>
    <w:p w14:paraId="1B96F9D4" w14:textId="47AE027E" w:rsidR="00DC69FF" w:rsidRDefault="00DC69FF" w:rsidP="00DC69FF">
      <w:pPr>
        <w:pStyle w:val="Ttulo3"/>
      </w:pPr>
      <w:r>
        <w:t>2.1 HTML</w:t>
      </w:r>
    </w:p>
    <w:p w14:paraId="68E8954F" w14:textId="478748B8" w:rsidR="00DC69FF" w:rsidRDefault="00DC69FF" w:rsidP="00DC69FF">
      <w:pPr>
        <w:pStyle w:val="Prrafodelista"/>
        <w:numPr>
          <w:ilvl w:val="0"/>
          <w:numId w:val="1"/>
        </w:numPr>
        <w:rPr>
          <w:color w:val="C00000"/>
        </w:rPr>
      </w:pPr>
      <w:r w:rsidRPr="00DC69FF">
        <w:rPr>
          <w:color w:val="C00000"/>
        </w:rPr>
        <w:t xml:space="preserve">Errores: </w:t>
      </w:r>
    </w:p>
    <w:p w14:paraId="15CC4FC9" w14:textId="315BC21A" w:rsidR="00DC69FF" w:rsidRPr="008472FF" w:rsidRDefault="00DC69FF" w:rsidP="00DC69FF">
      <w:pPr>
        <w:pStyle w:val="Prrafodelista"/>
        <w:numPr>
          <w:ilvl w:val="1"/>
          <w:numId w:val="1"/>
        </w:numPr>
      </w:pPr>
      <w:r w:rsidRPr="008472FF">
        <w:t xml:space="preserve">En la línea 335 incluye el atributo </w:t>
      </w:r>
      <w:proofErr w:type="spellStart"/>
      <w:r w:rsidRPr="008472FF">
        <w:rPr>
          <w:rFonts w:ascii="Courier New" w:hAnsi="Courier New" w:cs="Courier New"/>
        </w:rPr>
        <w:t>autocorrect</w:t>
      </w:r>
      <w:proofErr w:type="spellEnd"/>
      <w:r w:rsidRPr="008472FF">
        <w:t xml:space="preserve"> en la etiqueta </w:t>
      </w:r>
      <w:r w:rsidRPr="008472FF">
        <w:rPr>
          <w:rFonts w:ascii="Courier New" w:hAnsi="Courier New" w:cs="Courier New"/>
        </w:rPr>
        <w:t>input</w:t>
      </w:r>
      <w:r w:rsidRPr="008472FF">
        <w:t>, lo cual no está permitido.</w:t>
      </w:r>
    </w:p>
    <w:p w14:paraId="2922DED3" w14:textId="52B8791E" w:rsidR="00DC69FF" w:rsidRPr="008472FF" w:rsidRDefault="00DC69FF" w:rsidP="00DC69FF">
      <w:pPr>
        <w:pStyle w:val="Prrafodelista"/>
        <w:numPr>
          <w:ilvl w:val="1"/>
          <w:numId w:val="1"/>
        </w:numPr>
      </w:pPr>
      <w:r w:rsidRPr="008472FF">
        <w:t xml:space="preserve">En la línea 402 vuelve a incluir el mismo atributo en la etiqueta </w:t>
      </w:r>
      <w:r w:rsidRPr="008472FF">
        <w:rPr>
          <w:rFonts w:ascii="Courier New" w:hAnsi="Courier New" w:cs="Courier New"/>
        </w:rPr>
        <w:t>input</w:t>
      </w:r>
      <w:r w:rsidRPr="008472FF">
        <w:t>.</w:t>
      </w:r>
    </w:p>
    <w:p w14:paraId="38841207" w14:textId="15747A6F" w:rsidR="00E247C7" w:rsidRPr="00E247C7" w:rsidRDefault="00E247C7" w:rsidP="00E247C7">
      <w:pPr>
        <w:pStyle w:val="Prrafodelista"/>
        <w:ind w:left="708"/>
      </w:pPr>
      <w:r w:rsidRPr="00E247C7">
        <w:t>Para corregir el error, bastaría con eliminar la etiqueta, ya que no cumple ninguna función.</w:t>
      </w:r>
    </w:p>
    <w:p w14:paraId="0EC33CFC" w14:textId="4CF3FDB0" w:rsidR="00DC69FF" w:rsidRDefault="00DC69FF" w:rsidP="00DC69FF">
      <w:pPr>
        <w:pStyle w:val="Ttulo3"/>
      </w:pPr>
      <w:r>
        <w:t>2.2 CSS</w:t>
      </w:r>
    </w:p>
    <w:p w14:paraId="178A14BC" w14:textId="77777777" w:rsidR="00E247C7" w:rsidRDefault="00E247C7" w:rsidP="00E247C7">
      <w:pPr>
        <w:pStyle w:val="Prrafodelista"/>
        <w:numPr>
          <w:ilvl w:val="0"/>
          <w:numId w:val="1"/>
        </w:numPr>
        <w:rPr>
          <w:color w:val="C00000"/>
        </w:rPr>
      </w:pPr>
      <w:r w:rsidRPr="00DC69FF">
        <w:rPr>
          <w:color w:val="C00000"/>
        </w:rPr>
        <w:t xml:space="preserve">Errores: </w:t>
      </w:r>
    </w:p>
    <w:p w14:paraId="401C1F93" w14:textId="070AFB10" w:rsidR="00E247C7" w:rsidRPr="008472FF" w:rsidRDefault="008472FF" w:rsidP="00E247C7">
      <w:pPr>
        <w:pStyle w:val="Prrafodelista"/>
        <w:numPr>
          <w:ilvl w:val="1"/>
          <w:numId w:val="1"/>
        </w:numPr>
      </w:pPr>
      <w:r w:rsidRPr="008472FF">
        <w:t xml:space="preserve">Propiedad no </w:t>
      </w:r>
      <w:r w:rsidRPr="008472FF">
        <w:t>válida:</w:t>
      </w:r>
      <w:r w:rsidRPr="008472FF">
        <w:t xml:space="preserve"> </w:t>
      </w:r>
      <w:proofErr w:type="spellStart"/>
      <w:r w:rsidRPr="008472FF">
        <w:rPr>
          <w:rFonts w:ascii="Courier New" w:hAnsi="Courier New" w:cs="Courier New"/>
        </w:rPr>
        <w:t>SelectedItem</w:t>
      </w:r>
      <w:proofErr w:type="spellEnd"/>
      <w:r w:rsidRPr="008472FF">
        <w:t xml:space="preserve"> no es un valor de </w:t>
      </w:r>
      <w:proofErr w:type="spellStart"/>
      <w:r w:rsidRPr="008472FF">
        <w:rPr>
          <w:rFonts w:ascii="Courier New" w:hAnsi="Courier New" w:cs="Courier New"/>
        </w:rPr>
        <w:t>background</w:t>
      </w:r>
      <w:proofErr w:type="spellEnd"/>
      <w:r w:rsidRPr="008472FF">
        <w:rPr>
          <w:rFonts w:ascii="Courier New" w:hAnsi="Courier New" w:cs="Courier New"/>
        </w:rPr>
        <w:t>-color</w:t>
      </w:r>
    </w:p>
    <w:p w14:paraId="696862D0" w14:textId="0EB51799" w:rsidR="008472FF" w:rsidRPr="008472FF" w:rsidRDefault="008472FF" w:rsidP="00E247C7">
      <w:pPr>
        <w:pStyle w:val="Prrafodelista"/>
        <w:numPr>
          <w:ilvl w:val="1"/>
          <w:numId w:val="1"/>
        </w:numPr>
      </w:pPr>
      <w:r w:rsidRPr="008472FF">
        <w:t xml:space="preserve">Propiedad no </w:t>
      </w:r>
      <w:r w:rsidRPr="008472FF">
        <w:t>válida:</w:t>
      </w:r>
      <w:r w:rsidRPr="008472FF">
        <w:t xml:space="preserve"> </w:t>
      </w:r>
      <w:proofErr w:type="spellStart"/>
      <w:r w:rsidRPr="008472FF">
        <w:rPr>
          <w:rFonts w:ascii="Courier New" w:hAnsi="Courier New" w:cs="Courier New"/>
        </w:rPr>
        <w:t>SelectedItemText</w:t>
      </w:r>
      <w:proofErr w:type="spellEnd"/>
      <w:r w:rsidRPr="008472FF">
        <w:t> no es un valor de </w:t>
      </w:r>
      <w:r w:rsidRPr="008472FF">
        <w:rPr>
          <w:rFonts w:ascii="Courier New" w:hAnsi="Courier New" w:cs="Courier New"/>
        </w:rPr>
        <w:t>color</w:t>
      </w:r>
    </w:p>
    <w:p w14:paraId="3027C629" w14:textId="726CC7FA" w:rsidR="008472FF" w:rsidRPr="008472FF" w:rsidRDefault="008472FF" w:rsidP="008472FF">
      <w:pPr>
        <w:pStyle w:val="Prrafodelista"/>
        <w:ind w:left="1080"/>
      </w:pPr>
      <w:r w:rsidRPr="008472FF">
        <w:rPr>
          <w:rFonts w:cs="Courier New"/>
        </w:rPr>
        <w:t>Estos errores pueden dar lugar a problemas al emplear la navegación por teclado en la página.</w:t>
      </w:r>
    </w:p>
    <w:p w14:paraId="2966ADBC" w14:textId="15BBF54F" w:rsidR="008472FF" w:rsidRPr="008472FF" w:rsidRDefault="008472FF" w:rsidP="00E247C7">
      <w:pPr>
        <w:pStyle w:val="Prrafodelista"/>
        <w:numPr>
          <w:ilvl w:val="1"/>
          <w:numId w:val="1"/>
        </w:numPr>
      </w:pPr>
      <w:r w:rsidRPr="008472FF">
        <w:rPr>
          <w:rFonts w:cs="Courier New"/>
        </w:rPr>
        <w:t>Error de análisis sintáctico en varios elementos:</w:t>
      </w:r>
      <w:r>
        <w:rPr>
          <w:rFonts w:cs="Courier New"/>
        </w:rPr>
        <w:t xml:space="preserve"> aparece varias veces </w:t>
      </w:r>
      <w:proofErr w:type="spellStart"/>
      <w:proofErr w:type="gramStart"/>
      <w:r w:rsidRPr="008472FF">
        <w:rPr>
          <w:rFonts w:ascii="Courier New" w:hAnsi="Courier New" w:cs="Courier New"/>
        </w:rPr>
        <w:t>env</w:t>
      </w:r>
      <w:proofErr w:type="spellEnd"/>
      <w:r w:rsidRPr="008472FF">
        <w:rPr>
          <w:rFonts w:ascii="Courier New" w:hAnsi="Courier New" w:cs="Courier New"/>
        </w:rPr>
        <w:t>(</w:t>
      </w:r>
      <w:proofErr w:type="spellStart"/>
      <w:proofErr w:type="gramEnd"/>
      <w:r w:rsidRPr="008472FF">
        <w:rPr>
          <w:rFonts w:ascii="Courier New" w:hAnsi="Courier New" w:cs="Courier New"/>
        </w:rPr>
        <w:t>safe-area-inset</w:t>
      </w:r>
      <w:proofErr w:type="spellEnd"/>
      <w:proofErr w:type="gramStart"/>
      <w:r w:rsidRPr="008472FF">
        <w:rPr>
          <w:rFonts w:ascii="Courier New" w:hAnsi="Courier New" w:cs="Courier New"/>
        </w:rPr>
        <w:t>-</w:t>
      </w:r>
      <w:r w:rsidRPr="008472FF">
        <w:rPr>
          <w:rFonts w:ascii="Courier New" w:hAnsi="Courier New" w:cs="Courier New"/>
        </w:rPr>
        <w:t>[</w:t>
      </w:r>
      <w:proofErr w:type="gramEnd"/>
      <w:r w:rsidRPr="008472FF">
        <w:rPr>
          <w:rFonts w:ascii="Courier New" w:hAnsi="Courier New" w:cs="Courier New"/>
        </w:rPr>
        <w:t>…]</w:t>
      </w:r>
      <w:r w:rsidRPr="008472FF">
        <w:rPr>
          <w:rFonts w:ascii="Courier New" w:hAnsi="Courier New" w:cs="Courier New"/>
        </w:rPr>
        <w:t>)))</w:t>
      </w:r>
      <w:r>
        <w:rPr>
          <w:rFonts w:cs="Courier New"/>
        </w:rPr>
        <w:t>, una función de CSS utilizada para dispositivos móviles modernos y que puede afectar a la disposición de la página negativamente.</w:t>
      </w:r>
    </w:p>
    <w:p w14:paraId="249587DE" w14:textId="0F800C8E" w:rsidR="00E247C7" w:rsidRPr="00E247C7" w:rsidRDefault="008472FF" w:rsidP="008472FF">
      <w:r>
        <w:t>Los errores son mínimos y no deberían suponer un impacto muy grave en el aspecto de accesibilidad.</w:t>
      </w:r>
    </w:p>
    <w:p w14:paraId="59570571" w14:textId="1F07FACF" w:rsidR="00E247C7" w:rsidRDefault="00480CF8" w:rsidP="00480CF8">
      <w:pPr>
        <w:pStyle w:val="Ttulo2"/>
        <w:numPr>
          <w:ilvl w:val="0"/>
          <w:numId w:val="2"/>
        </w:numPr>
      </w:pPr>
      <w:r>
        <w:t>Análisis de accesibilidad</w:t>
      </w:r>
    </w:p>
    <w:p w14:paraId="421073C6" w14:textId="4E151D09" w:rsidR="00480CF8" w:rsidRDefault="00480CF8" w:rsidP="00480CF8">
      <w:r>
        <w:t xml:space="preserve">En este análisis se usarán las páginas </w:t>
      </w:r>
      <w:hyperlink r:id="rId10" w:history="1">
        <w:r w:rsidRPr="00A20F63">
          <w:rPr>
            <w:rStyle w:val="Hipervnculo"/>
          </w:rPr>
          <w:t>https://www.tawdis.net/</w:t>
        </w:r>
      </w:hyperlink>
      <w:r>
        <w:t xml:space="preserve"> y </w:t>
      </w:r>
      <w:hyperlink r:id="rId11" w:history="1">
        <w:r w:rsidRPr="00A20F63">
          <w:rPr>
            <w:rStyle w:val="Hipervnculo"/>
          </w:rPr>
          <w:t>https://wave.webaim.org/</w:t>
        </w:r>
      </w:hyperlink>
      <w:r>
        <w:t xml:space="preserve"> para analizar el estado de accesibilidad de la página.</w:t>
      </w:r>
    </w:p>
    <w:p w14:paraId="156331D8" w14:textId="21D080FB" w:rsidR="00480CF8" w:rsidRDefault="00480CF8" w:rsidP="00480CF8">
      <w:r>
        <w:t>Después del análisis, no se ha podido encontrar ningún error grave de contraste o que no permita acceder a alguna parte de la página.</w:t>
      </w:r>
    </w:p>
    <w:p w14:paraId="64992B3F" w14:textId="77777777" w:rsidR="00B159A0" w:rsidRDefault="00B159A0" w:rsidP="00480CF8"/>
    <w:p w14:paraId="6A4D3310" w14:textId="77777777" w:rsidR="00B159A0" w:rsidRPr="00480CF8" w:rsidRDefault="00B159A0" w:rsidP="00480CF8"/>
    <w:p w14:paraId="00C2C559" w14:textId="77777777" w:rsidR="00E247C7" w:rsidRPr="00E247C7" w:rsidRDefault="00E247C7" w:rsidP="00E247C7"/>
    <w:p w14:paraId="0F09A3CD" w14:textId="77777777" w:rsidR="00E247C7" w:rsidRDefault="0646391C" w:rsidP="2987EAA1">
      <w:r>
        <w:t xml:space="preserve">Elaborado por: </w:t>
      </w:r>
      <w:r w:rsidR="00E247C7">
        <w:t xml:space="preserve">Rodrigo Sánchez Martínez </w:t>
      </w:r>
    </w:p>
    <w:p w14:paraId="6830ABAD" w14:textId="2A72228A" w:rsidR="000F3D76" w:rsidRDefault="0646391C" w:rsidP="00480CF8">
      <w:r>
        <w:t xml:space="preserve">Contacto: </w:t>
      </w:r>
      <w:hyperlink r:id="rId12" w:history="1">
        <w:r w:rsidR="00E247C7" w:rsidRPr="00A20F63">
          <w:rPr>
            <w:rStyle w:val="Hipervnculo"/>
          </w:rPr>
          <w:t>rodrigo.sanchez.martinez3012@gmail.com</w:t>
        </w:r>
      </w:hyperlink>
    </w:p>
    <w:p w14:paraId="5C1A07E2" w14:textId="3A5F1AC0" w:rsidR="000F3D76" w:rsidRDefault="000F3D76"/>
    <w:sectPr w:rsidR="000F3D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C82"/>
    <w:multiLevelType w:val="hybridMultilevel"/>
    <w:tmpl w:val="3160BA46"/>
    <w:lvl w:ilvl="0" w:tplc="03E81E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E13C4"/>
    <w:multiLevelType w:val="hybridMultilevel"/>
    <w:tmpl w:val="25B287AE"/>
    <w:lvl w:ilvl="0" w:tplc="C0AADE0E">
      <w:start w:val="1"/>
      <w:numFmt w:val="decimal"/>
      <w:lvlText w:val="%1."/>
      <w:lvlJc w:val="left"/>
      <w:pPr>
        <w:ind w:left="360" w:hanging="360"/>
      </w:pPr>
    </w:lvl>
    <w:lvl w:ilvl="1" w:tplc="62E0BFF0">
      <w:start w:val="1"/>
      <w:numFmt w:val="lowerLetter"/>
      <w:lvlText w:val="%2."/>
      <w:lvlJc w:val="left"/>
      <w:pPr>
        <w:ind w:left="1080" w:hanging="360"/>
      </w:pPr>
    </w:lvl>
    <w:lvl w:ilvl="2" w:tplc="FAD09044">
      <w:start w:val="1"/>
      <w:numFmt w:val="lowerRoman"/>
      <w:lvlText w:val="%3."/>
      <w:lvlJc w:val="right"/>
      <w:pPr>
        <w:ind w:left="1800" w:hanging="180"/>
      </w:pPr>
    </w:lvl>
    <w:lvl w:ilvl="3" w:tplc="138435FE">
      <w:start w:val="1"/>
      <w:numFmt w:val="decimal"/>
      <w:lvlText w:val="%4."/>
      <w:lvlJc w:val="left"/>
      <w:pPr>
        <w:ind w:left="2520" w:hanging="360"/>
      </w:pPr>
    </w:lvl>
    <w:lvl w:ilvl="4" w:tplc="B9AC81BE">
      <w:start w:val="1"/>
      <w:numFmt w:val="lowerLetter"/>
      <w:lvlText w:val="%5."/>
      <w:lvlJc w:val="left"/>
      <w:pPr>
        <w:ind w:left="3240" w:hanging="360"/>
      </w:pPr>
    </w:lvl>
    <w:lvl w:ilvl="5" w:tplc="CD78FBB2">
      <w:start w:val="1"/>
      <w:numFmt w:val="lowerRoman"/>
      <w:lvlText w:val="%6."/>
      <w:lvlJc w:val="right"/>
      <w:pPr>
        <w:ind w:left="3960" w:hanging="180"/>
      </w:pPr>
    </w:lvl>
    <w:lvl w:ilvl="6" w:tplc="76B6880E">
      <w:start w:val="1"/>
      <w:numFmt w:val="decimal"/>
      <w:lvlText w:val="%7."/>
      <w:lvlJc w:val="left"/>
      <w:pPr>
        <w:ind w:left="4680" w:hanging="360"/>
      </w:pPr>
    </w:lvl>
    <w:lvl w:ilvl="7" w:tplc="29FE5A9C">
      <w:start w:val="1"/>
      <w:numFmt w:val="lowerLetter"/>
      <w:lvlText w:val="%8."/>
      <w:lvlJc w:val="left"/>
      <w:pPr>
        <w:ind w:left="5400" w:hanging="360"/>
      </w:pPr>
    </w:lvl>
    <w:lvl w:ilvl="8" w:tplc="7C7C16F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7016D5"/>
    <w:multiLevelType w:val="hybridMultilevel"/>
    <w:tmpl w:val="3E5A7EDA"/>
    <w:lvl w:ilvl="0" w:tplc="191A5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C86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7E0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8E2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84A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6F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4CE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48D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46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AD143"/>
    <w:multiLevelType w:val="hybridMultilevel"/>
    <w:tmpl w:val="24DEA64C"/>
    <w:lvl w:ilvl="0" w:tplc="2EACFEA6">
      <w:start w:val="1"/>
      <w:numFmt w:val="decimal"/>
      <w:lvlText w:val="%1."/>
      <w:lvlJc w:val="left"/>
      <w:pPr>
        <w:ind w:left="720" w:hanging="360"/>
      </w:pPr>
    </w:lvl>
    <w:lvl w:ilvl="1" w:tplc="F0F0EBAC">
      <w:start w:val="1"/>
      <w:numFmt w:val="lowerLetter"/>
      <w:lvlText w:val="%2."/>
      <w:lvlJc w:val="left"/>
      <w:pPr>
        <w:ind w:left="1440" w:hanging="360"/>
      </w:pPr>
    </w:lvl>
    <w:lvl w:ilvl="2" w:tplc="E4AEA4AC">
      <w:start w:val="1"/>
      <w:numFmt w:val="lowerRoman"/>
      <w:lvlText w:val="%3."/>
      <w:lvlJc w:val="right"/>
      <w:pPr>
        <w:ind w:left="2160" w:hanging="180"/>
      </w:pPr>
    </w:lvl>
    <w:lvl w:ilvl="3" w:tplc="CE227B6C">
      <w:start w:val="1"/>
      <w:numFmt w:val="decimal"/>
      <w:lvlText w:val="%4."/>
      <w:lvlJc w:val="left"/>
      <w:pPr>
        <w:ind w:left="2880" w:hanging="360"/>
      </w:pPr>
    </w:lvl>
    <w:lvl w:ilvl="4" w:tplc="756661EE">
      <w:start w:val="1"/>
      <w:numFmt w:val="lowerLetter"/>
      <w:lvlText w:val="%5."/>
      <w:lvlJc w:val="left"/>
      <w:pPr>
        <w:ind w:left="3600" w:hanging="360"/>
      </w:pPr>
    </w:lvl>
    <w:lvl w:ilvl="5" w:tplc="3C108BFE">
      <w:start w:val="1"/>
      <w:numFmt w:val="lowerRoman"/>
      <w:lvlText w:val="%6."/>
      <w:lvlJc w:val="right"/>
      <w:pPr>
        <w:ind w:left="4320" w:hanging="180"/>
      </w:pPr>
    </w:lvl>
    <w:lvl w:ilvl="6" w:tplc="13480142">
      <w:start w:val="1"/>
      <w:numFmt w:val="decimal"/>
      <w:lvlText w:val="%7."/>
      <w:lvlJc w:val="left"/>
      <w:pPr>
        <w:ind w:left="5040" w:hanging="360"/>
      </w:pPr>
    </w:lvl>
    <w:lvl w:ilvl="7" w:tplc="A9246002">
      <w:start w:val="1"/>
      <w:numFmt w:val="lowerLetter"/>
      <w:lvlText w:val="%8."/>
      <w:lvlJc w:val="left"/>
      <w:pPr>
        <w:ind w:left="5760" w:hanging="360"/>
      </w:pPr>
    </w:lvl>
    <w:lvl w:ilvl="8" w:tplc="C4F448B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6C850"/>
    <w:multiLevelType w:val="hybridMultilevel"/>
    <w:tmpl w:val="DCF06C08"/>
    <w:lvl w:ilvl="0" w:tplc="11146F12">
      <w:start w:val="1"/>
      <w:numFmt w:val="decimal"/>
      <w:lvlText w:val="%1."/>
      <w:lvlJc w:val="left"/>
      <w:pPr>
        <w:ind w:left="720" w:hanging="360"/>
      </w:pPr>
    </w:lvl>
    <w:lvl w:ilvl="1" w:tplc="929E5236">
      <w:start w:val="1"/>
      <w:numFmt w:val="lowerLetter"/>
      <w:lvlText w:val="%2."/>
      <w:lvlJc w:val="left"/>
      <w:pPr>
        <w:ind w:left="1440" w:hanging="360"/>
      </w:pPr>
    </w:lvl>
    <w:lvl w:ilvl="2" w:tplc="6B7267CA">
      <w:start w:val="1"/>
      <w:numFmt w:val="lowerRoman"/>
      <w:lvlText w:val="%3."/>
      <w:lvlJc w:val="right"/>
      <w:pPr>
        <w:ind w:left="2160" w:hanging="180"/>
      </w:pPr>
    </w:lvl>
    <w:lvl w:ilvl="3" w:tplc="1F74260A">
      <w:start w:val="1"/>
      <w:numFmt w:val="decimal"/>
      <w:lvlText w:val="%4."/>
      <w:lvlJc w:val="left"/>
      <w:pPr>
        <w:ind w:left="2880" w:hanging="360"/>
      </w:pPr>
    </w:lvl>
    <w:lvl w:ilvl="4" w:tplc="BB262862">
      <w:start w:val="1"/>
      <w:numFmt w:val="lowerLetter"/>
      <w:lvlText w:val="%5."/>
      <w:lvlJc w:val="left"/>
      <w:pPr>
        <w:ind w:left="3600" w:hanging="360"/>
      </w:pPr>
    </w:lvl>
    <w:lvl w:ilvl="5" w:tplc="AAB43B2C">
      <w:start w:val="1"/>
      <w:numFmt w:val="lowerRoman"/>
      <w:lvlText w:val="%6."/>
      <w:lvlJc w:val="right"/>
      <w:pPr>
        <w:ind w:left="4320" w:hanging="180"/>
      </w:pPr>
    </w:lvl>
    <w:lvl w:ilvl="6" w:tplc="6DB88AC0">
      <w:start w:val="1"/>
      <w:numFmt w:val="decimal"/>
      <w:lvlText w:val="%7."/>
      <w:lvlJc w:val="left"/>
      <w:pPr>
        <w:ind w:left="5040" w:hanging="360"/>
      </w:pPr>
    </w:lvl>
    <w:lvl w:ilvl="7" w:tplc="87427144">
      <w:start w:val="1"/>
      <w:numFmt w:val="lowerLetter"/>
      <w:lvlText w:val="%8."/>
      <w:lvlJc w:val="left"/>
      <w:pPr>
        <w:ind w:left="5760" w:hanging="360"/>
      </w:pPr>
    </w:lvl>
    <w:lvl w:ilvl="8" w:tplc="9BB4D95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1D995"/>
    <w:multiLevelType w:val="hybridMultilevel"/>
    <w:tmpl w:val="32101BAE"/>
    <w:lvl w:ilvl="0" w:tplc="2F4E28EC">
      <w:start w:val="1"/>
      <w:numFmt w:val="decimal"/>
      <w:lvlText w:val="%1."/>
      <w:lvlJc w:val="left"/>
      <w:pPr>
        <w:ind w:left="720" w:hanging="360"/>
      </w:pPr>
    </w:lvl>
    <w:lvl w:ilvl="1" w:tplc="6D90D0B6">
      <w:start w:val="1"/>
      <w:numFmt w:val="lowerLetter"/>
      <w:lvlText w:val="%2."/>
      <w:lvlJc w:val="left"/>
      <w:pPr>
        <w:ind w:left="1440" w:hanging="360"/>
      </w:pPr>
    </w:lvl>
    <w:lvl w:ilvl="2" w:tplc="770433AA">
      <w:start w:val="1"/>
      <w:numFmt w:val="lowerRoman"/>
      <w:lvlText w:val="%3."/>
      <w:lvlJc w:val="right"/>
      <w:pPr>
        <w:ind w:left="2160" w:hanging="180"/>
      </w:pPr>
    </w:lvl>
    <w:lvl w:ilvl="3" w:tplc="8048A870">
      <w:start w:val="1"/>
      <w:numFmt w:val="decimal"/>
      <w:lvlText w:val="%4."/>
      <w:lvlJc w:val="left"/>
      <w:pPr>
        <w:ind w:left="2880" w:hanging="360"/>
      </w:pPr>
    </w:lvl>
    <w:lvl w:ilvl="4" w:tplc="614E85D6">
      <w:start w:val="1"/>
      <w:numFmt w:val="lowerLetter"/>
      <w:lvlText w:val="%5."/>
      <w:lvlJc w:val="left"/>
      <w:pPr>
        <w:ind w:left="3600" w:hanging="360"/>
      </w:pPr>
    </w:lvl>
    <w:lvl w:ilvl="5" w:tplc="F07E9310">
      <w:start w:val="1"/>
      <w:numFmt w:val="lowerRoman"/>
      <w:lvlText w:val="%6."/>
      <w:lvlJc w:val="right"/>
      <w:pPr>
        <w:ind w:left="4320" w:hanging="180"/>
      </w:pPr>
    </w:lvl>
    <w:lvl w:ilvl="6" w:tplc="4480717E">
      <w:start w:val="1"/>
      <w:numFmt w:val="decimal"/>
      <w:lvlText w:val="%7."/>
      <w:lvlJc w:val="left"/>
      <w:pPr>
        <w:ind w:left="5040" w:hanging="360"/>
      </w:pPr>
    </w:lvl>
    <w:lvl w:ilvl="7" w:tplc="8EEEC18A">
      <w:start w:val="1"/>
      <w:numFmt w:val="lowerLetter"/>
      <w:lvlText w:val="%8."/>
      <w:lvlJc w:val="left"/>
      <w:pPr>
        <w:ind w:left="5760" w:hanging="360"/>
      </w:pPr>
    </w:lvl>
    <w:lvl w:ilvl="8" w:tplc="3DD210C4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469399">
    <w:abstractNumId w:val="2"/>
  </w:num>
  <w:num w:numId="2" w16cid:durableId="475494442">
    <w:abstractNumId w:val="1"/>
  </w:num>
  <w:num w:numId="3" w16cid:durableId="182745947">
    <w:abstractNumId w:val="4"/>
  </w:num>
  <w:num w:numId="4" w16cid:durableId="108358986">
    <w:abstractNumId w:val="5"/>
  </w:num>
  <w:num w:numId="5" w16cid:durableId="1337805453">
    <w:abstractNumId w:val="3"/>
  </w:num>
  <w:num w:numId="6" w16cid:durableId="57266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A3E7F0"/>
    <w:rsid w:val="000D57BE"/>
    <w:rsid w:val="000F3D76"/>
    <w:rsid w:val="0012507E"/>
    <w:rsid w:val="0029779A"/>
    <w:rsid w:val="00480CF8"/>
    <w:rsid w:val="007C5203"/>
    <w:rsid w:val="008472FF"/>
    <w:rsid w:val="00974991"/>
    <w:rsid w:val="00B159A0"/>
    <w:rsid w:val="00DC69FF"/>
    <w:rsid w:val="00E247C7"/>
    <w:rsid w:val="00EE3FC9"/>
    <w:rsid w:val="0646391C"/>
    <w:rsid w:val="0B4D2836"/>
    <w:rsid w:val="101018E9"/>
    <w:rsid w:val="1605E1BE"/>
    <w:rsid w:val="1BA3E7F0"/>
    <w:rsid w:val="2512E3C8"/>
    <w:rsid w:val="2987EAA1"/>
    <w:rsid w:val="4E2BCF23"/>
    <w:rsid w:val="5B9C4ABB"/>
    <w:rsid w:val="5E9E4719"/>
    <w:rsid w:val="686FBDF5"/>
    <w:rsid w:val="73165EF9"/>
    <w:rsid w:val="76FF4D5F"/>
    <w:rsid w:val="7C6FF470"/>
    <w:rsid w:val="7DF6BAC2"/>
    <w:rsid w:val="7EF0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3E7F0"/>
  <w15:chartTrackingRefBased/>
  <w15:docId w15:val="{25E4D8AA-661D-49FA-BEE0-9F4970ED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987E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987E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69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987EAA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250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507E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DC69F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.org/TR/WCAG22/" TargetMode="External"/><Relationship Id="rId12" Type="http://schemas.openxmlformats.org/officeDocument/2006/relationships/hyperlink" Target="mailto:rodrigo.sanchez.martinez30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uk/help/accessibility-statement" TargetMode="External"/><Relationship Id="rId11" Type="http://schemas.openxmlformats.org/officeDocument/2006/relationships/hyperlink" Target="https://wave.webaim.org/" TargetMode="External"/><Relationship Id="rId5" Type="http://schemas.openxmlformats.org/officeDocument/2006/relationships/hyperlink" Target="https://www.gov.uk/" TargetMode="External"/><Relationship Id="rId10" Type="http://schemas.openxmlformats.org/officeDocument/2006/relationships/hyperlink" Target="https://www.tawdis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gsaw.w3.org/css-validato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Sánchez Martínez</dc:creator>
  <cp:keywords/>
  <dc:description/>
  <cp:lastModifiedBy>Rodrigo Sánchez Martínez</cp:lastModifiedBy>
  <cp:revision>2</cp:revision>
  <dcterms:created xsi:type="dcterms:W3CDTF">2025-10-11T11:58:00Z</dcterms:created>
  <dcterms:modified xsi:type="dcterms:W3CDTF">2025-10-11T11:58:00Z</dcterms:modified>
</cp:coreProperties>
</file>