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sz w:val="24"/>
          <w:szCs w:val="24"/>
        </w:rPr>
        <w:t xml:space="preserve">Escuela de Informática y Telecomunicaciones</w:t>
      </w:r>
    </w:p>
    <w:p>
      <w:pPr>
        <w:spacing w:before="100"/>
        <w:jc w:val="center"/>
      </w:pPr>
      <w:r>
        <w:rPr>
          <w:rFonts w:ascii="Calibri" w:cs="Calibri" w:eastAsia="Calibri" w:hAnsi="Calibri"/>
          <w:sz w:val="24"/>
          <w:szCs w:val="24"/>
        </w:rPr>
        <w:t xml:space="preserve">Duoc UC</w:t>
      </w:r>
    </w:p>
    <w:p>
      <w:pPr>
        <w:spacing w:after="900"/>
      </w:pPr>
    </w:p>
    <w:p>
      <w:pPr>
        <w:jc w:val="center"/>
      </w:pPr>
      <w:r>
        <w:rPr>
          <w:rFonts w:ascii="Calibri" w:cs="Calibri" w:eastAsia="Calibri" w:hAnsi="Calibri"/>
          <w:b/>
          <w:bCs/>
          <w:sz w:val="26"/>
          <w:szCs w:val="26"/>
        </w:rPr>
        <w:t xml:space="preserve">PTY4614 — Capstone</w:t>
      </w:r>
    </w:p>
    <w:p>
      <w:pPr>
        <w:spacing w:before="200"/>
        <w:jc w:val="center"/>
      </w:pPr>
      <w:r>
        <w:rPr>
          <w:rFonts w:ascii="Calibri" w:cs="Calibri" w:eastAsia="Calibri" w:hAnsi="Calibri"/>
          <w:b/>
          <w:bCs/>
          <w:sz w:val="40"/>
          <w:szCs w:val="40"/>
        </w:rPr>
        <w:t xml:space="preserve">Artefactos de la Fase de Inicio Scrum</w:t>
      </w:r>
    </w:p>
    <w:p>
      <w:pPr>
        <w:spacing w:before="300"/>
        <w:jc w:val="center"/>
      </w:pPr>
      <w:r>
        <w:rPr>
          <w:rFonts w:ascii="Calibri" w:cs="Calibri" w:eastAsia="Calibri" w:hAnsi="Calibri"/>
          <w:b/>
          <w:bCs/>
          <w:color w:val="1F2937"/>
          <w:sz w:val="32"/>
          <w:szCs w:val="32"/>
        </w:rPr>
        <w:t xml:space="preserve">FitSearch</w:t>
      </w:r>
    </w:p>
    <w:p>
      <w:pPr>
        <w:spacing w:before="100"/>
        <w:jc w:val="center"/>
      </w:pPr>
      <w:r>
        <w:rPr>
          <w:rFonts w:ascii="Calibri" w:cs="Calibri" w:eastAsia="Calibri" w:hAnsi="Calibri"/>
          <w:i/>
          <w:iCs/>
          <w:sz w:val="22"/>
          <w:szCs w:val="22"/>
        </w:rPr>
        <w:t xml:space="preserve">Product Vision Board · Caso de Negocio · FODA y FIT &amp; GAP · Interesados · Personas · Features · Priorización · Riesgos · Plan de Liberación</w:t>
      </w:r>
    </w:p>
    <w:p>
      <w:pPr>
        <w:spacing w:after="900"/>
      </w:pPr>
    </w:p>
    <w:p>
      <w:pPr>
        <w:jc w:val="center"/>
      </w:pPr>
      <w:r>
        <w:rPr>
          <w:rFonts w:ascii="Calibri" w:cs="Calibri" w:eastAsia="Calibri" w:hAnsi="Calibri"/>
          <w:b/>
          <w:bCs/>
          <w:sz w:val="22"/>
          <w:szCs w:val="22"/>
        </w:rPr>
        <w:t xml:space="preserve">Integrantes:</w:t>
      </w:r>
    </w:p>
    <w:p>
      <w:pPr>
        <w:jc w:val="center"/>
      </w:pPr>
      <w:r>
        <w:rPr>
          <w:rFonts w:ascii="Calibri" w:cs="Calibri" w:eastAsia="Calibri" w:hAnsi="Calibri"/>
          <w:sz w:val="22"/>
          <w:szCs w:val="22"/>
        </w:rPr>
        <w:t xml:space="preserve">Rodrigo Cárcamo Rojas · Luis Méndez · Nicolás Silva</w:t>
      </w:r>
    </w:p>
    <w:p>
      <w:pPr>
        <w:spacing w:after="900"/>
      </w:pPr>
    </w:p>
    <w:p>
      <w:pPr>
        <w:jc w:val="center"/>
      </w:pPr>
      <w:r>
        <w:rPr>
          <w:rFonts w:ascii="Calibri" w:cs="Calibri" w:eastAsia="Calibri" w:hAnsi="Calibri"/>
          <w:sz w:val="22"/>
          <w:szCs w:val="22"/>
        </w:rPr>
        <w:t xml:space="preserve">Docente: Juan Andrés Hernández Aliaga</w:t>
      </w:r>
    </w:p>
    <w:p>
      <w:pPr>
        <w:spacing w:before="100"/>
        <w:jc w:val="center"/>
      </w:pPr>
      <w:r>
        <w:rPr>
          <w:rFonts w:ascii="Calibri" w:cs="Calibri" w:eastAsia="Calibri" w:hAnsi="Calibri"/>
          <w:sz w:val="22"/>
          <w:szCs w:val="22"/>
        </w:rPr>
        <w:t xml:space="preserve">Agosto de 2026</w:t>
      </w:r>
    </w:p>
    <w:p>
      <w:r>
        <w:br w:type="page"/>
      </w:r>
    </w:p>
    <w:p>
      <w:pPr>
        <w:pStyle w:val="Heading1"/>
        <w:spacing w:after="200" w:before="360"/>
      </w:pPr>
      <w:r>
        <w:t xml:space="preserve">Índice</w:t>
      </w:r>
    </w:p>
    <w:p>
      <w:pPr>
        <w:tabs>
          <w:tab w:val="right" w:pos="9072" w:leader="dot"/>
        </w:tabs>
        <w:spacing w:after="120"/>
      </w:pPr>
      <w:r>
        <w:rPr>
          <w:rFonts w:ascii="Calibri" w:cs="Calibri" w:eastAsia="Calibri" w:hAnsi="Calibri"/>
          <w:sz w:val="22"/>
          <w:szCs w:val="22"/>
        </w:rPr>
        <w:t xml:space="preserve">1. Product Vision Board	3</w:t>
      </w:r>
    </w:p>
    <w:p>
      <w:pPr>
        <w:tabs>
          <w:tab w:val="right" w:pos="9072" w:leader="dot"/>
        </w:tabs>
        <w:spacing w:after="120"/>
      </w:pPr>
      <w:r>
        <w:rPr>
          <w:rFonts w:ascii="Calibri" w:cs="Calibri" w:eastAsia="Calibri" w:hAnsi="Calibri"/>
          <w:sz w:val="22"/>
          <w:szCs w:val="22"/>
        </w:rPr>
        <w:t xml:space="preserve">2. Caso de Negocio	4</w:t>
      </w:r>
    </w:p>
    <w:p>
      <w:pPr>
        <w:tabs>
          <w:tab w:val="right" w:pos="9072" w:leader="dot"/>
        </w:tabs>
        <w:spacing w:after="120"/>
      </w:pPr>
      <w:r>
        <w:rPr>
          <w:rFonts w:ascii="Calibri" w:cs="Calibri" w:eastAsia="Calibri" w:hAnsi="Calibri"/>
          <w:sz w:val="22"/>
          <w:szCs w:val="22"/>
        </w:rPr>
        <w:t xml:space="preserve">3. Análisis FODA	5</w:t>
      </w:r>
    </w:p>
    <w:p>
      <w:pPr>
        <w:tabs>
          <w:tab w:val="right" w:pos="9072" w:leader="dot"/>
        </w:tabs>
        <w:spacing w:after="120"/>
      </w:pPr>
      <w:r>
        <w:rPr>
          <w:rFonts w:ascii="Calibri" w:cs="Calibri" w:eastAsia="Calibri" w:hAnsi="Calibri"/>
          <w:sz w:val="22"/>
          <w:szCs w:val="22"/>
        </w:rPr>
        <w:t xml:space="preserve">4. Análisis FIT &amp; GAP	6</w:t>
      </w:r>
    </w:p>
    <w:p>
      <w:pPr>
        <w:tabs>
          <w:tab w:val="right" w:pos="9072" w:leader="dot"/>
        </w:tabs>
        <w:spacing w:after="120"/>
      </w:pPr>
      <w:r>
        <w:rPr>
          <w:rFonts w:ascii="Calibri" w:cs="Calibri" w:eastAsia="Calibri" w:hAnsi="Calibri"/>
          <w:sz w:val="22"/>
          <w:szCs w:val="22"/>
        </w:rPr>
        <w:t xml:space="preserve">5. Tabla de Interesados (Stakeholders)	6</w:t>
      </w:r>
    </w:p>
    <w:p>
      <w:pPr>
        <w:tabs>
          <w:tab w:val="right" w:pos="9072" w:leader="dot"/>
        </w:tabs>
        <w:spacing w:after="120"/>
      </w:pPr>
      <w:r>
        <w:rPr>
          <w:rFonts w:ascii="Calibri" w:cs="Calibri" w:eastAsia="Calibri" w:hAnsi="Calibri"/>
          <w:sz w:val="22"/>
          <w:szCs w:val="22"/>
        </w:rPr>
        <w:t xml:space="preserve">6. Personas	7</w:t>
      </w:r>
    </w:p>
    <w:p>
      <w:pPr>
        <w:tabs>
          <w:tab w:val="right" w:pos="9072" w:leader="dot"/>
        </w:tabs>
        <w:spacing w:after="120"/>
      </w:pPr>
      <w:r>
        <w:rPr>
          <w:rFonts w:ascii="Calibri" w:cs="Calibri" w:eastAsia="Calibri" w:hAnsi="Calibri"/>
          <w:sz w:val="22"/>
          <w:szCs w:val="22"/>
        </w:rPr>
        <w:t xml:space="preserve">7. Épicas y Features	8</w:t>
      </w:r>
    </w:p>
    <w:p>
      <w:pPr>
        <w:tabs>
          <w:tab w:val="right" w:pos="9072" w:leader="dot"/>
        </w:tabs>
        <w:spacing w:after="120"/>
      </w:pPr>
      <w:r>
        <w:rPr>
          <w:rFonts w:ascii="Calibri" w:cs="Calibri" w:eastAsia="Calibri" w:hAnsi="Calibri"/>
          <w:sz w:val="22"/>
          <w:szCs w:val="22"/>
        </w:rPr>
        <w:t xml:space="preserve">8. Priorización — Método de los 100 Puntos	9</w:t>
      </w:r>
    </w:p>
    <w:p>
      <w:pPr>
        <w:tabs>
          <w:tab w:val="right" w:pos="9072" w:leader="dot"/>
        </w:tabs>
        <w:spacing w:after="120"/>
      </w:pPr>
      <w:r>
        <w:rPr>
          <w:rFonts w:ascii="Calibri" w:cs="Calibri" w:eastAsia="Calibri" w:hAnsi="Calibri"/>
          <w:sz w:val="22"/>
          <w:szCs w:val="22"/>
        </w:rPr>
        <w:t xml:space="preserve">9. Registro de Riesgos	10</w:t>
      </w:r>
    </w:p>
    <w:p>
      <w:pPr>
        <w:tabs>
          <w:tab w:val="right" w:pos="9072" w:leader="dot"/>
        </w:tabs>
        <w:spacing w:after="120"/>
      </w:pPr>
      <w:r>
        <w:rPr>
          <w:rFonts w:ascii="Calibri" w:cs="Calibri" w:eastAsia="Calibri" w:hAnsi="Calibri"/>
          <w:sz w:val="22"/>
          <w:szCs w:val="22"/>
        </w:rPr>
        <w:t xml:space="preserve">10. Plan de Liberación de Entregas	12</w:t>
      </w:r>
    </w:p>
    <w:p>
      <w:r>
        <w:br w:type="page"/>
      </w:r>
    </w:p>
    <w:p>
      <w:pPr>
        <w:pStyle w:val="Heading1"/>
        <w:spacing w:after="200" w:before="360"/>
      </w:pPr>
      <w:r>
        <w:t xml:space="preserve">1. Product Vision Board</w:t>
      </w:r>
    </w:p>
    <w:p>
      <w:pPr>
        <w:spacing w:after="160" w:line="360"/>
        <w:jc w:val="both"/>
      </w:pPr>
      <w:r>
        <w:rPr>
          <w:rFonts w:ascii="Calibri" w:cs="Calibri" w:eastAsia="Calibri" w:hAnsi="Calibri"/>
          <w:b w:val="false"/>
          <w:bCs w:val="false"/>
          <w:i/>
          <w:iCs/>
          <w:sz w:val="22"/>
          <w:szCs w:val="22"/>
        </w:rPr>
        <w:t xml:space="preserve">Declaración de la Visión: Para las personas que buscan mejorar su salud, condición física o alimentación y no saben por dónde empezar, FitSearch es una plataforma web que conecta de forma geolocalizada con profesionales y establecimientos de salud, deporte y bienestar. A diferencia de los directorios tradicionales, FitSearch integra en un mismo lugar un asistente de inteligencia artificial que orienta al usuario y un gestor de alimentación que permite llevar seguimiento de su progreso.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Elemento</w:t>
            </w:r>
          </w:p>
        </w:tc>
        <w:tc>
          <w:tcPr>
            <w:tcW w:type="dxa" w:w="7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Descripción</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Grupo Objetivo</w:t>
            </w:r>
          </w:p>
        </w:tc>
        <w:tc>
          <w:tcPr>
            <w:tcW w:type="dxa" w:w="7100"/>
            <w:tcMar>
              <w:top w:type="dxa" w:w="80"/>
              <w:left w:type="dxa" w:w="100"/>
              <w:bottom w:type="dxa" w:w="80"/>
              <w:right w:type="dxa" w:w="100"/>
            </w:tcMar>
            <w:vAlign w:val="center"/>
          </w:tcPr>
          <w:p>
            <w:r>
              <w:rPr>
                <w:rFonts w:ascii="Calibri" w:cs="Calibri" w:eastAsia="Calibri" w:hAnsi="Calibri"/>
                <w:b w:val="false"/>
                <w:bCs w:val="false"/>
                <w:sz w:val="19"/>
                <w:szCs w:val="19"/>
              </w:rPr>
              <w:t xml:space="preserve">Personas en Chile que buscan profesionales o establecimientos de salud, deporte y bienestar (ej. Rodrigo, buscando gimnasios y nutricionistas); y profesionales del área que desean ser encontrados por más pacientes o clientes (ej. Cristian, preparador físico; Fabián, nutricionista).</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Necesidades</w:t>
            </w:r>
          </w:p>
        </w:tc>
        <w:tc>
          <w:tcPr>
            <w:tcW w:type="dxa" w:w="7100"/>
            <w:tcMar>
              <w:top w:type="dxa" w:w="80"/>
              <w:left w:type="dxa" w:w="100"/>
              <w:bottom w:type="dxa" w:w="80"/>
              <w:right w:type="dxa" w:w="100"/>
            </w:tcMar>
            <w:vAlign w:val="center"/>
          </w:tcPr>
          <w:p>
            <w:r>
              <w:rPr>
                <w:rFonts w:ascii="Calibri" w:cs="Calibri" w:eastAsia="Calibri" w:hAnsi="Calibri"/>
                <w:b w:val="false"/>
                <w:bCs w:val="false"/>
                <w:sz w:val="19"/>
                <w:szCs w:val="19"/>
              </w:rPr>
              <w:t xml:space="preserve">Encontrar rápidamente profesionales confiables y cercanos; recibir orientación general sin saber de antemano qué tipo de profesional necesitan; llevar un seguimiento simple de su alimentación y progreso; y, del lado de los profesionales, ser encontrados por más personas.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Producto</w:t>
            </w:r>
          </w:p>
        </w:tc>
        <w:tc>
          <w:tcPr>
            <w:tcW w:type="dxa" w:w="7100"/>
            <w:tcMar>
              <w:top w:type="dxa" w:w="80"/>
              <w:left w:type="dxa" w:w="100"/>
              <w:bottom w:type="dxa" w:w="80"/>
              <w:right w:type="dxa" w:w="100"/>
            </w:tcMar>
            <w:vAlign w:val="center"/>
          </w:tcPr>
          <w:p>
            <w:r>
              <w:rPr>
                <w:rFonts w:ascii="Calibri" w:cs="Calibri" w:eastAsia="Calibri" w:hAnsi="Calibri"/>
                <w:b w:val="false"/>
                <w:bCs w:val="false"/>
                <w:sz w:val="19"/>
                <w:szCs w:val="19"/>
              </w:rPr>
              <w:t xml:space="preserve">Plataforma web responsiva con directorio y buscador geolocalizado (Google Maps Platform), asistente de IA integrado con la API de Claude, y gestor de alimentación con registro por lenguaje natural. Es una combinación poco vista en el mercado chileno: hoy este tipo de necesidades se resuelve con varias aplicaciones distintas. Es factible de construir con el stack, el tiempo (18 semanas) y el equipo (3 personas) disponibles.</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Metas de Negocio</w:t>
            </w:r>
          </w:p>
        </w:tc>
        <w:tc>
          <w:tcPr>
            <w:tcW w:type="dxa" w:w="7100"/>
            <w:tcMar>
              <w:top w:type="dxa" w:w="80"/>
              <w:left w:type="dxa" w:w="100"/>
              <w:bottom w:type="dxa" w:w="80"/>
              <w:right w:type="dxa" w:w="100"/>
            </w:tcMar>
            <w:vAlign w:val="center"/>
          </w:tcPr>
          <w:p>
            <w:r>
              <w:rPr>
                <w:rFonts w:ascii="Calibri" w:cs="Calibri" w:eastAsia="Calibri" w:hAnsi="Calibri"/>
                <w:b w:val="false"/>
                <w:bCs w:val="false"/>
                <w:sz w:val="19"/>
                <w:szCs w:val="19"/>
              </w:rPr>
              <w:t xml:space="preserve">Validar una propuesta de valor diferenciadora en salud digital; conseguir profesionales piloto reales (Cristian y Fabián) como validación temprana del producto; construir un portafolio técnico competitivo de cara al egreso del equipo.</w:t>
            </w:r>
          </w:p>
        </w:tc>
      </w:tr>
    </w:tbl>
    <w:p>
      <w:r>
        <w:br w:type="page"/>
      </w:r>
    </w:p>
    <w:p>
      <w:pPr>
        <w:pStyle w:val="Heading1"/>
        <w:spacing w:after="200" w:before="360"/>
      </w:pPr>
      <w:r>
        <w:t xml:space="preserve">2. Caso de Negocio</w:t>
      </w:r>
    </w:p>
    <w:p>
      <w:pPr>
        <w:spacing w:after="160" w:line="360"/>
        <w:jc w:val="both"/>
      </w:pPr>
      <w:r>
        <w:rPr>
          <w:rFonts w:ascii="Calibri" w:cs="Calibri" w:eastAsia="Calibri" w:hAnsi="Calibri"/>
          <w:b w:val="false"/>
          <w:bCs w:val="false"/>
          <w:i w:val="false"/>
          <w:iCs w:val="false"/>
          <w:sz w:val="22"/>
          <w:szCs w:val="22"/>
        </w:rPr>
        <w:t xml:space="preserve">Este caso de negocio es simulado: el proyecto tiene un fin académico y no cuenta con patrocinador externo, pero se construye como si FitSearch fuera a operar realmente, usando precios oficiales y vigentes de los proveedores tecnológicos (verificados en agosto de 2026), para dimensionar de forma realista su factibilidad económica.</w:t>
      </w:r>
    </w:p>
    <w:p>
      <w:pPr>
        <w:pStyle w:val="Heading2"/>
        <w:spacing w:after="160" w:before="260"/>
      </w:pPr>
      <w:r>
        <w:t xml:space="preserve">Problema / Oportunidad</w:t>
      </w:r>
    </w:p>
    <w:p>
      <w:pPr>
        <w:spacing w:after="160" w:line="360"/>
        <w:jc w:val="both"/>
      </w:pPr>
      <w:r>
        <w:rPr>
          <w:rFonts w:ascii="Calibri" w:cs="Calibri" w:eastAsia="Calibri" w:hAnsi="Calibri"/>
          <w:b w:val="false"/>
          <w:bCs w:val="false"/>
          <w:i w:val="false"/>
          <w:iCs w:val="false"/>
          <w:sz w:val="22"/>
          <w:szCs w:val="22"/>
        </w:rPr>
        <w:t xml:space="preserve">Las personas que buscan mejorar su salud, condición física o alimentación en Chile deben recurrir hoy a múltiples aplicaciones y directorios dispersos (redes sociales, recomendaciones informales, distintos directorios web) para encontrar profesionales, informarse y hacer seguimiento de su progreso. No existe, o es prácticamente nula, una plataforma local que integre búsqueda geolocalizada, orientación por IA y seguimiento nutricional en un mismo lugar.</w:t>
      </w:r>
    </w:p>
    <w:p>
      <w:pPr>
        <w:pStyle w:val="Heading2"/>
        <w:spacing w:after="160" w:before="260"/>
      </w:pPr>
      <w:r>
        <w:t xml:space="preserve">Solución propuesta</w:t>
      </w:r>
    </w:p>
    <w:p>
      <w:pPr>
        <w:spacing w:after="160" w:line="360"/>
        <w:jc w:val="both"/>
      </w:pPr>
      <w:r>
        <w:rPr>
          <w:rFonts w:ascii="Calibri" w:cs="Calibri" w:eastAsia="Calibri" w:hAnsi="Calibri"/>
          <w:b w:val="false"/>
          <w:bCs w:val="false"/>
          <w:i w:val="false"/>
          <w:iCs w:val="false"/>
          <w:sz w:val="22"/>
          <w:szCs w:val="22"/>
        </w:rPr>
        <w:t xml:space="preserve">FitSearch: plataforma web que conecta usuarios con profesionales y establecimientos de salud, deporte y bienestar mediante búsqueda geolocalizada, un asistente conversacional de IA y un gestor de alimentación por lenguaje natural.</w:t>
      </w:r>
    </w:p>
    <w:p>
      <w:pPr>
        <w:pStyle w:val="Heading2"/>
        <w:spacing w:after="160" w:before="260"/>
      </w:pPr>
      <w:r>
        <w:t xml:space="preserve">Costos estimados (piloto académico)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8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w:t>
            </w:r>
          </w:p>
        </w:tc>
        <w:tc>
          <w:tcPr>
            <w:tcW w:type="dxa" w:w="5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Costo estimado</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Hosting (VPS con Docker)</w:t>
            </w:r>
          </w:p>
        </w:tc>
        <w:tc>
          <w:tcPr>
            <w:tcW w:type="dxa" w:w="5100"/>
            <w:tcMar>
              <w:top w:type="dxa" w:w="80"/>
              <w:left w:type="dxa" w:w="100"/>
              <w:bottom w:type="dxa" w:w="80"/>
              <w:right w:type="dxa" w:w="100"/>
            </w:tcMar>
            <w:vAlign w:val="center"/>
          </w:tcPr>
          <w:p>
            <w:r>
              <w:rPr>
                <w:rFonts w:ascii="Calibri" w:cs="Calibri" w:eastAsia="Calibri" w:hAnsi="Calibri"/>
                <w:b w:val="false"/>
                <w:bCs w:val="false"/>
                <w:sz w:val="19"/>
                <w:szCs w:val="19"/>
              </w:rPr>
              <w:t xml:space="preserve">Orden de magnitud típica de un VPS pequeño en proveedores como DigitalOcean, Vultr o Linode para un piloto académico.</w:t>
            </w:r>
          </w:p>
        </w:tc>
        <w:tc>
          <w:tcPr>
            <w:tcW w:type="dxa" w:w="1800"/>
            <w:tcMar>
              <w:top w:type="dxa" w:w="80"/>
              <w:left w:type="dxa" w:w="100"/>
              <w:bottom w:type="dxa" w:w="80"/>
              <w:right w:type="dxa" w:w="100"/>
            </w:tcMar>
            <w:vAlign w:val="center"/>
          </w:tcPr>
          <w:p>
            <w:r>
              <w:rPr>
                <w:rFonts w:ascii="Calibri" w:cs="Calibri" w:eastAsia="Calibri" w:hAnsi="Calibri"/>
                <w:b w:val="false"/>
                <w:bCs w:val="false"/>
                <w:sz w:val="19"/>
                <w:szCs w:val="19"/>
              </w:rPr>
              <w:t xml:space="preserve">≈ USD 6 – 12 / mes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Google Maps Platform (Geocoding + Maps JavaScript)</w:t>
            </w:r>
          </w:p>
        </w:tc>
        <w:tc>
          <w:tcPr>
            <w:tcW w:type="dxa" w:w="5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10.000 eventos gratis al mes por SKU desde marzo de 2025 (verificado en developers.google.com/maps, agosto 2026). Un piloto con Cristian, Fabián y un grupo reducido de usuarios de prueba se mantendría dentro de esta franja gratuita.</w:t>
            </w:r>
          </w:p>
        </w:tc>
        <w:tc>
          <w:tcPr>
            <w:tcW w:type="dxa" w:w="1800"/>
            <w:tcMar>
              <w:top w:type="dxa" w:w="80"/>
              <w:left w:type="dxa" w:w="100"/>
              <w:bottom w:type="dxa" w:w="80"/>
              <w:right w:type="dxa" w:w="100"/>
            </w:tcMar>
            <w:vAlign w:val="center"/>
          </w:tcPr>
          <w:p>
            <w:r>
              <w:rPr>
                <w:rFonts w:ascii="Calibri" w:cs="Calibri" w:eastAsia="Calibri" w:hAnsi="Calibri"/>
                <w:b w:val="false"/>
                <w:bCs w:val="false"/>
                <w:sz w:val="19"/>
                <w:szCs w:val="19"/>
              </w:rPr>
              <w:t xml:space="preserve">≈ USD 0 (dentro del tier gratuito)</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API de Claude (Sonnet 5)</w:t>
            </w:r>
          </w:p>
        </w:tc>
        <w:tc>
          <w:tcPr>
            <w:tcW w:type="dxa" w:w="5100"/>
            <w:tcMar>
              <w:top w:type="dxa" w:w="80"/>
              <w:left w:type="dxa" w:w="100"/>
              <w:bottom w:type="dxa" w:w="80"/>
              <w:right w:type="dxa" w:w="100"/>
            </w:tcMar>
            <w:vAlign w:val="center"/>
          </w:tcPr>
          <w:p>
            <w:r>
              <w:rPr>
                <w:rFonts w:ascii="Calibri" w:cs="Calibri" w:eastAsia="Calibri" w:hAnsi="Calibri"/>
                <w:b w:val="false"/>
                <w:bCs w:val="false"/>
                <w:sz w:val="19"/>
                <w:szCs w:val="19"/>
              </w:rPr>
              <w:t xml:space="preserve">Precio oficial verificado (platform.claude.com/docs, agosto 2026): USD 2 / MTok de entrada, USD 10 / MTok de salida. Estimado para un piloto de 50 usuarios activos con ~10 conversaciones/mes cada uno (≈1 MTok entrada + 0,25 MTok salida).</w:t>
            </w:r>
          </w:p>
        </w:tc>
        <w:tc>
          <w:tcPr>
            <w:tcW w:type="dxa" w:w="1800"/>
            <w:tcMar>
              <w:top w:type="dxa" w:w="80"/>
              <w:left w:type="dxa" w:w="100"/>
              <w:bottom w:type="dxa" w:w="80"/>
              <w:right w:type="dxa" w:w="100"/>
            </w:tcMar>
            <w:vAlign w:val="center"/>
          </w:tcPr>
          <w:p>
            <w:r>
              <w:rPr>
                <w:rFonts w:ascii="Calibri" w:cs="Calibri" w:eastAsia="Calibri" w:hAnsi="Calibri"/>
                <w:b w:val="false"/>
                <w:bCs w:val="false"/>
                <w:sz w:val="19"/>
                <w:szCs w:val="19"/>
              </w:rPr>
              <w:t xml:space="preserve">≈ USD 4 – 5 / mes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Dominio (.cl o .com)</w:t>
            </w:r>
          </w:p>
        </w:tc>
        <w:tc>
          <w:tcPr>
            <w:tcW w:type="dxa" w:w="5100"/>
            <w:tcMar>
              <w:top w:type="dxa" w:w="80"/>
              <w:left w:type="dxa" w:w="100"/>
              <w:bottom w:type="dxa" w:w="80"/>
              <w:right w:type="dxa" w:w="100"/>
            </w:tcMar>
            <w:vAlign w:val="center"/>
          </w:tcPr>
          <w:p>
            <w:r>
              <w:rPr>
                <w:rFonts w:ascii="Calibri" w:cs="Calibri" w:eastAsia="Calibri" w:hAnsi="Calibri"/>
                <w:b w:val="false"/>
                <w:bCs w:val="false"/>
                <w:sz w:val="19"/>
                <w:szCs w:val="19"/>
              </w:rPr>
              <w:t xml:space="preserve">Registro anual típico de un dominio.</w:t>
            </w:r>
          </w:p>
        </w:tc>
        <w:tc>
          <w:tcPr>
            <w:tcW w:type="dxa" w:w="1800"/>
            <w:tcMar>
              <w:top w:type="dxa" w:w="80"/>
              <w:left w:type="dxa" w:w="100"/>
              <w:bottom w:type="dxa" w:w="80"/>
              <w:right w:type="dxa" w:w="100"/>
            </w:tcMar>
            <w:vAlign w:val="center"/>
          </w:tcPr>
          <w:p>
            <w:r>
              <w:rPr>
                <w:rFonts w:ascii="Calibri" w:cs="Calibri" w:eastAsia="Calibri" w:hAnsi="Calibri"/>
                <w:b w:val="false"/>
                <w:bCs w:val="false"/>
                <w:sz w:val="19"/>
                <w:szCs w:val="19"/>
              </w:rPr>
              <w:t xml:space="preserve">≈ CLP 15.000 / año</w:t>
            </w:r>
          </w:p>
        </w:tc>
      </w:tr>
    </w:tbl>
    <w:p>
      <w:pPr>
        <w:spacing w:after="160" w:line="360"/>
        <w:jc w:val="both"/>
      </w:pPr>
      <w:r>
        <w:rPr>
          <w:rFonts w:ascii="Calibri" w:cs="Calibri" w:eastAsia="Calibri" w:hAnsi="Calibri"/>
          <w:b w:val="false"/>
          <w:bCs w:val="false"/>
          <w:i w:val="false"/>
          <w:iCs w:val="false"/>
          <w:sz w:val="22"/>
          <w:szCs w:val="22"/>
        </w:rPr>
        <w:t xml:space="preserve">Estos valores están calculados para un piloto pequeño (decenas de usuarios, incluyendo a Cristian y Fabián como profesionales reales) y se mantienen, en su mayoría, dentro de los niveles gratuitos de cada proveedor. El costo mensual total estimado del piloto es de aproximadamente USD 10 a 17 (más el dominio anual), lo que confirma que el proyecto es económicamente viable de operar incluso fuera del contexto puramente académico.</w:t>
      </w:r>
    </w:p>
    <w:p>
      <w:pPr>
        <w:pStyle w:val="Heading2"/>
        <w:spacing w:after="160" w:before="260"/>
      </w:pPr>
      <w:r>
        <w:t xml:space="preserve">Beneficios esperados</w:t>
      </w:r>
    </w:p>
    <w:p>
      <w:pPr>
        <w:pStyle w:val="ListParagraph"/>
        <w:numPr>
          <w:ilvl w:val="0"/>
          <w:numId w:val="1"/>
        </w:numPr>
        <w:spacing w:after="100" w:line="360"/>
      </w:pPr>
      <w:r>
        <w:rPr>
          <w:rFonts w:ascii="Calibri" w:cs="Calibri" w:eastAsia="Calibri" w:hAnsi="Calibri"/>
          <w:b/>
          <w:bCs/>
          <w:sz w:val="22"/>
          <w:szCs w:val="22"/>
        </w:rPr>
        <w:t xml:space="preserve">Para los usuarios: </w:t>
      </w:r>
      <w:r>
        <w:rPr>
          <w:rFonts w:ascii="Calibri" w:cs="Calibri" w:eastAsia="Calibri" w:hAnsi="Calibri"/>
          <w:sz w:val="22"/>
          <w:szCs w:val="22"/>
        </w:rPr>
        <w:t xml:space="preserve">ahorro de tiempo al buscar profesionales, mejor orientación y mayor adherencia a hábitos saludables.</w:t>
      </w:r>
    </w:p>
    <w:p>
      <w:pPr>
        <w:pStyle w:val="ListParagraph"/>
        <w:numPr>
          <w:ilvl w:val="0"/>
          <w:numId w:val="1"/>
        </w:numPr>
        <w:spacing w:after="100" w:line="360"/>
      </w:pPr>
      <w:r>
        <w:rPr>
          <w:rFonts w:ascii="Calibri" w:cs="Calibri" w:eastAsia="Calibri" w:hAnsi="Calibri"/>
          <w:b/>
          <w:bCs/>
          <w:sz w:val="22"/>
          <w:szCs w:val="22"/>
        </w:rPr>
        <w:t xml:space="preserve">Para los profesionales (Cristian, Fabián): </w:t>
      </w:r>
      <w:r>
        <w:rPr>
          <w:rFonts w:ascii="Calibri" w:cs="Calibri" w:eastAsia="Calibri" w:hAnsi="Calibri"/>
          <w:sz w:val="22"/>
          <w:szCs w:val="22"/>
        </w:rPr>
        <w:t xml:space="preserve">mayor visibilidad y más oportunidades de captar pacientes o clientes.</w:t>
      </w:r>
    </w:p>
    <w:p>
      <w:pPr>
        <w:pStyle w:val="ListParagraph"/>
        <w:numPr>
          <w:ilvl w:val="0"/>
          <w:numId w:val="1"/>
        </w:numPr>
        <w:spacing w:after="100" w:line="360"/>
      </w:pPr>
      <w:r>
        <w:rPr>
          <w:rFonts w:ascii="Calibri" w:cs="Calibri" w:eastAsia="Calibri" w:hAnsi="Calibri"/>
          <w:b/>
          <w:bCs/>
          <w:sz w:val="22"/>
          <w:szCs w:val="22"/>
        </w:rPr>
        <w:t xml:space="preserve">Para el equipo: </w:t>
      </w:r>
      <w:r>
        <w:rPr>
          <w:rFonts w:ascii="Calibri" w:cs="Calibri" w:eastAsia="Calibri" w:hAnsi="Calibri"/>
          <w:sz w:val="22"/>
          <w:szCs w:val="22"/>
        </w:rPr>
        <w:t xml:space="preserve">un portafolio técnico competitivo, aprendizaje aplicado de un stack moderno (React, Node.js, MySQL, Docker, IA generativa) y una eventual base para un modelo de negocio futuro (comisión por reserva, perfil profesional destacado, suscripción premium), fuera del alcance del MVP académico.</w:t>
      </w:r>
    </w:p>
    <w:p>
      <w:pPr>
        <w:pStyle w:val="Heading2"/>
        <w:spacing w:after="160" w:before="260"/>
      </w:pPr>
      <w:r>
        <w:t xml:space="preserve">Conclusión</w:t>
      </w:r>
    </w:p>
    <w:p>
      <w:pPr>
        <w:spacing w:after="160" w:line="360"/>
        <w:jc w:val="both"/>
      </w:pPr>
      <w:r>
        <w:rPr>
          <w:rFonts w:ascii="Calibri" w:cs="Calibri" w:eastAsia="Calibri" w:hAnsi="Calibri"/>
          <w:b w:val="false"/>
          <w:bCs w:val="false"/>
          <w:i w:val="false"/>
          <w:iCs w:val="false"/>
          <w:sz w:val="22"/>
          <w:szCs w:val="22"/>
        </w:rPr>
        <w:t xml:space="preserve">Dado el bajo costo de operación de un piloto y la validación temprana con dos profesionales reales, el caso de negocio simulado respalda la factibilidad de FitSearch tanto como proyecto académico como, potencialmente, como producto real a futuro.</w:t>
      </w:r>
    </w:p>
    <w:p>
      <w:r>
        <w:br w:type="page"/>
      </w:r>
    </w:p>
    <w:p>
      <w:pPr>
        <w:pStyle w:val="Heading1"/>
        <w:spacing w:after="200" w:before="360"/>
      </w:pPr>
      <w:r>
        <w:t xml:space="preserve">3. Análisis FODA</w:t>
      </w:r>
    </w:p>
    <w:p>
      <w:pPr>
        <w:spacing w:after="160" w:line="360"/>
        <w:jc w:val="both"/>
      </w:pPr>
      <w:r>
        <w:rPr>
          <w:rFonts w:ascii="Calibri" w:cs="Calibri" w:eastAsia="Calibri" w:hAnsi="Calibri"/>
          <w:b w:val="false"/>
          <w:bCs w:val="false"/>
          <w:i w:val="false"/>
          <w:iCs w:val="false"/>
          <w:sz w:val="22"/>
          <w:szCs w:val="22"/>
        </w:rPr>
        <w:t xml:space="preserve">Análisis construido a partir de la evidencia real de las autoevaluaciones de competencias y los diarios de reflexión de cada integrante del equipo (Fase 1), no de una apreciación genérica.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7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r>
      <w:tr>
        <w:tc>
          <w:tcPr>
            <w:tcW w:type="dxa" w:w="2200"/>
            <w:shd w:fill="1F3864"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Fortalezas</w:t>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Desarrollo de software full-stack (React, Ionic, Node.js): los tres integrantes se sienten cómodos (Rodrigo: Alto Dominio; Luis: Excelente Dominio; Nicolás: Alto Dominio, según sus autoevaluaciones).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Modelamiento y consulta de bases de datos (SQL/MySQL): fortaleza compartida por los tres integrantes.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Análisis de Datos / Ciencia de Datos: fortaleza principal de Rodrigo (Inteligencia de Negocios, Power BI); Luis también tiene base en Machine Learning, Data Mining y Deep Learning.</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Roles complementarios dentro del equipo: Rodrigo con foco en datos/IA, Luis en seguridad/backend, Nicolás en frontend/desarrollo web.</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7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r>
      <w:tr>
        <w:tc>
          <w:tcPr>
            <w:tcW w:type="dxa" w:w="2200"/>
            <w:shd w:fill="1F3864"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Debilidades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Seguridad informática: débil en los tres integrantes según sus propias autoevaluaciones; Nicolás la marca como "Dominio Insuficiente", su nivel más bajo de toda la tabla.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Arquitectura de software escalable: débil en Rodrigo y Nicolás.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Gestión de proyectos y de riesgos de forma formal: Nicolás la marca explícitamente débil; Luis indica que "no es mi fuerte".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Testing y aseguramiento de calidad: ninguno de los tres la marca como fortaleza (los tres se ubican en Dominio Aceptable).</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7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r>
      <w:tr>
        <w:tc>
          <w:tcPr>
            <w:tcW w:type="dxa" w:w="2200"/>
            <w:shd w:fill="1F3864"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Oportunidades</w:t>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Sector de salud digital en crecimiento en Chile.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Cristian y Fabián, profesionales reales, dispuestos a validar el producto desde ahora.</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Acceso a IA generativa (API de Claude) como diferenciador técnico, con un costo de operación bajo para un piloto académico (según cálculo del Caso de Negocio).</w:t>
            </w:r>
          </w:p>
        </w:tc>
      </w:tr>
    </w:tbl>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7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r>
      <w:tr>
        <w:tc>
          <w:tcPr>
            <w:tcW w:type="dxa" w:w="2200"/>
            <w:shd w:fill="1F3864"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Amenazas</w:t>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Dependencia de proveedores externos (Google Maps Platform, API de Claude) para funcionalidades centrales.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7300"/>
            <w:tcMar>
              <w:top w:type="dxa" w:w="80"/>
              <w:left w:type="dxa" w:w="100"/>
              <w:bottom w:type="dxa" w:w="80"/>
              <w:right w:type="dxa" w:w="100"/>
            </w:tcMar>
            <w:vAlign w:val="center"/>
          </w:tcPr>
          <w:p>
            <w:r>
              <w:rPr>
                <w:rFonts w:ascii="Calibri" w:cs="Calibri" w:eastAsia="Calibri" w:hAnsi="Calibri"/>
                <w:b w:val="false"/>
                <w:bCs w:val="false"/>
                <w:sz w:val="19"/>
                <w:szCs w:val="19"/>
              </w:rPr>
              <w:t xml:space="preserve">Posible aparición de aplicaciones similares en el mercado chileno.</w:t>
            </w:r>
          </w:p>
        </w:tc>
      </w:tr>
    </w:tbl>
    <w:p>
      <w:r>
        <w:br w:type="page"/>
      </w:r>
    </w:p>
    <w:p>
      <w:pPr>
        <w:pStyle w:val="Heading1"/>
        <w:spacing w:after="200" w:before="360"/>
      </w:pPr>
      <w:r>
        <w:t xml:space="preserve">4. Análisis FIT &amp; GAP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Dimensión</w:t>
            </w:r>
          </w:p>
        </w:tc>
        <w:tc>
          <w:tcPr>
            <w:tcW w:type="dxa" w:w="6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Detalle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FIT (ya lo cubrimos bien)</w:t>
            </w:r>
          </w:p>
        </w:tc>
        <w:tc>
          <w:tcPr>
            <w:tcW w:type="dxa" w:w="6900"/>
            <w:tcMar>
              <w:top w:type="dxa" w:w="80"/>
              <w:left w:type="dxa" w:w="100"/>
              <w:bottom w:type="dxa" w:w="80"/>
              <w:right w:type="dxa" w:w="100"/>
            </w:tcMar>
            <w:vAlign w:val="center"/>
          </w:tcPr>
          <w:p>
            <w:r>
              <w:rPr>
                <w:rFonts w:ascii="Calibri" w:cs="Calibri" w:eastAsia="Calibri" w:hAnsi="Calibri"/>
                <w:b w:val="false"/>
                <w:bCs w:val="false"/>
                <w:sz w:val="19"/>
                <w:szCs w:val="19"/>
              </w:rPr>
              <w:t xml:space="preserve">Desarrollo full-stack, modelado de datos relacional, integración de APIs externas. Rodrigo lo señala explícitamente en su autoevaluación: "he integrado tecnologías en proyectos, también uso de apis y creación de apis, lo que permite construir soluciones completas".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GAP (brecha real a cerrar)</w:t>
            </w:r>
          </w:p>
        </w:tc>
        <w:tc>
          <w:tcPr>
            <w:tcW w:type="dxa" w:w="6900"/>
            <w:tcMar>
              <w:top w:type="dxa" w:w="80"/>
              <w:left w:type="dxa" w:w="100"/>
              <w:bottom w:type="dxa" w:w="80"/>
              <w:right w:type="dxa" w:w="100"/>
            </w:tcMar>
            <w:vAlign w:val="center"/>
          </w:tcPr>
          <w:p>
            <w:r>
              <w:rPr>
                <w:rFonts w:ascii="Calibri" w:cs="Calibri" w:eastAsia="Calibri" w:hAnsi="Calibri"/>
                <w:b w:val="false"/>
                <w:bCs w:val="false"/>
                <w:sz w:val="19"/>
                <w:szCs w:val="19"/>
              </w:rPr>
              <w:t xml:space="preserve">Seguridad informática (crítico, dado que el proyecto maneja datos sensibles de salud, alimentación y ubicación); arquitectura de software escalable; gestión de riesgos formal; testing automatizado.</w:t>
            </w:r>
          </w:p>
        </w:tc>
      </w:tr>
    </w:tbl>
    <w:p>
      <w:pPr>
        <w:spacing w:after="160" w:line="360"/>
        <w:jc w:val="both"/>
      </w:pPr>
      <w:r>
        <w:rPr>
          <w:rFonts w:ascii="Calibri" w:cs="Calibri" w:eastAsia="Calibri" w:hAnsi="Calibri"/>
          <w:b w:val="false"/>
          <w:bCs w:val="false"/>
          <w:i w:val="false"/>
          <w:iCs w:val="false"/>
          <w:sz w:val="22"/>
          <w:szCs w:val="22"/>
        </w:rPr>
        <w:t xml:space="preserve">La brecha de seguridad es la más relevante de abordar durante la Fase 2, ya que FitSearch maneja información sensible (ubicación, alimentación, datos de salud). El equipo ya identificó esto como riesgo formal (R7 del Registro de Riesgos, sección 9).</w:t>
      </w:r>
    </w:p>
    <w:p>
      <w:pPr>
        <w:pStyle w:val="Heading1"/>
        <w:spacing w:after="200" w:before="360"/>
      </w:pPr>
      <w:r>
        <w:t xml:space="preserve">5. Tabla de Interesados (Stakeholders)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900"/>
        <w:gridCol w:w="900"/>
        <w:gridCol w:w="900"/>
        <w:gridCol w:w="2200"/>
        <w:gridCol w:w="1600"/>
      </w:tblGrid>
      <w:tr>
        <w:trPr>
          <w:tblHeader/>
        </w:trPr>
        <w:tc>
          <w:tcPr>
            <w:tcW w:type="dxa" w:w="1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Interesado</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w:t>
            </w:r>
          </w:p>
        </w:tc>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w:t>
            </w:r>
          </w:p>
        </w:tc>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Postura</w:t>
            </w:r>
          </w:p>
        </w:tc>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Influencia</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Expectativa</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Estrategia</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Cristian</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Profesional (Preparador físico)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Externo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Apoya</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Ser conocido por más personas y hacer crecer su cartera de clientes.</w:t>
            </w:r>
          </w:p>
        </w:tc>
        <w:tc>
          <w:tcPr>
            <w:tcW w:type="dxa" w:w="1600"/>
            <w:tcMar>
              <w:top w:type="dxa" w:w="80"/>
              <w:left w:type="dxa" w:w="100"/>
              <w:bottom w:type="dxa" w:w="80"/>
              <w:right w:type="dxa" w:w="100"/>
            </w:tcMar>
            <w:vAlign w:val="center"/>
          </w:tcPr>
          <w:p>
            <w:r>
              <w:rPr>
                <w:rFonts w:ascii="Calibri" w:cs="Calibri" w:eastAsia="Calibri" w:hAnsi="Calibri"/>
                <w:b w:val="false"/>
                <w:bCs w:val="false"/>
                <w:sz w:val="19"/>
                <w:szCs w:val="19"/>
              </w:rPr>
              <w:t xml:space="preserve">Involucrarlo desde el Sprint 1 para validar el flujo de perfil profesional.</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Fabián</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Profesional (Nutricionista)</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Externo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Apoya</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Ser conocido por más personas y hacer crecer su cartera de pacientes.</w:t>
            </w:r>
          </w:p>
        </w:tc>
        <w:tc>
          <w:tcPr>
            <w:tcW w:type="dxa" w:w="1600"/>
            <w:tcMar>
              <w:top w:type="dxa" w:w="80"/>
              <w:left w:type="dxa" w:w="100"/>
              <w:bottom w:type="dxa" w:w="80"/>
              <w:right w:type="dxa" w:w="100"/>
            </w:tcMar>
            <w:vAlign w:val="center"/>
          </w:tcPr>
          <w:p>
            <w:r>
              <w:rPr>
                <w:rFonts w:ascii="Calibri" w:cs="Calibri" w:eastAsia="Calibri" w:hAnsi="Calibri"/>
                <w:b w:val="false"/>
                <w:bCs w:val="false"/>
                <w:sz w:val="19"/>
                <w:szCs w:val="19"/>
              </w:rPr>
              <w:t xml:space="preserve">Involucrarlo desde el Sprint 1 para validar el flujo de perfil profesional.</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Rodrigo Cárcamo</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Product Owner / Usuario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Interno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Apoya</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Que el producto refleje su visión y le sirva como usuario real (busca gimnasios y nutricionistas).</w:t>
            </w:r>
          </w:p>
        </w:tc>
        <w:tc>
          <w:tcPr>
            <w:tcW w:type="dxa" w:w="1600"/>
            <w:tcMar>
              <w:top w:type="dxa" w:w="80"/>
              <w:left w:type="dxa" w:w="100"/>
              <w:bottom w:type="dxa" w:w="80"/>
              <w:right w:type="dxa" w:w="100"/>
            </w:tcMar>
            <w:vAlign w:val="center"/>
          </w:tcPr>
          <w:p>
            <w:r>
              <w:rPr>
                <w:rFonts w:ascii="Calibri" w:cs="Calibri" w:eastAsia="Calibri" w:hAnsi="Calibri"/>
                <w:b w:val="false"/>
                <w:bCs w:val="false"/>
                <w:sz w:val="19"/>
                <w:szCs w:val="19"/>
              </w:rPr>
              <w:t xml:space="preserve">Mantiene y prioriza el Product Backlog en cada Sprint Planning.</w:t>
            </w:r>
          </w:p>
        </w:tc>
      </w:tr>
      <w:tr>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Juan Andrés Hernández Aliaga</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Docente / Evaluador</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Interno</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Apoya</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Que el equipo cumpla los estándares de calidad y metodología definidos por la asignatura.</w:t>
            </w:r>
          </w:p>
        </w:tc>
        <w:tc>
          <w:tcPr>
            <w:tcW w:type="dxa" w:w="1600"/>
            <w:tcMar>
              <w:top w:type="dxa" w:w="80"/>
              <w:left w:type="dxa" w:w="100"/>
              <w:bottom w:type="dxa" w:w="80"/>
              <w:right w:type="dxa" w:w="100"/>
            </w:tcMar>
            <w:vAlign w:val="center"/>
          </w:tcPr>
          <w:p>
            <w:r>
              <w:rPr>
                <w:rFonts w:ascii="Calibri" w:cs="Calibri" w:eastAsia="Calibri" w:hAnsi="Calibri"/>
                <w:b w:val="false"/>
                <w:bCs w:val="false"/>
                <w:sz w:val="19"/>
                <w:szCs w:val="19"/>
              </w:rPr>
              <w:t xml:space="preserve">Entregar avances periódicos y evidencia clara en cada fase.</w:t>
            </w:r>
          </w:p>
        </w:tc>
      </w:tr>
    </w:tbl>
    <w:p>
      <w:r>
        <w:br w:type="page"/>
      </w:r>
    </w:p>
    <w:p>
      <w:pPr>
        <w:pStyle w:val="Heading1"/>
        <w:spacing w:after="200" w:before="360"/>
      </w:pPr>
      <w:r>
        <w:t xml:space="preserve">6. Personas</w:t>
      </w:r>
    </w:p>
    <w:p>
      <w:pPr>
        <w:pStyle w:val="Heading2"/>
        <w:spacing w:after="160" w:before="260"/>
      </w:pPr>
      <w:r>
        <w:t xml:space="preserve">Rodrigo — Usuario</w:t>
      </w:r>
    </w:p>
    <w:p>
      <w:pPr>
        <w:spacing w:after="160" w:line="360"/>
        <w:jc w:val="both"/>
      </w:pPr>
      <w:r>
        <w:rPr>
          <w:rFonts w:ascii="Calibri" w:cs="Calibri" w:eastAsia="Calibri" w:hAnsi="Calibri"/>
          <w:b w:val="false"/>
          <w:bCs w:val="false"/>
          <w:i w:val="false"/>
          <w:iCs w:val="false"/>
          <w:sz w:val="22"/>
          <w:szCs w:val="22"/>
        </w:rPr>
        <w:t xml:space="preserve">Rodrigo está terminando Ingeniería en Informática. Busca constantemente gimnasios y nutricionistas cercanos para mantenerse guiado en su actividad física y alimentación, pero hoy tiene que revisar varias redes sociales y pedir recomendaciones para encontrar opciones confiables. Le gustaría tener un solo lugar donde buscar, comparar y hacer seguimiento de su progreso.</w:t>
      </w:r>
    </w:p>
    <w:p>
      <w:pPr>
        <w:pStyle w:val="Heading2"/>
        <w:spacing w:after="160" w:before="260"/>
      </w:pPr>
      <w:r>
        <w:t xml:space="preserve">Cristian — Profesional (Preparador físico)</w:t>
      </w:r>
    </w:p>
    <w:p>
      <w:pPr>
        <w:spacing w:after="160" w:line="360"/>
        <w:jc w:val="both"/>
      </w:pPr>
      <w:r>
        <w:rPr>
          <w:rFonts w:ascii="Calibri" w:cs="Calibri" w:eastAsia="Calibri" w:hAnsi="Calibri"/>
          <w:b w:val="false"/>
          <w:bCs w:val="false"/>
          <w:i w:val="false"/>
          <w:iCs w:val="false"/>
          <w:sz w:val="22"/>
          <w:szCs w:val="22"/>
        </w:rPr>
        <w:t xml:space="preserve">Cristian es preparador físico y quiere expandir su trabajo. Hoy depende principalmente del boca a boca y de redes sociales para conseguir nuevos clientes. Le interesa aparecer en una plataforma que lo conecte con personas que buscan activamente a alguien como él, cerca de su zona, para poder entrenar a más gente.</w:t>
      </w:r>
    </w:p>
    <w:p>
      <w:pPr>
        <w:pStyle w:val="Heading2"/>
        <w:spacing w:after="160" w:before="260"/>
      </w:pPr>
      <w:r>
        <w:t xml:space="preserve">Fabián — Profesional (Nutricionista)</w:t>
      </w:r>
    </w:p>
    <w:p>
      <w:pPr>
        <w:spacing w:after="160" w:line="360"/>
        <w:jc w:val="both"/>
      </w:pPr>
      <w:r>
        <w:rPr>
          <w:rFonts w:ascii="Calibri" w:cs="Calibri" w:eastAsia="Calibri" w:hAnsi="Calibri"/>
          <w:b w:val="false"/>
          <w:bCs w:val="false"/>
          <w:i w:val="false"/>
          <w:iCs w:val="false"/>
          <w:sz w:val="22"/>
          <w:szCs w:val="22"/>
        </w:rPr>
        <w:t xml:space="preserve">Fabián es nutricionista y busca ser encontrado por más personas interesadas en mejorar su alimentación. Le gustaría que los pacientes potenciales pudieran ver su perfil, especialidad y ubicación antes de contactarlo, y que la plataforma le ayudara a construir una cartera de pacientes de forma más eficiente que los canales que usa hoy.</w:t>
      </w:r>
    </w:p>
    <w:p>
      <w:r>
        <w:br w:type="page"/>
      </w:r>
    </w:p>
    <w:p>
      <w:pPr>
        <w:pStyle w:val="Heading1"/>
        <w:spacing w:after="200" w:before="360"/>
      </w:pPr>
      <w:r>
        <w:t xml:space="preserve">7. Épicas y Features</w:t>
      </w:r>
    </w:p>
    <w:p>
      <w:pPr>
        <w:spacing w:after="160" w:line="360"/>
        <w:jc w:val="both"/>
      </w:pPr>
      <w:r>
        <w:rPr>
          <w:rFonts w:ascii="Calibri" w:cs="Calibri" w:eastAsia="Calibri" w:hAnsi="Calibri"/>
          <w:b w:val="false"/>
          <w:bCs w:val="false"/>
          <w:i w:val="false"/>
          <w:iCs w:val="false"/>
          <w:sz w:val="22"/>
          <w:szCs w:val="22"/>
        </w:rPr>
        <w:t xml:space="preserve">Las Features son el nivel intermedio entre las Épicas (grandes bloques de valor) y las Historias de Usuario (entregas concretas de cada sprint). Cada Feature de FitSearch agrupa una o más historias de usuario ya definidas en el Product Backlog.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200"/>
        <w:gridCol w:w="2500"/>
      </w:tblGrid>
      <w:tr>
        <w:trPr>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Épica</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Nombre de la Épica</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Feature</w:t>
            </w:r>
          </w:p>
        </w:tc>
        <w:tc>
          <w:tcPr>
            <w:tcW w:type="dxa" w:w="2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Historias de usuario incluidas</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E1</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Gestión de usuarios</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Registro y autenticación de usuarios</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FS-HU-01, FS-HU-02</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E2</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Profesionales</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Directorio y perfiles de profesionales</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FS-HU-03, FS-HU-04</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E3</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Búsqueda geolocalizada</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Buscador geolocalizado</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FS-HU-05, FS-HU-06</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E4</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Asistente de inteligencia artificial</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Asistente conversacional de orientación</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FS-HU-07, FS-HU-08</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E5</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Gestor de alimentación</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Registro y seguimiento nutricional</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FS-HU-09, FS-HU-10</w:t>
            </w:r>
          </w:p>
        </w:tc>
      </w:tr>
      <w:tr>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E6</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Infraestructura</w:t>
            </w:r>
          </w:p>
        </w:tc>
        <w:tc>
          <w:tcPr>
            <w:tcW w:type="dxa" w:w="3200"/>
            <w:tcMar>
              <w:top w:type="dxa" w:w="80"/>
              <w:left w:type="dxa" w:w="100"/>
              <w:bottom w:type="dxa" w:w="80"/>
              <w:right w:type="dxa" w:w="100"/>
            </w:tcMar>
            <w:vAlign w:val="center"/>
          </w:tcPr>
          <w:p>
            <w:r>
              <w:rPr>
                <w:rFonts w:ascii="Calibri" w:cs="Calibri" w:eastAsia="Calibri" w:hAnsi="Calibri"/>
                <w:b w:val="false"/>
                <w:bCs w:val="false"/>
                <w:sz w:val="19"/>
                <w:szCs w:val="19"/>
              </w:rPr>
              <w:t xml:space="preserve">Despliegue containerizado</w:t>
            </w:r>
          </w:p>
        </w:tc>
        <w:tc>
          <w:tcPr>
            <w:tcW w:type="dxa" w:w="25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FS-HU-11</w:t>
            </w:r>
          </w:p>
        </w:tc>
      </w:tr>
    </w:tbl>
    <w:p>
      <w:r>
        <w:br w:type="page"/>
      </w:r>
    </w:p>
    <w:p>
      <w:pPr>
        <w:pStyle w:val="Heading1"/>
        <w:spacing w:after="200" w:before="360"/>
      </w:pPr>
      <w:r>
        <w:t xml:space="preserve">8. Priorización — Método de los 100 Puntos</w:t>
      </w:r>
    </w:p>
    <w:p>
      <w:pPr>
        <w:spacing w:after="160" w:line="360"/>
        <w:jc w:val="both"/>
      </w:pPr>
      <w:r>
        <w:rPr>
          <w:rFonts w:ascii="Calibri" w:cs="Calibri" w:eastAsia="Calibri" w:hAnsi="Calibri"/>
          <w:b w:val="false"/>
          <w:bCs w:val="false"/>
          <w:i w:val="false"/>
          <w:iCs w:val="false"/>
          <w:sz w:val="22"/>
          <w:szCs w:val="22"/>
        </w:rPr>
        <w:t xml:space="preserve">Técnica elegida por el equipo por ser la más fácil de aplicar y de entender entre el grupo. Se distribuyen 100 puntos entre las 11 historias del Product Backlog, otorgando más puntos a las que entregan mayor valor al usuario o son prerrequisito de otras. Esta es una propuesta inicial del Product Owner; los puntos pueden ajustarse en una sesión de priorización con todo el equipo.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00"/>
        <w:gridCol w:w="2100"/>
      </w:tblGrid>
      <w:tr>
        <w:trPr>
          <w:tblHeader/>
        </w:trPr>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Historia de Usuario</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Prioridad (Alta/Media)</w:t>
            </w:r>
          </w:p>
        </w:tc>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Puntos asignados (de 100)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FS-HU-01</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Registro y login</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FS-HU-02</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Datos básicos del perfil</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FS-HU-03</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Listado de profesionales</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FS-HU-04</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Perfil de profesional</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FS-HU-05</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Buscar cerca de mí</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FS-HU-06</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Vista de mapa y lista</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8</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FS-HU-07</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Chat de orientación</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FS-HU-08</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Recomendación de profesional</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FS-HU-09</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Registro por lenguaje natural</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8</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FS-HU-10</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Seguimiento de calorías</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7</w:t>
            </w:r>
          </w:p>
        </w:tc>
      </w:tr>
      <w:tr>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FS-HU-11</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Dockerización</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2100"/>
            <w:tcMar>
              <w:top w:type="dxa" w:w="80"/>
              <w:left w:type="dxa" w:w="100"/>
              <w:bottom w:type="dxa" w:w="80"/>
              <w:right w:type="dxa" w:w="100"/>
            </w:tcMar>
            <w:vAlign w:val="center"/>
          </w:tcPr>
          <w:p>
            <w:r>
              <w:rPr>
                <w:rFonts w:ascii="Calibri" w:cs="Calibri" w:eastAsia="Calibri" w:hAnsi="Calibri"/>
                <w:b w:val="false"/>
                <w:bCs w:val="false"/>
                <w:sz w:val="19"/>
                <w:szCs w:val="19"/>
              </w:rPr>
              <w:t xml:space="preserve">10</w:t>
            </w:r>
          </w:p>
        </w:tc>
      </w:tr>
    </w:tbl>
    <w:p>
      <w:pPr>
        <w:spacing w:after="160" w:line="360"/>
        <w:jc w:val="both"/>
      </w:pPr>
      <w:r>
        <w:rPr>
          <w:rFonts w:ascii="Calibri" w:cs="Calibri" w:eastAsia="Calibri" w:hAnsi="Calibri"/>
          <w:b/>
          <w:bCs/>
          <w:sz w:val="22"/>
          <w:szCs w:val="22"/>
        </w:rPr>
        <w:t xml:space="preserve">Total: 100 puntos</w:t>
      </w:r>
    </w:p>
    <w:p>
      <w:r>
        <w:br w:type="page"/>
      </w:r>
    </w:p>
    <w:p>
      <w:pPr>
        <w:pStyle w:val="Heading1"/>
        <w:spacing w:after="200" w:before="360"/>
      </w:pPr>
      <w:r>
        <w:t xml:space="preserve">9. Registro de Riesgos</w:t>
      </w:r>
    </w:p>
    <w:p>
      <w:pPr>
        <w:spacing w:after="160" w:line="360"/>
        <w:jc w:val="both"/>
      </w:pPr>
      <w:r>
        <w:rPr>
          <w:rFonts w:ascii="Calibri" w:cs="Calibri" w:eastAsia="Calibri" w:hAnsi="Calibri"/>
          <w:b w:val="false"/>
          <w:bCs w:val="false"/>
          <w:i w:val="false"/>
          <w:iCs w:val="false"/>
          <w:sz w:val="22"/>
          <w:szCs w:val="22"/>
        </w:rPr>
        <w:t xml:space="preserve">Escala unificada de 5 niveles (número entero) para Probabilidad e Impacto: 1 = Muy Baja, 2 = Baja, 3 = Media, 4 = Alta, 5 = Muy Alta. Valor Esperado (V.E.) = Probabilidad × Impacto (máx. 25). Calificación: Baja (≤6), Media (7-14), Alta (&gt;14).</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400"/>
        <w:gridCol w:w="500"/>
        <w:gridCol w:w="500"/>
        <w:gridCol w:w="500"/>
        <w:gridCol w:w="700"/>
        <w:gridCol w:w="1000"/>
        <w:gridCol w:w="2200"/>
      </w:tblGrid>
      <w:tr>
        <w:trPr>
          <w:tblHeader/>
        </w:trPr>
        <w:tc>
          <w:tcPr>
            <w:tcW w:type="dxa" w:w="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Categoría</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Riesgo</w:t>
            </w:r>
          </w:p>
        </w:tc>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Prob.</w:t>
            </w:r>
          </w:p>
        </w:tc>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Imp.</w:t>
            </w:r>
          </w:p>
        </w:tc>
        <w:tc>
          <w:tcPr>
            <w:tcW w:type="dxa" w:w="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w:t>
            </w:r>
          </w:p>
        </w:tc>
        <w:tc>
          <w:tcPr>
            <w:tcW w:type="dxa" w:w="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Calif.</w:t>
            </w:r>
          </w:p>
        </w:tc>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Respuesta</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Acciones</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R1</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Costo</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Las cuotas gratuitas de Google Maps Platform o de la API de Claude se agotan antes de lo previsto</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12</w:t>
            </w:r>
          </w:p>
        </w:tc>
        <w:tc>
          <w:tcPr>
            <w:tcW w:type="dxa" w:w="700"/>
            <w:shd w:fill="FFEB9C"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Mitigar</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Monitorear el consumo en Google Cloud Console y Anthropic Console semanalmente; definir alertas de gasto (budget alerts).</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R2</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Tiempo</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La curva de aprendizaje en integración de IA (function calling) retrasa el Sprint 4</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12</w:t>
            </w:r>
          </w:p>
        </w:tc>
        <w:tc>
          <w:tcPr>
            <w:tcW w:type="dxa" w:w="700"/>
            <w:shd w:fill="FFEB9C"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Mitigar</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Reservar tiempo de aprendizaje guiado con la documentación oficial de Claude antes de iniciar el sprint; comenzar con un set reducido de funciones controladas.</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R3</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Tiempo</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Choque de horarios del equipo por otras asignaturas</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12</w:t>
            </w:r>
          </w:p>
        </w:tc>
        <w:tc>
          <w:tcPr>
            <w:tcW w:type="dxa" w:w="700"/>
            <w:shd w:fill="FFEB9C"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Aceptar activo</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Fijar un horario semanal fijo de reunión y usar Trello para coordinar trabajo asíncrono.</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R4</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Alcance</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El alcance del MVP resulta demasiado ambicioso para 18 semanas con un equipo de 3 personas</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12</w:t>
            </w:r>
          </w:p>
        </w:tc>
        <w:tc>
          <w:tcPr>
            <w:tcW w:type="dxa" w:w="700"/>
            <w:shd w:fill="FFEB9C"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Mitigar</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Mantener el MVP acotado definido en el Product Vision; revisar el alcance en cada Sprint Review.</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R5</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Calidad</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El asistente de IA interpreta mal alimentos o cantidades en lenguaje natural en español</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9</w:t>
            </w:r>
          </w:p>
        </w:tc>
        <w:tc>
          <w:tcPr>
            <w:tcW w:type="dxa" w:w="700"/>
            <w:shd w:fill="FFEB9C"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Media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Aceptar activo</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Definir un set de pruebas con frases típicas en español chileno; permitir editar el registro antes de guardarlo.</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R6</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Tiempo / Externo</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Cristian o Fabián no logran validar el flujo de perfil profesional a tiempo para las pruebas</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2</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6</w:t>
            </w:r>
          </w:p>
        </w:tc>
        <w:tc>
          <w:tcPr>
            <w:tcW w:type="dxa" w:w="700"/>
            <w:shd w:fill="C6EFCE"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Baja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Mitigar</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Coordinar con ellos, desde el Sprint 1, una fecha tentativa de prueba del perfil profesional.</w:t>
            </w:r>
          </w:p>
        </w:tc>
      </w:tr>
      <w:tr>
        <w:tc>
          <w:tcPr>
            <w:tcW w:type="dxa" w:w="400"/>
            <w:tcMar>
              <w:top w:type="dxa" w:w="80"/>
              <w:left w:type="dxa" w:w="100"/>
              <w:bottom w:type="dxa" w:w="80"/>
              <w:right w:type="dxa" w:w="100"/>
            </w:tcMar>
            <w:vAlign w:val="center"/>
          </w:tcPr>
          <w:p>
            <w:r>
              <w:rPr>
                <w:rFonts w:ascii="Calibri" w:cs="Calibri" w:eastAsia="Calibri" w:hAnsi="Calibri"/>
                <w:b w:val="false"/>
                <w:bCs w:val="false"/>
                <w:sz w:val="19"/>
                <w:szCs w:val="19"/>
              </w:rPr>
              <w:t xml:space="preserve">R7</w:t>
            </w:r>
          </w:p>
        </w:tc>
        <w:tc>
          <w:tcPr>
            <w:tcW w:type="dxa" w:w="900"/>
            <w:tcMar>
              <w:top w:type="dxa" w:w="80"/>
              <w:left w:type="dxa" w:w="100"/>
              <w:bottom w:type="dxa" w:w="80"/>
              <w:right w:type="dxa" w:w="100"/>
            </w:tcMar>
            <w:vAlign w:val="center"/>
          </w:tcPr>
          <w:p>
            <w:r>
              <w:rPr>
                <w:rFonts w:ascii="Calibri" w:cs="Calibri" w:eastAsia="Calibri" w:hAnsi="Calibri"/>
                <w:b w:val="false"/>
                <w:bCs w:val="false"/>
                <w:sz w:val="19"/>
                <w:szCs w:val="19"/>
              </w:rPr>
              <w:t xml:space="preserve">Calidad / Seguridad</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Vulnerabilidades de seguridad no detectadas, dado que el equipo declara esta como su competencia más débil, en un proyecto que maneja datos sensibles de salud y ubicación</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5</w:t>
            </w:r>
          </w:p>
        </w:tc>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15</w:t>
            </w:r>
          </w:p>
        </w:tc>
        <w:tc>
          <w:tcPr>
            <w:tcW w:type="dxa" w:w="700"/>
            <w:shd w:fill="FFC7CE"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Alta</w:t>
            </w:r>
          </w:p>
        </w:tc>
        <w:tc>
          <w:tcPr>
            <w:tcW w:type="dxa" w:w="1000"/>
            <w:tcMar>
              <w:top w:type="dxa" w:w="80"/>
              <w:left w:type="dxa" w:w="100"/>
              <w:bottom w:type="dxa" w:w="80"/>
              <w:right w:type="dxa" w:w="100"/>
            </w:tcMar>
            <w:vAlign w:val="center"/>
          </w:tcPr>
          <w:p>
            <w:r>
              <w:rPr>
                <w:rFonts w:ascii="Calibri" w:cs="Calibri" w:eastAsia="Calibri" w:hAnsi="Calibri"/>
                <w:b w:val="false"/>
                <w:bCs w:val="false"/>
                <w:sz w:val="19"/>
                <w:szCs w:val="19"/>
              </w:rPr>
              <w:t xml:space="preserve">Mitigar</w:t>
            </w:r>
          </w:p>
        </w:tc>
        <w:tc>
          <w:tcPr>
            <w:tcW w:type="dxa" w:w="2200"/>
            <w:tcMar>
              <w:top w:type="dxa" w:w="80"/>
              <w:left w:type="dxa" w:w="100"/>
              <w:bottom w:type="dxa" w:w="80"/>
              <w:right w:type="dxa" w:w="100"/>
            </w:tcMar>
            <w:vAlign w:val="center"/>
          </w:tcPr>
          <w:p>
            <w:r>
              <w:rPr>
                <w:rFonts w:ascii="Calibri" w:cs="Calibri" w:eastAsia="Calibri" w:hAnsi="Calibri"/>
                <w:b w:val="false"/>
                <w:bCs w:val="false"/>
                <w:sz w:val="19"/>
                <w:szCs w:val="19"/>
              </w:rPr>
              <w:t xml:space="preserve">Aplicar prácticas básicas de seguridad desde el diseño (hash de contraseñas, HTTPS, validación de inputs) y dedicar tiempo de aprendizaje dirigido en OWASP Top 10 antes del Sprint 1.</w:t>
            </w:r>
          </w:p>
        </w:tc>
      </w:tr>
    </w:tbl>
    <w:p>
      <w:r>
        <w:br w:type="page"/>
      </w:r>
    </w:p>
    <w:p>
      <w:pPr>
        <w:pStyle w:val="Heading1"/>
        <w:spacing w:after="200" w:before="360"/>
      </w:pPr>
      <w:r>
        <w:t xml:space="preserve">10. Plan de Liberación de Entregas</w:t>
      </w:r>
    </w:p>
    <w:p>
      <w:pPr>
        <w:spacing w:after="160" w:line="360"/>
        <w:jc w:val="both"/>
      </w:pPr>
      <w:r>
        <w:rPr>
          <w:rFonts w:ascii="Calibri" w:cs="Calibri" w:eastAsia="Calibri" w:hAnsi="Calibri"/>
          <w:b w:val="false"/>
          <w:bCs w:val="false"/>
          <w:i w:val="false"/>
          <w:iCs w:val="false"/>
          <w:sz w:val="22"/>
          <w:szCs w:val="22"/>
        </w:rPr>
        <w:t xml:space="preserve">El equipo definió sprints de 2 semanas de duración (Longitud del Sprint), salvo el Sprint 5, que se extiende a 3 semanas para cerrar el gestor de alimentación y el despliegue. La siguiente tabla muestra en qué sprint se libera cada Feature/Épica, consolidando la información ya definida en el Product Backlog.</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400"/>
        <w:gridCol w:w="1350"/>
        <w:gridCol w:w="1350"/>
        <w:gridCol w:w="1350"/>
        <w:gridCol w:w="1350"/>
        <w:gridCol w:w="135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Épica / Feature</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 1</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 2</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 3</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 4</w:t>
            </w:r>
          </w:p>
        </w:tc>
        <w:tc>
          <w:tcPr>
            <w:tcW w:type="dxa" w:w="13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Sprint 5</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Gestión de usuarios</w:t>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FS-HU-01
FS-HU-02</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Profesionales</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FS-HU-03
FS-HU-04</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Búsqueda geolocalizada</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FS-HU-05
FS-HU-06</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Asistente de IA</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FS-HU-07
FS-HU-08</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Gestor de alimentación</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FS-HU-09
FS-HU-10</w:t>
            </w:r>
          </w:p>
        </w:tc>
      </w:tr>
      <w:tr>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Infraestructura</w:t>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tcMar>
              <w:top w:type="dxa" w:w="80"/>
              <w:left w:type="dxa" w:w="100"/>
              <w:bottom w:type="dxa" w:w="80"/>
              <w:right w:type="dxa" w:w="100"/>
            </w:tcMar>
            <w:vAlign w:val="center"/>
          </w:tcPr>
          <w:p>
            <w:r>
              <w:rPr>
                <w:rFonts w:ascii="Calibri" w:cs="Calibri" w:eastAsia="Calibri" w:hAnsi="Calibri"/>
                <w:b w:val="false"/>
                <w:bCs w:val="false"/>
                <w:sz w:val="19"/>
                <w:szCs w:val="19"/>
              </w:rPr>
              <w:t xml:space="preserve"/>
            </w:r>
          </w:p>
        </w:tc>
        <w:tc>
          <w:tcPr>
            <w:tcW w:type="dxa" w:w="1350"/>
            <w:shd w:fill="DDEBF7"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FS-HU-11</w:t>
            </w:r>
          </w:p>
        </w:tc>
      </w:tr>
    </w:tbl>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FitSearch — Artefactos Fase de Inicio Scrum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2937"/>
      <w:sz w:val="30"/>
      <w:szCs w:val="30"/>
    </w:rPr>
  </w:style>
  <w:style w:type="paragraph" w:styleId="Heading2">
    <w:name w:val="Heading 2"/>
    <w:basedOn w:val="Normal"/>
    <w:next w:val="Normal"/>
    <w:qFormat/>
    <w:pPr>
      <w:spacing w:after="160" w:before="260"/>
    </w:pPr>
    <w:rPr>
      <w:rFonts w:ascii="Calibri" w:cs="Calibri" w:eastAsia="Calibri" w:hAnsi="Calibri"/>
      <w:b/>
      <w:bCs/>
      <w:color w:val="37415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FitSearch — Artefactos de la Fase de Inicio Scrum</dc:title>
  <dc:creator>Rodrigo Cárcamo Rojas</dc:creator>
  <cp:lastModifiedBy>Un-named</cp:lastModifiedBy>
  <cp:revision>1</cp:revision>
  <dcterms:created xsi:type="dcterms:W3CDTF">2026-08-31T06:42:12.778Z</dcterms:created>
  <dcterms:modified xsi:type="dcterms:W3CDTF">2026-08-31T06:42:12.779Z</dcterms:modified>
</cp:coreProperties>
</file>

<file path=docProps/custom.xml><?xml version="1.0" encoding="utf-8"?>
<Properties xmlns="http://schemas.openxmlformats.org/officeDocument/2006/custom-properties" xmlns:vt="http://schemas.openxmlformats.org/officeDocument/2006/docPropsVTypes"/>
</file>