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color w:val="000000"/>
          <w:sz w:val="48"/>
          <w:szCs w:val="48"/>
        </w:rPr>
      </w:pPr>
      <w:r>
        <w:rPr>
          <w:b/>
          <w:sz w:val="48"/>
        </w:rPr>
        <w:t xml:space="preserve"> “FitSearch”</w:t>
      </w:r>
    </w:p>
    <w:p w:rsidR="00000000" w:rsidDel="00000000" w:rsidP="00000000" w:rsidRDefault="00000000" w:rsidRPr="00000000" w14:paraId="0000000D">
      <w:pPr>
        <w:spacing w:after="0" w:line="240" w:lineRule="auto"/>
        <w:jc w:val="right"/>
        <w:rPr>
          <w:b w:val="1"/>
          <w:i w:val="1"/>
          <w:color w:val="00b050"/>
          <w:sz w:val="36"/>
          <w:szCs w:val="36"/>
        </w:rPr>
      </w:pPr>
      <w:r>
        <w:rPr>
          <w:rFonts w:ascii="Calibri" w:hAnsi="Calibri"/>
          <w:b/>
          <w:i/>
          <w:sz w:val="36"/>
        </w:rPr>
      </w:r>
    </w:p>
    <w:p w:rsidR="00000000" w:rsidDel="00000000" w:rsidP="00000000" w:rsidRDefault="00000000" w:rsidRPr="00000000" w14:paraId="0000000E">
      <w:pPr>
        <w:spacing w:after="0" w:line="240" w:lineRule="auto"/>
        <w:jc w:val="right"/>
        <w:rPr>
          <w:rFonts w:ascii="Calibri" w:cs="Calibri" w:eastAsia="Calibri" w:hAnsi="Calibri"/>
          <w:b w:val="1"/>
          <w:i w:val="1"/>
          <w:color w:val="365f91"/>
          <w:sz w:val="36"/>
          <w:szCs w:val="36"/>
        </w:rPr>
      </w:pPr>
      <w:r>
        <w:rPr>
          <w:b/>
          <w:i/>
          <w:sz w:val="36"/>
        </w:rPr>
        <w:t>Fecha: 24-08-2026</w:t>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Visión del Proyecto Scrum “FitSearch”</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1fob9te" w:id="2"/>
      <w:bookmarkEnd w:id="2"/>
      <w:r w:rsidDel="00000000" w:rsidR="00000000" w:rsidRPr="00000000">
        <w:rPr>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pos="1276"/>
              </w:tabs>
              <w:rPr>
                <w:color w:val="000000"/>
                <w:sz w:val="24"/>
                <w:szCs w:val="24"/>
              </w:rPr>
            </w:pPr>
            <w:r>
              <w:rPr>
                <w:rFonts w:ascii="Calibri" w:hAnsi="Calibri"/>
                <w:b w:val="0"/>
                <w:i w:val="0"/>
                <w:color w:val="000000"/>
                <w:sz w:val="21"/>
              </w:rPr>
              <w:t>1.0</w:t>
            </w:r>
          </w:p>
        </w:tc>
        <w:tc>
          <w:tcPr/>
          <w:p w:rsidR="00000000" w:rsidDel="00000000" w:rsidP="00000000" w:rsidRDefault="00000000" w:rsidRPr="00000000" w14:paraId="00000036">
            <w:pPr>
              <w:tabs>
                <w:tab w:val="left" w:pos="1276"/>
              </w:tabs>
              <w:rPr>
                <w:color w:val="000000"/>
                <w:sz w:val="24"/>
                <w:szCs w:val="24"/>
              </w:rPr>
            </w:pPr>
            <w:r>
              <w:rPr>
                <w:rFonts w:ascii="Calibri" w:hAnsi="Calibri"/>
                <w:b w:val="0"/>
                <w:i w:val="0"/>
                <w:color w:val="000000"/>
                <w:sz w:val="21"/>
              </w:rPr>
              <w:t>24-08-2026</w:t>
            </w:r>
          </w:p>
        </w:tc>
        <w:tc>
          <w:tcPr/>
          <w:p w:rsidR="00000000" w:rsidDel="00000000" w:rsidP="00000000" w:rsidRDefault="00000000" w:rsidRPr="00000000" w14:paraId="00000037">
            <w:pPr>
              <w:tabs>
                <w:tab w:val="left" w:pos="1276"/>
              </w:tabs>
              <w:rPr>
                <w:color w:val="000000"/>
                <w:sz w:val="24"/>
                <w:szCs w:val="24"/>
              </w:rPr>
            </w:pPr>
            <w:r>
              <w:rPr>
                <w:rFonts w:ascii="Calibri" w:hAnsi="Calibri"/>
                <w:b w:val="0"/>
                <w:i w:val="0"/>
                <w:color w:val="000000"/>
                <w:sz w:val="21"/>
              </w:rPr>
              <w:t>Versión inicial del documento</w:t>
            </w:r>
          </w:p>
        </w:tc>
        <w:tc>
          <w:tcPr/>
          <w:p w:rsidR="00000000" w:rsidDel="00000000" w:rsidP="00000000" w:rsidRDefault="00000000" w:rsidRPr="00000000" w14:paraId="00000038">
            <w:pPr>
              <w:tabs>
                <w:tab w:val="left" w:pos="1276"/>
              </w:tabs>
              <w:rPr>
                <w:color w:val="000000"/>
                <w:sz w:val="24"/>
                <w:szCs w:val="24"/>
              </w:rPr>
            </w:pPr>
            <w:r>
              <w:rPr>
                <w:rFonts w:ascii="Calibri" w:hAnsi="Calibri"/>
                <w:b w:val="0"/>
                <w:i w:val="0"/>
                <w:color w:val="000000"/>
                <w:sz w:val="21"/>
              </w:rPr>
              <w:t>Rodrigo Cárcamo Rojas</w:t>
            </w:r>
          </w:p>
        </w:tc>
      </w:tr>
      <w:tr>
        <w:trPr>
          <w:cantSplit w:val="0"/>
          <w:tblHeader w:val="0"/>
        </w:trPr>
        <w:tc>
          <w:tcPr/>
          <w:p w:rsidR="00000000" w:rsidDel="00000000" w:rsidP="00000000" w:rsidRDefault="00000000" w:rsidRPr="00000000" w14:paraId="00000039">
            <w:pPr>
              <w:tabs>
                <w:tab w:val="left" w:pos="1276"/>
              </w:tabs>
              <w:rPr>
                <w:color w:val="000000"/>
                <w:sz w:val="24"/>
                <w:szCs w:val="24"/>
              </w:rPr>
            </w:pPr>
            <w:r w:rsidDel="00000000" w:rsidR="00000000" w:rsidRPr="00000000">
              <w:rPr>
                <w:rtl w:val="0"/>
              </w:rPr>
              <w:t>1.1</w:t>
            </w:r>
          </w:p>
        </w:tc>
        <w:tc>
          <w:tcPr/>
          <w:p w:rsidR="00000000" w:rsidDel="00000000" w:rsidP="00000000" w:rsidRDefault="00000000" w:rsidRPr="00000000" w14:paraId="0000003A">
            <w:pPr>
              <w:tabs>
                <w:tab w:val="left" w:pos="1276"/>
              </w:tabs>
              <w:rPr>
                <w:color w:val="000000"/>
                <w:sz w:val="24"/>
                <w:szCs w:val="24"/>
              </w:rPr>
            </w:pPr>
            <w:r w:rsidDel="00000000" w:rsidR="00000000" w:rsidRPr="00000000">
              <w:rPr>
                <w:rtl w:val="0"/>
              </w:rPr>
              <w:t>12-10-2026</w:t>
            </w:r>
          </w:p>
        </w:tc>
        <w:tc>
          <w:tcPr/>
          <w:p w:rsidR="00000000" w:rsidDel="00000000" w:rsidP="00000000" w:rsidRDefault="00000000" w:rsidRPr="00000000" w14:paraId="0000003B">
            <w:pPr>
              <w:tabs>
                <w:tab w:val="left" w:pos="1276"/>
              </w:tabs>
              <w:rPr>
                <w:color w:val="000000"/>
                <w:sz w:val="24"/>
                <w:szCs w:val="24"/>
              </w:rPr>
            </w:pPr>
            <w:r w:rsidDel="00000000" w:rsidR="00000000" w:rsidRPr="00000000">
              <w:rPr>
                <w:rtl w:val="0"/>
              </w:rPr>
              <w:t>Se incorporan a la visión la reserva básica de horas con los profesionales (épica E7) y la verificación de perfiles profesionales por un administrador (FS-HU-12), agregadas al alcance durante la Fase 2. Los roles Scrum no cambian.</w:t>
            </w:r>
          </w:p>
        </w:tc>
        <w:tc>
          <w:tcPr/>
          <w:p w:rsidR="00000000" w:rsidDel="00000000" w:rsidP="00000000" w:rsidRDefault="00000000" w:rsidRPr="00000000" w14:paraId="0000003C">
            <w:pPr>
              <w:tabs>
                <w:tab w:val="left" w:pos="1276"/>
              </w:tabs>
              <w:rPr>
                <w:color w:val="000000"/>
                <w:sz w:val="24"/>
                <w:szCs w:val="24"/>
              </w:rPr>
            </w:pPr>
            <w:r w:rsidDel="00000000" w:rsidR="00000000" w:rsidRPr="00000000">
              <w:rPr>
                <w:rtl w:val="0"/>
              </w:rPr>
              <w:t>Rodrigo Cárcamo Rojas</w:t>
            </w:r>
          </w:p>
        </w:tc>
      </w:tr>
      <w:tr>
        <w:trPr>
          <w:cantSplit w:val="0"/>
          <w:tblHeader w:val="0"/>
        </w:trPr>
        <w:tc>
          <w:tcPr/>
          <w:p w:rsidR="00000000" w:rsidDel="00000000" w:rsidP="00000000" w:rsidRDefault="00000000" w:rsidRPr="00000000" w14:paraId="0000003D">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pos="1276"/>
              </w:tabs>
              <w:rPr>
                <w:color w:val="000000"/>
                <w:sz w:val="24"/>
                <w:szCs w:val="24"/>
              </w:rPr>
            </w:pPr>
            <w:r w:rsidDel="00000000" w:rsidR="00000000" w:rsidRPr="00000000">
              <w:rPr>
                <w:rtl w:val="0"/>
              </w:rPr>
            </w:r>
          </w:p>
        </w:tc>
      </w:tr>
    </w:tbl>
    <w:p w:rsidR="00000000" w:rsidDel="00000000" w:rsidP="00000000" w:rsidRDefault="00000000" w:rsidRPr="00000000" w14:paraId="00000041">
      <w:pPr>
        <w:tabs>
          <w:tab w:val="left"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4">
            <w:pPr>
              <w:spacing w:after="0" w:line="240" w:lineRule="auto"/>
              <w:rPr>
                <w:color w:val="000000"/>
              </w:rPr>
            </w:pPr>
            <w:r>
              <w:rPr>
                <w:rFonts w:ascii="Calibri" w:hAnsi="Calibri"/>
                <w:b w:val="0"/>
                <w:i w:val="0"/>
                <w:color w:val="000000"/>
                <w:sz w:val="21"/>
              </w:rPr>
              <w:t>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6">
            <w:pPr>
              <w:spacing w:after="0" w:line="240" w:lineRule="auto"/>
              <w:rPr>
                <w:color w:val="000000"/>
              </w:rPr>
            </w:pPr>
            <w:r>
              <w:rPr>
                <w:rFonts w:ascii="Calibri" w:hAnsi="Calibri"/>
                <w:b w:val="0"/>
                <w:i w:val="0"/>
                <w:color w:val="000000"/>
                <w:sz w:val="21"/>
              </w:rPr>
              <w:t>003D</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color w:val="000000"/>
              </w:rPr>
            </w:pPr>
            <w:r>
              <w:rPr>
                <w:rFonts w:ascii="Calibri" w:hAnsi="Calibri"/>
                <w:b w:val="0"/>
                <w:i w:val="0"/>
                <w:color w:val="000000"/>
                <w:sz w:val="21"/>
              </w:rPr>
              <w:t>FitSearch</w:t>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color w:val="000000"/>
              </w:rPr>
            </w:pPr>
            <w:r>
              <w:rPr>
                <w:rFonts w:ascii="Calibri" w:hAnsi="Calibri"/>
                <w:b w:val="0"/>
                <w:i w:val="0"/>
                <w:color w:val="000000"/>
                <w:sz w:val="21"/>
              </w:rPr>
              <w:t>10-08-2026</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color w:val="000000"/>
              </w:rPr>
            </w:pPr>
            <w:r>
              <w:rPr>
                <w:rFonts w:ascii="Calibri" w:hAnsi="Calibri"/>
                <w:b w:val="0"/>
                <w:i w:val="0"/>
                <w:color w:val="000000"/>
                <w:sz w:val="21"/>
              </w:rPr>
              <w:t>11-12-2026</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color w:val="000000"/>
              </w:rPr>
            </w:pPr>
            <w:r>
              <w:rPr>
                <w:rFonts w:ascii="Calibri" w:hAnsi="Calibri"/>
                <w:b w:val="0"/>
                <w:i w:val="0"/>
                <w:color w:val="000000"/>
                <w:sz w:val="21"/>
              </w:rPr>
              <w:t>No aplica (proyecto de carácter académico, sin patrocinador externo)</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color w:val="000000"/>
              </w:rPr>
            </w:pPr>
            <w:r>
              <w:rPr>
                <w:rFonts w:ascii="Calibri" w:hAnsi="Calibri"/>
                <w:b w:val="0"/>
                <w:i w:val="0"/>
                <w:color w:val="000000"/>
                <w:sz w:val="21"/>
              </w:rPr>
              <w:t>Juan Andrés Hernández Aliaga</w:t>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color w:val="000000"/>
              </w:rPr>
            </w:pPr>
            <w:r>
              <w:rPr>
                <w:rFonts w:ascii="Calibri" w:hAnsi="Calibri"/>
                <w:b w:val="0"/>
                <w:i w:val="0"/>
                <w:color w:val="000000"/>
                <w:sz w:val="21"/>
              </w:rPr>
              <w:t>21.829.506-1</w:t>
            </w:r>
          </w:p>
        </w:tc>
        <w:tc>
          <w:tcPr>
            <w:shd w:fill="auto" w:val="clear"/>
          </w:tcPr>
          <w:p w:rsidR="00000000" w:rsidDel="00000000" w:rsidP="00000000" w:rsidRDefault="00000000" w:rsidRPr="00000000" w14:paraId="00000057">
            <w:pPr>
              <w:spacing w:after="0" w:line="240" w:lineRule="auto"/>
              <w:jc w:val="center"/>
              <w:rPr>
                <w:b w:val="1"/>
                <w:color w:val="000000"/>
              </w:rPr>
            </w:pPr>
            <w:r>
              <w:rPr>
                <w:rFonts w:ascii="Calibri" w:hAnsi="Calibri"/>
                <w:b w:val="0"/>
                <w:i w:val="0"/>
                <w:color w:val="000000"/>
                <w:sz w:val="21"/>
              </w:rPr>
              <w:t>Rodrigo Cárcamo Rojas</w:t>
            </w:r>
          </w:p>
        </w:tc>
        <w:tc>
          <w:tcPr>
            <w:shd w:fill="auto" w:val="clear"/>
          </w:tcPr>
          <w:p w:rsidR="00000000" w:rsidDel="00000000" w:rsidP="00000000" w:rsidRDefault="00000000" w:rsidRPr="00000000" w14:paraId="00000058">
            <w:pPr>
              <w:spacing w:after="0" w:line="240" w:lineRule="auto"/>
              <w:jc w:val="center"/>
              <w:rPr>
                <w:b w:val="1"/>
                <w:color w:val="000000"/>
              </w:rPr>
            </w:pPr>
            <w:r>
              <w:rPr>
                <w:rFonts w:ascii="Calibri" w:hAnsi="Calibri"/>
                <w:b w:val="0"/>
                <w:i w:val="0"/>
                <w:color w:val="000000"/>
                <w:sz w:val="21"/>
              </w:rPr>
              <w:t>rodr.carcamo@duocuc.cl</w:t>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color w:val="000000"/>
              </w:rPr>
            </w:pPr>
            <w:r>
              <w:rPr>
                <w:rFonts w:ascii="Calibri" w:hAnsi="Calibri"/>
                <w:b w:val="0"/>
                <w:i w:val="0"/>
                <w:color w:val="000000"/>
                <w:sz w:val="21"/>
              </w:rPr>
              <w:t>20.426.295-0</w:t>
            </w:r>
          </w:p>
        </w:tc>
        <w:tc>
          <w:tcPr>
            <w:shd w:fill="auto" w:val="clear"/>
          </w:tcPr>
          <w:p w:rsidR="00000000" w:rsidDel="00000000" w:rsidP="00000000" w:rsidRDefault="00000000" w:rsidRPr="00000000" w14:paraId="0000005A">
            <w:pPr>
              <w:spacing w:after="0" w:line="240" w:lineRule="auto"/>
              <w:jc w:val="center"/>
              <w:rPr>
                <w:b w:val="1"/>
                <w:color w:val="000000"/>
              </w:rPr>
            </w:pPr>
            <w:r>
              <w:rPr>
                <w:rFonts w:ascii="Calibri" w:hAnsi="Calibri"/>
                <w:b w:val="0"/>
                <w:i w:val="0"/>
                <w:color w:val="000000"/>
                <w:sz w:val="21"/>
              </w:rPr>
              <w:t>Luis Méndez</w:t>
            </w:r>
          </w:p>
        </w:tc>
        <w:tc>
          <w:tcPr>
            <w:shd w:fill="auto" w:val="clear"/>
          </w:tcPr>
          <w:p w:rsidR="00000000" w:rsidDel="00000000" w:rsidP="00000000" w:rsidRDefault="00000000" w:rsidRPr="00000000" w14:paraId="0000005B">
            <w:pPr>
              <w:spacing w:after="0" w:line="240" w:lineRule="auto"/>
              <w:jc w:val="center"/>
              <w:rPr>
                <w:b w:val="1"/>
                <w:color w:val="000000"/>
              </w:rPr>
            </w:pPr>
            <w:r>
              <w:rPr>
                <w:rFonts w:ascii="Calibri" w:hAnsi="Calibri"/>
                <w:b w:val="0"/>
                <w:i w:val="0"/>
                <w:color w:val="000000"/>
                <w:sz w:val="21"/>
              </w:rPr>
              <w:t>L.mendez@duocuc.cl</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Pr>
                <w:rFonts w:ascii="Calibri" w:hAnsi="Calibri"/>
                <w:b w:val="0"/>
                <w:i w:val="0"/>
                <w:color w:val="000000"/>
                <w:sz w:val="21"/>
              </w:rPr>
              <w:t>21.750.449-K</w:t>
            </w:r>
          </w:p>
        </w:tc>
        <w:tc>
          <w:tcPr>
            <w:shd w:fill="auto" w:val="clear"/>
          </w:tcPr>
          <w:p w:rsidR="00000000" w:rsidDel="00000000" w:rsidP="00000000" w:rsidRDefault="00000000" w:rsidRPr="00000000" w14:paraId="0000005D">
            <w:pPr>
              <w:spacing w:after="0" w:line="240" w:lineRule="auto"/>
              <w:jc w:val="center"/>
              <w:rPr>
                <w:b w:val="1"/>
                <w:color w:val="000000"/>
              </w:rPr>
            </w:pPr>
            <w:r>
              <w:rPr>
                <w:rFonts w:ascii="Calibri" w:hAnsi="Calibri"/>
                <w:b w:val="0"/>
                <w:i w:val="0"/>
                <w:color w:val="000000"/>
                <w:sz w:val="21"/>
              </w:rPr>
              <w:t>Nicolás Silva</w:t>
            </w:r>
          </w:p>
        </w:tc>
        <w:tc>
          <w:tcPr>
            <w:shd w:fill="auto" w:val="clear"/>
          </w:tcPr>
          <w:p w:rsidR="00000000" w:rsidDel="00000000" w:rsidP="00000000" w:rsidRDefault="00000000" w:rsidRPr="00000000" w14:paraId="0000005E">
            <w:pPr>
              <w:spacing w:after="0" w:line="240" w:lineRule="auto"/>
              <w:jc w:val="center"/>
              <w:rPr>
                <w:b w:val="1"/>
                <w:color w:val="000000"/>
              </w:rPr>
            </w:pPr>
            <w:r>
              <w:rPr>
                <w:rFonts w:ascii="Calibri" w:hAnsi="Calibri"/>
                <w:b w:val="0"/>
                <w:i w:val="0"/>
                <w:color w:val="000000"/>
                <w:sz w:val="21"/>
              </w:rPr>
              <w:t>nii.silvar@duocuc.cl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5">
      <w:pPr>
        <w:pStyle w:val="Heading1"/>
        <w:rPr/>
      </w:pPr>
      <w:r w:rsidDel="00000000" w:rsidR="00000000" w:rsidRPr="00000000">
        <w:rPr>
          <w:rtl w:val="0"/>
        </w:rPr>
      </w:r>
    </w:p>
    <w:p w:rsidR="00000000" w:rsidDel="00000000" w:rsidP="00000000" w:rsidRDefault="00000000" w:rsidRPr="00000000" w14:paraId="00000066">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tyjcwt" w:id="5"/>
      <w:bookmarkEnd w:id="5"/>
      <w:r>
        <w:rPr/>
        <w:t xml:space="preserve">Visión del Proyecto Scrum “FitSearch”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4"/>
        <w:tblW w:w="877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B">
            <w:pPr>
              <w:jc w:val="center"/>
              <w:rPr>
                <w:b w:val="1"/>
                <w:sz w:val="24"/>
                <w:szCs w:val="24"/>
              </w:rPr>
            </w:pPr>
            <w:r w:rsidDel="00000000" w:rsidR="00000000" w:rsidRPr="00000000">
              <w:rPr>
                <w:b w:val="1"/>
                <w:sz w:val="24"/>
                <w:szCs w:val="24"/>
              </w:rPr>
              <w:drawing>
                <wp:inline distB="0" distT="0" distL="0" distR="0">
                  <wp:extent cx="563439" cy="536924"/>
                  <wp:effectExtent b="0" l="0" r="0" t="0"/>
                  <wp:docPr id="10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b w:val="1"/>
                <w:sz w:val="24"/>
                <w:szCs w:val="24"/>
              </w:rPr>
            </w:pPr>
            <w:r w:rsidDel="00000000" w:rsidR="00000000" w:rsidRPr="00000000">
              <w:rPr>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Pr>
                <w:rFonts w:ascii="Calibri" w:hAnsi="Calibri"/>
                <w:i w:val="0"/>
                <w:color w:val="000000"/>
                <w:sz w:val="21"/>
              </w:rPr>
              <w:t>Para las personas que buscan mejorar su salud, condición física o alimentación y no saben por dónde empezar, FitSearch es una plataforma web que conecta de forma geolocalizada con profesionales y establecimientos de salud, deporte y bienestar. A diferencia de los directorios tradicionales, FitSearch integra en un mismo lugar un asistente de inteligencia artificial que orienta al usuario y un gestor de alimentación que permite llevar seguimiento de su progreso.</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sz w:val="24"/>
                <w:szCs w:val="24"/>
              </w:rPr>
            </w:pPr>
            <w:r w:rsidDel="00000000" w:rsidR="00000000" w:rsidRPr="00000000">
              <w:rPr>
                <w:b w:val="1"/>
                <w:sz w:val="24"/>
                <w:szCs w:val="24"/>
                <w:rtl w:val="0"/>
              </w:rPr>
              <w:t xml:space="preserve">Grupo Objetivo</w:t>
            </w:r>
          </w:p>
          <w:p w:rsidR="00000000" w:rsidDel="00000000" w:rsidP="00000000" w:rsidRDefault="00000000" w:rsidRPr="00000000" w14:paraId="0000007A">
            <w:pPr>
              <w:jc w:val="center"/>
              <w:rPr>
                <w:b w:val="1"/>
                <w:sz w:val="24"/>
                <w:szCs w:val="24"/>
              </w:rPr>
            </w:pPr>
            <w:r w:rsidDel="00000000" w:rsidR="00000000" w:rsidRPr="00000000">
              <w:rPr>
                <w:rtl w:val="0"/>
              </w:rPr>
            </w:r>
          </w:p>
          <w:p w:rsidR="00000000" w:rsidDel="00000000" w:rsidP="00000000" w:rsidRDefault="00000000" w:rsidRPr="00000000" w14:paraId="0000007B">
            <w:pPr>
              <w:jc w:val="center"/>
              <w:rPr>
                <w:b w:val="1"/>
                <w:sz w:val="24"/>
                <w:szCs w:val="24"/>
              </w:rPr>
            </w:pPr>
            <w:r w:rsidDel="00000000" w:rsidR="00000000" w:rsidRPr="00000000">
              <w:rPr>
                <w:b w:val="1"/>
                <w:sz w:val="24"/>
                <w:szCs w:val="24"/>
              </w:rPr>
              <w:drawing>
                <wp:inline distB="0" distT="0" distL="0" distR="0">
                  <wp:extent cx="541690" cy="518541"/>
                  <wp:effectExtent b="0" l="0" r="0" t="0"/>
                  <wp:docPr id="10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D">
            <w:pPr>
              <w:jc w:val="center"/>
              <w:rPr>
                <w:b w:val="1"/>
                <w:sz w:val="24"/>
                <w:szCs w:val="24"/>
              </w:rPr>
            </w:pPr>
            <w:r w:rsidDel="00000000" w:rsidR="00000000" w:rsidRPr="00000000">
              <w:rPr>
                <w:b w:val="1"/>
                <w:sz w:val="24"/>
                <w:szCs w:val="24"/>
                <w:rtl w:val="0"/>
              </w:rPr>
              <w:t xml:space="preserve">Necesidades</w:t>
            </w:r>
          </w:p>
          <w:p w:rsidR="00000000" w:rsidDel="00000000" w:rsidP="00000000" w:rsidRDefault="00000000" w:rsidRPr="00000000" w14:paraId="0000007E">
            <w:pPr>
              <w:jc w:val="center"/>
              <w:rPr>
                <w:b w:val="1"/>
                <w:sz w:val="24"/>
                <w:szCs w:val="24"/>
              </w:rPr>
            </w:pPr>
            <w:r w:rsidDel="00000000" w:rsidR="00000000" w:rsidRPr="00000000">
              <w:rPr>
                <w:rtl w:val="0"/>
              </w:rPr>
            </w:r>
          </w:p>
          <w:p w:rsidR="00000000" w:rsidDel="00000000" w:rsidP="00000000" w:rsidRDefault="00000000" w:rsidRPr="00000000" w14:paraId="0000007F">
            <w:pPr>
              <w:jc w:val="center"/>
              <w:rPr>
                <w:b w:val="1"/>
                <w:sz w:val="24"/>
                <w:szCs w:val="24"/>
              </w:rPr>
            </w:pPr>
            <w:r w:rsidDel="00000000" w:rsidR="00000000" w:rsidRPr="00000000">
              <w:rPr>
                <w:b w:val="1"/>
                <w:sz w:val="24"/>
                <w:szCs w:val="24"/>
              </w:rPr>
              <w:drawing>
                <wp:inline distB="0" distT="0" distL="0" distR="0">
                  <wp:extent cx="933596" cy="522814"/>
                  <wp:effectExtent b="0" l="0" r="0" t="0"/>
                  <wp:docPr descr="Resultado de imagen para necesidades software" id="1030" name="image6.png"/>
                  <a:graphic>
                    <a:graphicData uri="http://schemas.openxmlformats.org/drawingml/2006/picture">
                      <pic:pic>
                        <pic:nvPicPr>
                          <pic:cNvPr descr="Resultado de imagen para necesidades software" id="0" name="image6.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0">
            <w:pPr>
              <w:jc w:val="center"/>
              <w:rPr>
                <w:b w:val="1"/>
                <w:sz w:val="24"/>
                <w:szCs w:val="24"/>
              </w:rPr>
            </w:pPr>
            <w:r w:rsidDel="00000000" w:rsidR="00000000" w:rsidRPr="00000000">
              <w:rPr>
                <w:b w:val="1"/>
                <w:sz w:val="24"/>
                <w:szCs w:val="24"/>
                <w:rtl w:val="0"/>
              </w:rPr>
              <w:t xml:space="preserve">Producto / Servicio</w:t>
            </w:r>
          </w:p>
          <w:p w:rsidR="00000000" w:rsidDel="00000000" w:rsidP="00000000" w:rsidRDefault="00000000" w:rsidRPr="00000000" w14:paraId="00000081">
            <w:pPr>
              <w:jc w:val="center"/>
              <w:rPr>
                <w:b w:val="1"/>
                <w:sz w:val="24"/>
                <w:szCs w:val="24"/>
              </w:rPr>
            </w:pPr>
            <w:r w:rsidDel="00000000" w:rsidR="00000000" w:rsidRPr="00000000">
              <w:rPr>
                <w:rtl w:val="0"/>
              </w:rPr>
            </w:r>
          </w:p>
          <w:p w:rsidR="00000000" w:rsidDel="00000000" w:rsidP="00000000" w:rsidRDefault="00000000" w:rsidRPr="00000000" w14:paraId="00000082">
            <w:pPr>
              <w:jc w:val="center"/>
              <w:rPr>
                <w:b w:val="1"/>
                <w:sz w:val="24"/>
                <w:szCs w:val="24"/>
              </w:rPr>
            </w:pPr>
            <w:r w:rsidDel="00000000" w:rsidR="00000000" w:rsidRPr="00000000">
              <w:rPr>
                <w:b w:val="1"/>
                <w:sz w:val="24"/>
                <w:szCs w:val="24"/>
              </w:rPr>
              <w:drawing>
                <wp:inline distB="0" distT="0" distL="0" distR="0">
                  <wp:extent cx="729257" cy="546239"/>
                  <wp:effectExtent b="0" l="0" r="0" t="0"/>
                  <wp:docPr descr="Resultado de imagen para software" id="1033" name="image1.jpg"/>
                  <a:graphic>
                    <a:graphicData uri="http://schemas.openxmlformats.org/drawingml/2006/picture">
                      <pic:pic>
                        <pic:nvPicPr>
                          <pic:cNvPr descr="Resultado de imagen para software" id="0" name="image1.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3">
            <w:pPr>
              <w:jc w:val="center"/>
              <w:rPr>
                <w:b w:val="1"/>
                <w:sz w:val="24"/>
                <w:szCs w:val="24"/>
              </w:rPr>
            </w:pPr>
            <w:r w:rsidDel="00000000" w:rsidR="00000000" w:rsidRPr="00000000">
              <w:rPr>
                <w:b w:val="1"/>
                <w:sz w:val="24"/>
                <w:szCs w:val="24"/>
                <w:rtl w:val="0"/>
              </w:rPr>
              <w:t xml:space="preserve">Valor</w:t>
            </w:r>
          </w:p>
          <w:p w:rsidR="00000000" w:rsidDel="00000000" w:rsidP="00000000" w:rsidRDefault="00000000" w:rsidRPr="00000000" w14:paraId="00000084">
            <w:pPr>
              <w:jc w:val="center"/>
              <w:rPr>
                <w:b w:val="1"/>
                <w:sz w:val="24"/>
                <w:szCs w:val="24"/>
              </w:rPr>
            </w:pPr>
            <w:r w:rsidDel="00000000" w:rsidR="00000000" w:rsidRPr="00000000">
              <w:rPr>
                <w:rtl w:val="0"/>
              </w:rPr>
            </w:r>
          </w:p>
          <w:p w:rsidR="00000000" w:rsidDel="00000000" w:rsidP="00000000" w:rsidRDefault="00000000" w:rsidRPr="00000000" w14:paraId="00000085">
            <w:pPr>
              <w:jc w:val="center"/>
              <w:rPr>
                <w:b w:val="1"/>
                <w:sz w:val="24"/>
                <w:szCs w:val="24"/>
              </w:rPr>
            </w:pPr>
            <w:r w:rsidDel="00000000" w:rsidR="00000000" w:rsidRPr="00000000">
              <w:rPr>
                <w:b w:val="1"/>
                <w:sz w:val="24"/>
                <w:szCs w:val="24"/>
              </w:rPr>
              <w:drawing>
                <wp:inline distB="0" distT="0" distL="0" distR="0">
                  <wp:extent cx="902549" cy="453373"/>
                  <wp:effectExtent b="0" l="0" r="0" t="0"/>
                  <wp:docPr id="10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Pr>
                <w:rFonts w:ascii="Calibri" w:hAnsi="Calibri"/>
                <w:i w:val="0"/>
                <w:color w:val="000000"/>
                <w:sz w:val="21"/>
              </w:rPr>
              <w:t>Personas en Chile que buscan profesionales o establecimientos de salud, deporte y bienestar; y profesionales del área (nutricionistas, kinesiólogos, entrenadores, médicos, entre otros) que desean ser encontrados por nuevos usuarios.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Pr>
                <w:rFonts w:ascii="Calibri" w:hAnsi="Calibri"/>
                <w:i w:val="0"/>
                <w:color w:val="000000"/>
                <w:sz w:val="21"/>
              </w:rPr>
              <w:t>Encontrar rápidamente profesionales y establecimientos confiables y cercanos, y agendar una hora con ellos; recibir orientación general sin saber de antemano qué tipo de profesional necesitan; y llevar un seguimiento simple de su alimentación y progreso.</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Pr>
                <w:rFonts w:ascii="Calibri" w:hAnsi="Calibri"/>
                <w:i w:val="0"/>
                <w:color w:val="000000"/>
                <w:sz w:val="21"/>
              </w:rPr>
              <w:t>Plataforma web responsiva con directorio y buscador geolocalizado de profesionales y establecimientos (Google Maps Platform), reserva básica de horas con los profesionales según su disponibilidad, verificación de perfiles profesionales por un administrador, asistente conversacional de IA integrado con la API de Claude (Anthropic), y gestor de alimentación con registro por lenguaje natural.</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Pr>
                <w:rFonts w:ascii="Calibri" w:hAnsi="Calibri"/>
                <w:i w:val="0"/>
                <w:color w:val="000000"/>
                <w:sz w:val="21"/>
              </w:rPr>
              <w:t>Reduce el tiempo y la incertidumbre para encontrar ayuda de salud y bienestar adecuada, entregando orientación, conexión y seguimiento en un solo lugar en vez de múltiples aplicaciones dispersas.</w:t>
            </w:r>
          </w:p>
          <w:p w:rsidR="00000000" w:rsidDel="00000000" w:rsidP="00000000" w:rsidRDefault="00000000" w:rsidRPr="00000000" w14:paraId="00000099">
            <w:pPr>
              <w:rPr/>
            </w:pPr>
            <w:r w:rsidDel="00000000" w:rsidR="00000000" w:rsidRPr="00000000">
              <w:rPr>
                <w:rtl w:val="0"/>
              </w:rPr>
              <w:t xml:space="preserve">.</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heading=h.3dy6vkm" w:id="6"/>
      <w:bookmarkEnd w:id="6"/>
      <w:r w:rsidDel="00000000" w:rsidR="00000000" w:rsidRPr="00000000">
        <w:rPr>
          <w:rtl w:val="0"/>
        </w:rPr>
        <w:t xml:space="preserve">Definición de Roles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5"/>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30"/>
        <w:gridCol w:w="2943"/>
        <w:tblGridChange w:id="0">
          <w:tblGrid>
            <w:gridCol w:w="1555"/>
            <w:gridCol w:w="4330"/>
            <w:gridCol w:w="2943"/>
          </w:tblGrid>
        </w:tblGridChange>
      </w:tblGrid>
      <w:tr>
        <w:trPr>
          <w:cantSplit w:val="0"/>
          <w:tblHeader w:val="0"/>
        </w:trPr>
        <w:tc>
          <w:tcPr>
            <w:shd w:fill="f2f2f2" w:val="clear"/>
          </w:tcPr>
          <w:p w:rsidR="00000000" w:rsidDel="00000000" w:rsidP="00000000" w:rsidRDefault="00000000" w:rsidRPr="00000000" w14:paraId="000000A3">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A4">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A5">
            <w:pPr>
              <w:rPr>
                <w:b w:val="1"/>
                <w:color w:val="000000"/>
                <w:sz w:val="24"/>
                <w:szCs w:val="24"/>
              </w:rPr>
            </w:pPr>
            <w:r w:rsidDel="00000000" w:rsidR="00000000" w:rsidRPr="00000000">
              <w:rPr>
                <w:b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6">
            <w:pPr>
              <w:rPr/>
            </w:pPr>
            <w:r>
              <w:rPr>
                <w:rFonts w:ascii="Calibri" w:hAnsi="Calibri"/>
                <w:b w:val="0"/>
                <w:i w:val="0"/>
                <w:color w:val="000000"/>
                <w:sz w:val="21"/>
              </w:rPr>
              <w:t>Product Owner</w:t>
            </w:r>
          </w:p>
        </w:tc>
        <w:tc>
          <w:tcPr/>
          <w:p w:rsidR="00000000" w:rsidDel="00000000" w:rsidP="00000000" w:rsidRDefault="00000000" w:rsidRPr="00000000" w14:paraId="000000A7">
            <w:pPr>
              <w:rPr/>
            </w:pPr>
            <w:r>
              <w:rPr>
                <w:rFonts w:ascii="Calibri" w:hAnsi="Calibri"/>
                <w:b w:val="0"/>
                <w:i w:val="0"/>
                <w:color w:val="000000"/>
                <w:sz w:val="21"/>
              </w:rPr>
              <w:t>Rodrigo Cárcamo Rojas</w:t>
            </w:r>
          </w:p>
        </w:tc>
        <w:tc>
          <w:tcPr/>
          <w:p w:rsidR="00000000" w:rsidDel="00000000" w:rsidP="00000000" w:rsidRDefault="00000000" w:rsidRPr="00000000" w14:paraId="000000A8">
            <w:pPr>
              <w:rPr/>
            </w:pPr>
            <w:r>
              <w:rPr>
                <w:rFonts w:ascii="Calibri" w:hAnsi="Calibri"/>
                <w:b w:val="0"/>
                <w:i w:val="0"/>
                <w:color w:val="000000"/>
                <w:sz w:val="21"/>
              </w:rPr>
              <w:t>Define y prioriza el Product Backlog, representa la visión del producto ante el equipo y la asignatura, y valida las historias completadas en cada Sprint Review.</w:t>
            </w:r>
          </w:p>
        </w:tc>
      </w:tr>
      <w:tr>
        <w:trPr>
          <w:cantSplit w:val="0"/>
          <w:tblHeader w:val="0"/>
        </w:trPr>
        <w:tc>
          <w:tcPr/>
          <w:p w:rsidR="00000000" w:rsidDel="00000000" w:rsidP="00000000" w:rsidRDefault="00000000" w:rsidRPr="00000000" w14:paraId="000000A9">
            <w:pPr>
              <w:rPr/>
            </w:pPr>
            <w:r>
              <w:rPr>
                <w:rFonts w:ascii="Calibri" w:hAnsi="Calibri"/>
                <w:b w:val="0"/>
                <w:i w:val="0"/>
                <w:color w:val="000000"/>
                <w:sz w:val="21"/>
              </w:rPr>
              <w:t>Scrum Master</w:t>
            </w:r>
          </w:p>
        </w:tc>
        <w:tc>
          <w:tcPr/>
          <w:p w:rsidR="00000000" w:rsidDel="00000000" w:rsidP="00000000" w:rsidRDefault="00000000" w:rsidRPr="00000000" w14:paraId="000000AA">
            <w:pPr>
              <w:rPr/>
            </w:pPr>
            <w:r>
              <w:rPr>
                <w:rFonts w:ascii="Calibri" w:hAnsi="Calibri"/>
                <w:b w:val="0"/>
                <w:i w:val="0"/>
                <w:color w:val="000000"/>
                <w:sz w:val="21"/>
              </w:rPr>
              <w:t>Luis Méndez</w:t>
            </w:r>
          </w:p>
        </w:tc>
        <w:tc>
          <w:tcPr/>
          <w:p w:rsidR="00000000" w:rsidDel="00000000" w:rsidP="00000000" w:rsidRDefault="00000000" w:rsidRPr="00000000" w14:paraId="000000AB">
            <w:pPr>
              <w:rPr/>
            </w:pPr>
            <w:r>
              <w:rPr>
                <w:rFonts w:ascii="Calibri" w:hAnsi="Calibri"/>
                <w:b w:val="0"/>
                <w:i w:val="0"/>
                <w:color w:val="000000"/>
                <w:sz w:val="21"/>
              </w:rPr>
              <w:t>Facilita las reuniones ágiles del equipo (Sprint Planning, daily, Sprint Review y Retrospectiva), remueve impedimentos y vela por el cumplimiento del proceso Scrum.</w:t>
            </w:r>
          </w:p>
        </w:tc>
      </w:tr>
      <w:tr>
        <w:trPr>
          <w:cantSplit w:val="0"/>
          <w:tblHeader w:val="0"/>
        </w:trPr>
        <w:tc>
          <w:tcPr/>
          <w:p w:rsidR="00000000" w:rsidDel="00000000" w:rsidP="00000000" w:rsidRDefault="00000000" w:rsidRPr="00000000" w14:paraId="000000AC">
            <w:pPr>
              <w:rPr/>
            </w:pPr>
            <w:r>
              <w:rPr>
                <w:rFonts w:ascii="Calibri" w:hAnsi="Calibri"/>
                <w:b w:val="0"/>
                <w:i w:val="0"/>
                <w:color w:val="000000"/>
                <w:sz w:val="21"/>
              </w:rPr>
              <w:t>Equipo de Desarrollo</w:t>
            </w:r>
          </w:p>
        </w:tc>
        <w:tc>
          <w:tcPr/>
          <w:p w:rsidR="00000000" w:rsidDel="00000000" w:rsidP="00000000" w:rsidRDefault="00000000" w:rsidRPr="00000000" w14:paraId="000000AD">
            <w:pPr>
              <w:rPr/>
            </w:pPr>
            <w:r>
              <w:rPr>
                <w:rFonts w:ascii="Calibri" w:hAnsi="Calibri"/>
                <w:b w:val="0"/>
                <w:i w:val="0"/>
                <w:color w:val="000000"/>
                <w:sz w:val="21"/>
              </w:rPr>
              <w:t>Rodrigo Cárcamo Rojas, Luis Méndez y Nicolás Silva</w:t>
            </w:r>
          </w:p>
        </w:tc>
        <w:tc>
          <w:tcPr/>
          <w:p w:rsidR="00000000" w:rsidDel="00000000" w:rsidP="00000000" w:rsidRDefault="00000000" w:rsidRPr="00000000" w14:paraId="000000AE">
            <w:pPr>
              <w:rPr/>
            </w:pPr>
            <w:r>
              <w:rPr>
                <w:rFonts w:ascii="Calibri" w:hAnsi="Calibri"/>
                <w:b w:val="0"/>
                <w:i w:val="0"/>
                <w:color w:val="000000"/>
                <w:sz w:val="21"/>
              </w:rPr>
              <w:t>Desarrollan las historias de usuario comprometidas en cada sprint (backend, base de datos, IA y frontend). Los tres integrantes escriben código y pueden apoyar en cualquier módulo del proyecto.</w:t>
            </w:r>
          </w:p>
        </w:tc>
      </w:tr>
      <w:tr>
        <w:trPr>
          <w:cantSplit w:val="0"/>
          <w:tblHeader w:val="0"/>
        </w:trPr>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tabs>
        <w:tab w:val="center" w:pos="4419"/>
        <w:tab w:val="right"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BB">
    <w:pPr>
      <w:pBdr>
        <w:bottom w:color="000000" w:space="1" w:sz="4" w:val="single"/>
      </w:pBdr>
      <w:tabs>
        <w:tab w:val="center" w:pos="4419"/>
        <w:tab w:val="right"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-152561</wp:posOffset>
          </wp:positionV>
          <wp:extent cx="932815" cy="231775"/>
          <wp:effectExtent b="0" l="0" r="0" t="0"/>
          <wp:wrapSquare wrapText="bothSides" distB="0" distT="0" distL="114300" distR="114300"/>
          <wp:docPr id="103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RPQHjtKsk9aqlfOH4M5FWCylBQ==">AMUW2mWr0YNQPSRcJoHPfftvn4UCv92S2VA+iybPNfePEei4PEgPD7hYoyxNKMgA8e5ATgK1bMJ+aEyHgee2LZkN/L4oOd3rK2c9Ma6fMUvJg0txno1p1uHHISeiIsAlRALv5tsHapoL7S6YxXi8EWR7aXRo7V1HNOJ5oq4a3na2XXpoYlueaRiKx8ev9qpcBHYUxj7tM3r+IWWQIzIshOZSSlq3gJVVzA==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