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están fusionados en PR #21/#22 (12-10-2026). SMTP real y Google Maps (Demo Key) se comprobaron el 12-10-2026; el ingreso con Google requiere autorizar el origen localhost en el cliente OAuth.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prueba real OK</w:t>
            </w:r>
          </w:p>
        </w:tc>
        <w:tc>
          <w:tcPr>
            <w:tcW w:w="4100" w:type="dxa"/>
          </w:tcPr>
          <w:p w14:paraId="4379CA66" w14:textId="77777777" w:rsidR="00937026" w:rsidRDefault="00531000">
            <w:r>
              <w:rPr>
                <w:sz w:val="17"/>
              </w:rPr>
              <w:t>Mapa de resultados con marcadores y enlace a ficha. Demo Key comprobada con marcadores y páginas.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aceptación de las historias sigue pendiente del PO.</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prueba real OK</w:t>
            </w:r>
          </w:p>
        </w:tc>
        <w:tc>
          <w:tcPr>
            <w:tcW w:w="3800" w:type="dxa"/>
          </w:tcPr>
          <w:p w14:paraId="5FE6F73E" w14:textId="77777777" w:rsidR="00937026" w:rsidRDefault="00531000">
            <w:r>
              <w:rPr>
                <w:sz w:val="17"/>
              </w:rPr>
              <w:t>Mapa de resultados con marcadores y enlace a ficha. Demo Key comprobada con marcadores y páginas.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suites usan SDK simulado; el mapa real, filtros y páginas se comprobaron el 12-10-2026.</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Demo Key y SMTP comprobados con proveedores reales;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