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Validando Sprint 2</w:t>
      </w:r>
      <w:proofErr w:type="spellEnd"/>
      <w:bookmarkStart w:id="0" w:name="_GoBack"/>
      <w:bookmarkEnd w:id="0"/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“FitSearch”</w:t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Sprint 2 — semanas 7 y 8 (21-09-2026 al 04-10-2026)</w:t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 xml:space="preserve">Fecha: 06-10-2026</w:t>
      </w:r>
      <w:proofErr w:type="spellStart"/>
      <w:proofErr w:type="spellEnd"/>
      <w:proofErr w:type="spellStart"/>
      <w:proofErr w:type="spellEnd"/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06-10-2026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Versión inicial del Sprint 2: registro de avances día a día, validación del Product Owner, gráfico de avance y pila del producto actualizada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Rodrigo Cárcamo Rojas</w:t>
            </w: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900"/>
        <w:gridCol w:w="2650"/>
        <w:gridCol w:w="750"/>
        <w:gridCol w:w="1300"/>
        <w:gridCol w:w="400"/>
        <w:gridCol w:w="400"/>
        <w:gridCol w:w="400"/>
        <w:gridCol w:w="400"/>
        <w:gridCol w:w="400"/>
        <w:gridCol w:w="400"/>
        <w:gridCol w:w="400"/>
        <w:gridCol w:w="600"/>
        <w:gridCol w:w="650"/>
      </w:tblGrid>
      <w:tr w:rsidR="001935BC" w:rsidTr="001935BC">
        <w:tc>
          <w:tcPr>
            <w:tcW w:w="900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2650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750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3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800" w:type="dxa"/>
            <w:gridSpan w:val="7"/>
            <w:shd w:val="clear" w:color="auto" w:fill="B8CCE4" w:themeFill="accent1" w:themeFillTint="66"/>
          </w:tcPr>
          <w:p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6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65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:rsidTr="001935BC">
        <w:tc>
          <w:tcPr>
            <w:tcW w:w="900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650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750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3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w="4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w="60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65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Crear las tablas establecimientos y profesionales (migración Prisma) y datos de prueba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Nicolás Silva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Implementar GET /api/profesionales con filtro por especialidad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Nicolás Silva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Construir la pantalla de listado de profesionales (Frontend)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Nicolás Silva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4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Pruebas automatizadas del listado (Jest y Vitest)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Nicolás Silva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FS-HU-04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Implementar los endpoints para crear y editar el perfil profesional (solo rol profesional)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6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Luis Méndez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FS-HU-04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Construir la pantalla del perfil profesional (Frontend)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6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Luis Méndez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3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FS-HU-04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Pruebas automatizadas del perfil profesional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Luis Méndez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1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Crear la tabla disponibilidades y sus endpoints (validar bloques superpuestos)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Sin asignar (se asigna en la planificación del Sprint 3)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0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Construir la pantalla de gestión de horarios (Frontend)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Sin asignar (se asigna en la planificación del Sprint 3)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0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Pruebas automatizadas de disponibilidad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Sin asignar (se asigna en la planificación del Sprint 3)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0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FS-HU-15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Implementar la recuperación de contraseña: tabla tokens_recuperacion, endpoints y envío con Nodemailer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FS-HU-15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Construir las pantallas "¿Olvidaste tu contraseña?" y "Crea una nueva contraseña"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FS-HU-15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Configurar la cuenta de correo del proyecto (SMTP con contraseña de aplicación)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1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0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FS-HU-16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Crear el ID de cliente OAuth en Google Cloud Console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1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1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FS-HU-16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Implementar POST /api/auth/google y verificar el ID token (google-auth-library)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4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FS-HU-16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Activar el botón "Continuar con Google" en inicio de sesión y registro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FS-HU-17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Registro con confirmación de contraseña y "Recordarme" (backend y frontend)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FS-HU-17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Aplicar la identidad visual a las pantallas de acceso (logo, paleta y diseño responsivo)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FS-HU-18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Columnas de objetivos en perfiles_usuario, PUT /api/perfil/objetivos y paso 2 del asistente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FS-HU-19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Tabla informacion_salud, PUT /api/perfil/salud y paso 3 del asistente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FS-HU-19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Asistente de perfil de 5 pasos y resumen con "Editar" (rediseño de FS-HU-02)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4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FS-HU-19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Casos de prueba manuales y evidencias del Sprint 2 (CP-008 a CP-019)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FS-HU-20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Construir la portada pública (Inicio.jsx) con sus pruebas automatizadas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Nicolás Silva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FS-HU-20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Portada solo para invitados: redirección al perfil con sesión, cierre de sesión hacia la portada y casos de prueba CP-020 a CP-023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Transversal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Revisión de código y PR de las historias del Sprint 2 (DoD)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Luis Méndez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FS-HU-02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Mover la elección del tipo de cuenta del registro al paso 1 del asistente de perfil: columna rol_confirmado, PUT /api/perfil/tipo-cuenta y token nuevo con el rol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4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A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FS-HU-03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Integrar resultados de Google Places en el directorio (propuesta de cambio SC-09)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Nicolás Silva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R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Transversal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Actualizar el DAS y los diagramas UML del modelo 4+1 (10 ilustraciones) con los cambios del Sprint 2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6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6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Transversal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Revisar, reemplazar y exportar los diagramas del modelo 4+1 en el tablero Miro (PR #7)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Luis Méndez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3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5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i/>
                <w:color w:val="545454"/>
                <w:sz w:val="16"/>
              </w:rPr>
              <w:t xml:space="preserve">Transversal</w:t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sz w:val="16"/>
              </w:rPr>
              <w:t xml:space="preserve">Revisión de código del PR #8 (FS-HU-03) y aceptación de las historias del Sprint 2 por el Product Owner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sz w:val="16"/>
              </w:rPr>
              <w:t xml:space="preserve">Rodrigo Cárcamo Rojas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-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sz w:val="16"/>
              </w:rPr>
            </w:r>
            <w:r>
              <w:t xml:space="preserve">1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sz w:val="16"/>
              </w:rPr>
              <w:t xml:space="preserve">2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sz w:val="16"/>
              </w:rPr>
              <w:t xml:space="preserve">-</w:t>
            </w:r>
          </w:p>
        </w:tc>
      </w:tr>
      <w:tr w:rsidR="001935BC" w:rsidTr="001935BC">
        <w:tc>
          <w:tcPr>
            <w:tcW w:w="900" w:type="dxa"/>
          </w:tcPr>
          <w:p w:rsidR="001935BC" w:rsidRDefault="001935BC" w:rsidP="00B711EB">
            <w:r>
              <w:rPr>
                <w:rFonts w:ascii="Calibri" w:hAnsi="Calibri"/>
                <w:b/>
                <w:i/>
                <w:color w:val="545454"/>
                <w:sz w:val="16"/>
              </w:rPr>
              <w:t xml:space="preserve"/>
            </w:r>
          </w:p>
        </w:tc>
        <w:tc>
          <w:tcPr>
            <w:tcW w:w="2650" w:type="dxa"/>
          </w:tcPr>
          <w:p w:rsidR="001935BC" w:rsidRDefault="001935BC" w:rsidP="00B711EB">
            <w:r>
              <w:rPr>
                <w:b/>
                <w:sz w:val="16"/>
              </w:rPr>
              <w:t xml:space="preserve">Total</w:t>
            </w:r>
          </w:p>
        </w:tc>
        <w:tc>
          <w:tcPr>
            <w:tcW w:w="750" w:type="dxa"/>
          </w:tcPr>
          <w:p w:rsidR="001935BC" w:rsidRDefault="001935BC" w:rsidP="00B711EB">
            <w:r>
              <w:rPr>
                <w:b/>
                <w:sz w:val="16"/>
              </w:rPr>
              <w:t xml:space="preserve">110</w:t>
            </w:r>
          </w:p>
        </w:tc>
        <w:tc>
          <w:tcPr>
            <w:tcW w:w="1300" w:type="dxa"/>
          </w:tcPr>
          <w:p w:rsidR="001935BC" w:rsidRDefault="001935BC" w:rsidP="00B711EB">
            <w:r>
              <w:rPr>
                <w:b/>
                <w:sz w:val="16"/>
              </w:rPr>
              <w:t xml:space="preserve"/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10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18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12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20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12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11</w:t>
            </w:r>
          </w:p>
        </w:tc>
        <w:tc>
          <w:tcPr>
            <w:tcW w:w="4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9</w:t>
            </w:r>
          </w:p>
        </w:tc>
        <w:tc>
          <w:tcPr>
            <w:tcW w:w="600" w:type="dxa"/>
          </w:tcPr>
          <w:p w:rsidR="001935BC" w:rsidRDefault="001935BC" w:rsidP="00B711EB">
            <w:r>
              <w:rPr>
                <w:b/>
                <w:sz w:val="16"/>
              </w:rPr>
              <w:t xml:space="preserve">92</w:t>
            </w:r>
          </w:p>
        </w:tc>
        <w:tc>
          <w:tcPr>
            <w:tcW w:w="650" w:type="dxa"/>
          </w:tcPr>
          <w:p w:rsidR="001935BC" w:rsidRDefault="001935BC" w:rsidP="00B711EB">
            <w:r>
              <w:rPr>
                <w:b/>
                <w:sz w:val="16"/>
              </w:rPr>
              <w:t xml:space="preserve"/>
            </w:r>
          </w:p>
        </w:tc>
      </w:tr>
    </w:tbl>
    <w:p>
      <w:r>
        <w:rPr>
          <w:sz w:val="18"/>
        </w:rPr>
        <w:t xml:space="preserve">Sprint 2: del 21-09-2026 (día 1) al 04-10-2026 (día 14). Las horas se registraron al cierre del sprint según el trabajo entregado por cada integrante en GitHub (commits y pull requests): días 1 a 5 (21 al 25-09-2026) y días 12 y 13 (02 y 03-10-2026); en los demás días no hubo avances registrados. Se estimaron 110 horas y se realizaron 92: Rodrigo Cárcamo Rojas 51, Nicolás Silva 23 y Luis Méndez 18. Las 18 horas restantes pasan al Sprint 3: FS-HU-04 (implementada por Luis Méndez en el PR #11, en corrección antes de fusionar), FS-HU-13 (no iniciada) y la configuración del correo SMTP de FS-HU-15. La columna Estado (A/R) la completa el Product Owner por historia; las tareas transversales y las que no se terminaron se marcan con un guion.</w:t>
      </w:r>
    </w:p>
    <w:p>
      <w:r>
        <w:rPr>
          <w:sz w:val="18"/>
        </w:rPr>
        <w:t xml:space="preserve">Validación del Product Owner (03-10-2026): se revisaron los criterios de aceptación de FS-HU-02 (criterio nuevo: tipo de cuenta en el primer paso del asistente), FS-HU-03, FS-HU-15, FS-HU-16, FS-HU-17, FS-HU-18, FS-HU-19 y FS-HU-20 contra los casos de prueba CP-008 a CP-035 y sus evidencias. La revisión de código la aprobó Luis Méndez en el PR #9 y, para FS-HU-03, Rodrigo Cárcamo Rojas en el PR #8. Las ocho historias quedan aceptadas (A). Observaciones del Product Owner: (1) excepción a DoD-03 en FS-HU-02 y FS-HU-15 a FS-HU-20, porque el código llegó a la rama principal sin pull request y se revisó después en el PR #9; (2) FS-HU-15: falta configurar la cuenta de correo SMTP para el envío real; mientras tanto el enlace de recuperación se muestra en la consola del backend; (3) FS-HU-16: faltan los casos manuales CP-024 y CP-025, que requieren iniciar sesión con una cuenta de Google del equipo; (4) se rechazó (R) la propuesta SC-09 de mostrar resultados de Google Places en el directorio, que se retiró del PR #8 antes de fusionar. FS-HU-04 y FS-HU-13 no se presentaron a validación y pasan al Sprint 3.</w:t>
      </w:r>
    </w:p>
    <w:p w:rsidR="00B711EB" w:rsidRPr="00B711EB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6" w:name="_Toc34001646"/>
      <w:r>
        <w:rPr>
          <w:rFonts w:eastAsia="Times New Roman"/>
        </w:rPr>
        <w:t xml:space="preserve">Gráfico de avance del sprint 2.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:rsidTr="00B711EB">
        <w:tc>
          <w:tcPr>
            <w:tcW w:w="8828" w:type="dxa"/>
          </w:tcPr>
          <w:p w:rsidR="00B711EB" w:rsidRDefault="00B711EB" w:rsidP="00B711EB">
            <w:r>
              <w:drawing>
                <wp:inline xmlns:a="http://schemas.openxmlformats.org/drawingml/2006/main" xmlns:pic="http://schemas.openxmlformats.org/drawingml/2006/picture">
                  <wp:extent cx="5400000" cy="28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rndown_sprint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11EB" w:rsidRPr="002A3D88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5007"/>
        <w:gridCol w:w="1442"/>
        <w:gridCol w:w="1630"/>
      </w:tblGrid>
      <w:tr w:rsidR="00B711EB" w:rsidTr="00B711EB">
        <w:tc>
          <w:tcPr>
            <w:tcW w:w="749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:rsidR="00B711EB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FS-HU-04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Perfil de profesional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FS-HU-13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Disponibilidad del profesional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FS-HU-05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Buscar cerca de mí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FS-HU-21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Inicio personalizado y navegación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FS-HU-22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Búsqueda avanzada de profesionales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FS-HU-23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Profesionales favoritos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3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FS-HU-24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Calificar y reseñar profesionales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FS-HU-06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Vista de mapa y lista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FS-HU-14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Reservar hora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FS-HU-07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Chat de orientación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FS-HU-08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Recomendación de profesional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FS-HU-09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Registro por lenguaje natural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8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FS-HU-10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Seguimiento de calorías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5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FS-HU-11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Dockerización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3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rPr>
                <w:rFonts w:ascii="Calibri" w:hAnsi="Calibri"/>
                <w:i/>
                <w:color w:val="545454"/>
                <w:sz w:val="18"/>
              </w:rPr>
              <w:t xml:space="preserve">FS-HU-12</w:t>
            </w:r>
          </w:p>
        </w:tc>
        <w:tc>
          <w:tcPr>
            <w:tcW w:w="5007" w:type="dxa"/>
          </w:tcPr>
          <w:p w:rsidR="00B711EB" w:rsidRDefault="00B711EB" w:rsidP="00EF2FF3">
            <w:r>
              <w:rPr>
                <w:sz w:val="18"/>
              </w:rPr>
              <w:t xml:space="preserve">Verificar perfiles profesionales</w:t>
            </w:r>
          </w:p>
        </w:tc>
        <w:tc>
          <w:tcPr>
            <w:tcW w:w="1442" w:type="dxa"/>
          </w:tcPr>
          <w:p w:rsidR="00B711EB" w:rsidRDefault="00B711EB" w:rsidP="00EF2FF3">
            <w:r>
              <w:rPr>
                <w:sz w:val="18"/>
              </w:rPr>
              <w:t xml:space="preserve">3</w:t>
            </w:r>
          </w:p>
        </w:tc>
        <w:tc>
          <w:tcPr>
            <w:tcW w:w="1630" w:type="dxa"/>
          </w:tcPr>
          <w:p w:rsidR="00B711EB" w:rsidRDefault="00B711EB" w:rsidP="00EF2FF3">
            <w:r>
              <w:rPr>
                <w:sz w:val="18"/>
              </w:rPr>
              <w:t xml:space="preserve">Baja</w:t>
            </w:r>
          </w:p>
        </w:tc>
      </w:tr>
    </w:tbl>
    <w:p>
      <w:r>
        <w:rPr>
          <w:sz w:val="18"/>
        </w:rPr>
        <w:t xml:space="preserve">Salen de la pila FS-HU-02 (criterio nuevo del tipo de cuenta), FS-HU-03 y FS-HU-15 a FS-HU-20, aceptadas por el Product Owner el 03-10-2026 (28 puntos; 36 puntos aceptados en total con el Sprint 1). Quedan 81 puntos pendientes: FS-HU-04 y FS-HU-13 pasan al Sprint 3; FS-HU-05 y FS-HU-21 a FS-HU-24 ya están implementadas y esperan la aceptación del Product Owner en el Sprint 3, y el resto se ordena según los sprints comprometidos.</w:t>
      </w:r>
    </w:p>
    <w:p w:rsidR="00B711EB" w:rsidRDefault="00B711EB" w:rsidP="00B711EB"/>
    <w:p w:rsidR="00B711EB" w:rsidRDefault="00B711EB" w:rsidP="002A3D88"/>
    <w:sectPr w:rsidR="00B711EB" w:rsidSect="00AC4A6B">
      <w:headerReference w:type="default" r:id="rId10"/>
      <w:footerReference w:type="default" r:id="rId11"/>
      <w:headerReference w:type="first" r:id="rId15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15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</cp:coreProperties>
</file>