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309" w:rsidRPr="0063360C" w:rsidRDefault="002118B7" w:rsidP="002118B7">
      <w:pPr>
        <w:pStyle w:val="ListParagraph"/>
        <w:numPr>
          <w:ilvl w:val="1"/>
          <w:numId w:val="1"/>
        </w:numPr>
        <w:rPr>
          <w:rFonts w:ascii="Arial" w:eastAsiaTheme="majorEastAsia" w:hAnsi="Arial" w:cs="Arial"/>
          <w:b/>
          <w:bCs/>
          <w:color w:val="5B9BD5" w:themeColor="accent1"/>
          <w:sz w:val="26"/>
          <w:szCs w:val="26"/>
        </w:rPr>
      </w:pPr>
      <w:r w:rsidRPr="0063360C">
        <w:rPr>
          <w:rFonts w:ascii="Arial" w:eastAsiaTheme="majorEastAsia" w:hAnsi="Arial" w:cs="Arial"/>
          <w:b/>
          <w:bCs/>
          <w:color w:val="5B9BD5" w:themeColor="accent1"/>
          <w:sz w:val="26"/>
          <w:szCs w:val="26"/>
        </w:rPr>
        <w:t>NRS 603A</w:t>
      </w:r>
    </w:p>
    <w:tbl>
      <w:tblPr>
        <w:tblStyle w:val="TableGrid3"/>
        <w:tblW w:w="13405" w:type="dxa"/>
        <w:tblInd w:w="226" w:type="dxa"/>
        <w:tblLayout w:type="fixed"/>
        <w:tblLook w:val="04A0" w:firstRow="1" w:lastRow="0" w:firstColumn="1" w:lastColumn="0" w:noHBand="0" w:noVBand="1"/>
      </w:tblPr>
      <w:tblGrid>
        <w:gridCol w:w="3846"/>
        <w:gridCol w:w="4257"/>
        <w:gridCol w:w="2820"/>
        <w:gridCol w:w="6"/>
        <w:gridCol w:w="2476"/>
      </w:tblGrid>
      <w:tr w:rsidR="000B1E05" w:rsidRPr="0063360C" w:rsidTr="00E56D01">
        <w:tc>
          <w:tcPr>
            <w:tcW w:w="3846" w:type="dxa"/>
            <w:shd w:val="clear" w:color="auto" w:fill="BDD6EE" w:themeFill="accent1" w:themeFillTint="66"/>
          </w:tcPr>
          <w:p w:rsidR="000B1E05" w:rsidRPr="0063360C" w:rsidRDefault="002118B7" w:rsidP="008E05F8">
            <w:pPr>
              <w:spacing w:before="40" w:after="40"/>
              <w:rPr>
                <w:rFonts w:cs="Arial"/>
                <w:b/>
                <w:sz w:val="18"/>
                <w:szCs w:val="18"/>
              </w:rPr>
            </w:pPr>
            <w:r w:rsidRPr="0063360C">
              <w:rPr>
                <w:rFonts w:cs="Arial"/>
                <w:b/>
                <w:sz w:val="18"/>
                <w:szCs w:val="18"/>
              </w:rPr>
              <w:t xml:space="preserve">NRS 603A </w:t>
            </w:r>
            <w:r w:rsidR="000B1E05" w:rsidRPr="0063360C">
              <w:rPr>
                <w:rFonts w:cs="Arial"/>
                <w:b/>
                <w:sz w:val="18"/>
                <w:szCs w:val="18"/>
              </w:rPr>
              <w:t>Requirement</w:t>
            </w:r>
          </w:p>
        </w:tc>
        <w:tc>
          <w:tcPr>
            <w:tcW w:w="4257" w:type="dxa"/>
            <w:shd w:val="clear" w:color="auto" w:fill="BDD6EE" w:themeFill="accent1" w:themeFillTint="66"/>
          </w:tcPr>
          <w:p w:rsidR="000B1E05" w:rsidRPr="0063360C" w:rsidRDefault="000B1E05" w:rsidP="008E05F8">
            <w:pPr>
              <w:spacing w:before="40" w:after="40"/>
              <w:rPr>
                <w:rFonts w:cs="Arial"/>
                <w:b/>
                <w:sz w:val="18"/>
                <w:szCs w:val="18"/>
              </w:rPr>
            </w:pPr>
            <w:r w:rsidRPr="0063360C">
              <w:rPr>
                <w:rFonts w:cs="Arial"/>
                <w:b/>
                <w:sz w:val="18"/>
                <w:szCs w:val="18"/>
              </w:rPr>
              <w:t>Reporting Instruction</w:t>
            </w:r>
          </w:p>
        </w:tc>
        <w:tc>
          <w:tcPr>
            <w:tcW w:w="2826" w:type="dxa"/>
            <w:gridSpan w:val="2"/>
            <w:shd w:val="clear" w:color="auto" w:fill="BDD6EE" w:themeFill="accent1" w:themeFillTint="66"/>
          </w:tcPr>
          <w:p w:rsidR="000B1E05" w:rsidRPr="0063360C" w:rsidRDefault="000B1E05" w:rsidP="008E05F8">
            <w:pPr>
              <w:spacing w:before="40" w:after="40"/>
              <w:rPr>
                <w:rFonts w:cs="Arial"/>
                <w:b/>
                <w:sz w:val="18"/>
                <w:szCs w:val="18"/>
              </w:rPr>
            </w:pPr>
            <w:r w:rsidRPr="0063360C">
              <w:rPr>
                <w:rFonts w:cs="Arial"/>
                <w:b/>
                <w:sz w:val="18"/>
                <w:szCs w:val="18"/>
              </w:rPr>
              <w:t>Assessor’s Response</w:t>
            </w:r>
          </w:p>
        </w:tc>
        <w:tc>
          <w:tcPr>
            <w:tcW w:w="2476" w:type="dxa"/>
            <w:shd w:val="clear" w:color="auto" w:fill="BDD6EE" w:themeFill="accent1" w:themeFillTint="66"/>
          </w:tcPr>
          <w:p w:rsidR="000B1E05" w:rsidRPr="0063360C" w:rsidRDefault="000B1E05" w:rsidP="008E05F8">
            <w:pPr>
              <w:spacing w:before="40" w:after="40"/>
              <w:rPr>
                <w:rFonts w:cs="Arial"/>
                <w:b/>
                <w:sz w:val="18"/>
                <w:szCs w:val="18"/>
              </w:rPr>
            </w:pPr>
            <w:r w:rsidRPr="0063360C">
              <w:rPr>
                <w:rFonts w:cs="Arial"/>
                <w:b/>
                <w:sz w:val="18"/>
                <w:szCs w:val="18"/>
              </w:rPr>
              <w:t>Control Effectiveness</w:t>
            </w:r>
          </w:p>
        </w:tc>
      </w:tr>
      <w:tr w:rsidR="000B1E05" w:rsidRPr="0063360C" w:rsidTr="000B1E05">
        <w:tc>
          <w:tcPr>
            <w:tcW w:w="13405" w:type="dxa"/>
            <w:gridSpan w:val="5"/>
            <w:shd w:val="clear" w:color="auto" w:fill="DEEAF6" w:themeFill="accent1" w:themeFillTint="33"/>
          </w:tcPr>
          <w:p w:rsidR="000B1E05" w:rsidRPr="0063360C" w:rsidRDefault="002118B7" w:rsidP="008E05F8">
            <w:pPr>
              <w:spacing w:before="40" w:after="40"/>
              <w:jc w:val="center"/>
              <w:rPr>
                <w:rFonts w:cs="Arial"/>
                <w:b/>
                <w:sz w:val="18"/>
                <w:szCs w:val="18"/>
              </w:rPr>
            </w:pPr>
            <w:r w:rsidRPr="0063360C">
              <w:rPr>
                <w:rFonts w:cs="Arial"/>
                <w:b/>
                <w:sz w:val="18"/>
                <w:szCs w:val="18"/>
              </w:rPr>
              <w:t>NRS 603A.200 Destruction of certain records.</w:t>
            </w:r>
          </w:p>
        </w:tc>
      </w:tr>
      <w:tr w:rsidR="000B1E05" w:rsidRPr="0063360C" w:rsidTr="000B1E05">
        <w:tc>
          <w:tcPr>
            <w:tcW w:w="13405" w:type="dxa"/>
            <w:gridSpan w:val="5"/>
            <w:shd w:val="clear" w:color="auto" w:fill="DEEAF6" w:themeFill="accent1" w:themeFillTint="33"/>
          </w:tcPr>
          <w:p w:rsidR="000B1E05" w:rsidRPr="0063360C" w:rsidRDefault="002118B7" w:rsidP="008E05F8">
            <w:pPr>
              <w:spacing w:before="40" w:after="40"/>
              <w:rPr>
                <w:rFonts w:cs="Arial"/>
                <w:b/>
                <w:sz w:val="18"/>
                <w:szCs w:val="18"/>
              </w:rPr>
            </w:pPr>
            <w:r w:rsidRPr="0063360C">
              <w:rPr>
                <w:rFonts w:cs="Arial"/>
                <w:b/>
                <w:sz w:val="18"/>
                <w:szCs w:val="18"/>
              </w:rPr>
              <w:t>D1</w:t>
            </w:r>
          </w:p>
        </w:tc>
      </w:tr>
      <w:tr w:rsidR="000B1E05" w:rsidRPr="0063360C" w:rsidTr="000B1E05">
        <w:tc>
          <w:tcPr>
            <w:tcW w:w="3846" w:type="dxa"/>
          </w:tcPr>
          <w:p w:rsidR="008F677C" w:rsidRPr="0063360C" w:rsidRDefault="002118B7" w:rsidP="008E05F8">
            <w:pPr>
              <w:spacing w:before="40" w:after="40"/>
              <w:rPr>
                <w:rFonts w:cs="Arial"/>
                <w:sz w:val="18"/>
                <w:szCs w:val="18"/>
              </w:rPr>
            </w:pPr>
            <w:r w:rsidRPr="0063360C">
              <w:rPr>
                <w:rFonts w:cs="Arial"/>
                <w:sz w:val="18"/>
                <w:szCs w:val="18"/>
              </w:rPr>
              <w:t>Take reasonable measures to ensure the destruction of those records when the business decides that it will no longer maintain the records.</w:t>
            </w:r>
          </w:p>
          <w:p w:rsidR="002118B7" w:rsidRPr="0063360C" w:rsidRDefault="002118B7" w:rsidP="008E05F8">
            <w:pPr>
              <w:spacing w:before="40" w:after="40"/>
              <w:rPr>
                <w:rFonts w:cs="Arial"/>
                <w:sz w:val="18"/>
                <w:szCs w:val="18"/>
              </w:rPr>
            </w:pPr>
          </w:p>
        </w:tc>
        <w:tc>
          <w:tcPr>
            <w:tcW w:w="4257" w:type="dxa"/>
          </w:tcPr>
          <w:p w:rsidR="002118B7" w:rsidRPr="0063360C" w:rsidRDefault="002118B7" w:rsidP="008E05F8">
            <w:pPr>
              <w:pStyle w:val="TableTextBullet"/>
              <w:numPr>
                <w:ilvl w:val="0"/>
                <w:numId w:val="0"/>
              </w:numPr>
              <w:spacing w:before="40"/>
              <w:ind w:left="72"/>
              <w:rPr>
                <w:rFonts w:cs="Arial"/>
                <w:szCs w:val="18"/>
                <w:lang w:val="en-GB" w:eastAsia="en-GB"/>
              </w:rPr>
            </w:pPr>
            <w:r w:rsidRPr="0063360C">
              <w:rPr>
                <w:rFonts w:cs="Arial"/>
                <w:b/>
                <w:szCs w:val="18"/>
                <w:lang w:val="en-GB" w:eastAsia="en-GB"/>
              </w:rPr>
              <w:t>Identify the data-retention and disposal documentation</w:t>
            </w:r>
            <w:r w:rsidRPr="0063360C">
              <w:rPr>
                <w:rFonts w:cs="Arial"/>
                <w:szCs w:val="18"/>
                <w:lang w:val="en-GB" w:eastAsia="en-GB"/>
              </w:rPr>
              <w:t xml:space="preserve"> examined to verify policies, procedures, and processes define the following for all </w:t>
            </w:r>
            <w:r w:rsidR="00AD52C1" w:rsidRPr="0063360C">
              <w:rPr>
                <w:rFonts w:cs="Arial"/>
                <w:szCs w:val="18"/>
                <w:lang w:val="en-GB" w:eastAsia="en-GB"/>
              </w:rPr>
              <w:t>confidential</w:t>
            </w:r>
            <w:r w:rsidRPr="0063360C">
              <w:rPr>
                <w:rFonts w:cs="Arial"/>
                <w:szCs w:val="18"/>
                <w:lang w:val="en-GB" w:eastAsia="en-GB"/>
              </w:rPr>
              <w:t xml:space="preserve"> data (CHD) storage:</w:t>
            </w:r>
          </w:p>
          <w:p w:rsidR="002118B7" w:rsidRPr="0063360C" w:rsidRDefault="002118B7" w:rsidP="008E05F8">
            <w:pPr>
              <w:pStyle w:val="tabletextbullet2"/>
              <w:spacing w:after="40"/>
              <w:ind w:left="576" w:hanging="216"/>
              <w:rPr>
                <w:szCs w:val="18"/>
              </w:rPr>
            </w:pPr>
            <w:r w:rsidRPr="0063360C">
              <w:rPr>
                <w:szCs w:val="18"/>
              </w:rPr>
              <w:t>Limiting data storage amount and retention time to that which is required for legal, reg</w:t>
            </w:r>
            <w:r w:rsidRPr="0063360C">
              <w:rPr>
                <w:iCs w:val="0"/>
                <w:szCs w:val="18"/>
              </w:rPr>
              <w:t>ulatory, and/or business requirements for data retention.</w:t>
            </w:r>
          </w:p>
          <w:p w:rsidR="002118B7" w:rsidRPr="0063360C" w:rsidRDefault="002118B7" w:rsidP="008E05F8">
            <w:pPr>
              <w:pStyle w:val="tabletextbullet2"/>
              <w:spacing w:after="40"/>
              <w:ind w:left="576" w:hanging="216"/>
              <w:rPr>
                <w:szCs w:val="18"/>
              </w:rPr>
            </w:pPr>
            <w:r w:rsidRPr="0063360C">
              <w:rPr>
                <w:szCs w:val="18"/>
              </w:rPr>
              <w:t xml:space="preserve">Specific requirements for retention of </w:t>
            </w:r>
            <w:r w:rsidR="00AD52C1" w:rsidRPr="0063360C">
              <w:rPr>
                <w:szCs w:val="18"/>
              </w:rPr>
              <w:t>confidential</w:t>
            </w:r>
            <w:r w:rsidRPr="0063360C">
              <w:rPr>
                <w:szCs w:val="18"/>
              </w:rPr>
              <w:t xml:space="preserve"> data.</w:t>
            </w:r>
          </w:p>
          <w:p w:rsidR="002118B7" w:rsidRPr="0063360C" w:rsidRDefault="002118B7" w:rsidP="008E05F8">
            <w:pPr>
              <w:pStyle w:val="tabletextbullet2"/>
              <w:spacing w:after="40"/>
              <w:ind w:left="576" w:hanging="216"/>
              <w:rPr>
                <w:szCs w:val="18"/>
              </w:rPr>
            </w:pPr>
            <w:r w:rsidRPr="0063360C">
              <w:rPr>
                <w:szCs w:val="18"/>
              </w:rPr>
              <w:t xml:space="preserve">Processes for secure deletion of </w:t>
            </w:r>
            <w:r w:rsidR="00AD52C1" w:rsidRPr="0063360C">
              <w:rPr>
                <w:szCs w:val="18"/>
              </w:rPr>
              <w:t>confidential</w:t>
            </w:r>
            <w:r w:rsidRPr="0063360C">
              <w:rPr>
                <w:szCs w:val="18"/>
              </w:rPr>
              <w:t xml:space="preserve"> data when no longer needed for legal, regulatory, or business reasons.</w:t>
            </w:r>
          </w:p>
          <w:p w:rsidR="000B1E05" w:rsidRPr="0063360C" w:rsidRDefault="002118B7" w:rsidP="008E05F8">
            <w:pPr>
              <w:pStyle w:val="tabletextbullet2"/>
              <w:spacing w:after="40"/>
              <w:ind w:left="576" w:hanging="216"/>
              <w:rPr>
                <w:szCs w:val="18"/>
              </w:rPr>
            </w:pPr>
            <w:r w:rsidRPr="0063360C">
              <w:rPr>
                <w:szCs w:val="18"/>
              </w:rPr>
              <w:t xml:space="preserve">A quarterly process for identifying and securely deleting stored </w:t>
            </w:r>
            <w:r w:rsidR="00AD52C1" w:rsidRPr="0063360C">
              <w:rPr>
                <w:szCs w:val="18"/>
              </w:rPr>
              <w:t>confidential</w:t>
            </w:r>
            <w:r w:rsidRPr="0063360C">
              <w:rPr>
                <w:szCs w:val="18"/>
              </w:rPr>
              <w:t xml:space="preserve"> data that exceeds defined retention requirements.</w:t>
            </w:r>
          </w:p>
          <w:p w:rsidR="002118B7" w:rsidRPr="0063360C" w:rsidRDefault="002118B7" w:rsidP="008E05F8">
            <w:pPr>
              <w:pStyle w:val="tabletextbullet2"/>
              <w:numPr>
                <w:ilvl w:val="0"/>
                <w:numId w:val="0"/>
              </w:numPr>
              <w:spacing w:after="40"/>
              <w:ind w:left="576"/>
              <w:rPr>
                <w:szCs w:val="18"/>
              </w:rPr>
            </w:pPr>
          </w:p>
        </w:tc>
        <w:tc>
          <w:tcPr>
            <w:tcW w:w="2820" w:type="dxa"/>
          </w:tcPr>
          <w:p w:rsidR="000B1E05" w:rsidRPr="0063360C" w:rsidRDefault="000B1E05" w:rsidP="008E05F8">
            <w:pPr>
              <w:spacing w:before="40" w:after="40"/>
              <w:rPr>
                <w:rFonts w:cs="Arial"/>
                <w:b/>
                <w:sz w:val="18"/>
                <w:szCs w:val="18"/>
              </w:rPr>
            </w:pPr>
          </w:p>
        </w:tc>
        <w:tc>
          <w:tcPr>
            <w:tcW w:w="2482" w:type="dxa"/>
            <w:gridSpan w:val="2"/>
          </w:tcPr>
          <w:p w:rsidR="000B1E05" w:rsidRPr="0063360C" w:rsidRDefault="000B1E05" w:rsidP="008E05F8">
            <w:pPr>
              <w:spacing w:before="40" w:after="40"/>
              <w:rPr>
                <w:rFonts w:cs="Arial"/>
                <w:b/>
                <w:color w:val="00B050"/>
                <w:sz w:val="18"/>
                <w:szCs w:val="18"/>
              </w:rPr>
            </w:pPr>
          </w:p>
        </w:tc>
      </w:tr>
      <w:tr w:rsidR="002118B7" w:rsidRPr="0063360C" w:rsidTr="0092281B">
        <w:tc>
          <w:tcPr>
            <w:tcW w:w="13405" w:type="dxa"/>
            <w:gridSpan w:val="5"/>
            <w:shd w:val="clear" w:color="auto" w:fill="DEEAF6" w:themeFill="accent1" w:themeFillTint="33"/>
          </w:tcPr>
          <w:p w:rsidR="002118B7" w:rsidRPr="0063360C" w:rsidRDefault="002118B7" w:rsidP="008E05F8">
            <w:pPr>
              <w:spacing w:before="40" w:after="40"/>
              <w:jc w:val="center"/>
              <w:rPr>
                <w:rFonts w:cs="Arial"/>
                <w:b/>
                <w:sz w:val="18"/>
                <w:szCs w:val="18"/>
              </w:rPr>
            </w:pPr>
            <w:r w:rsidRPr="0063360C">
              <w:rPr>
                <w:rFonts w:cs="Arial"/>
                <w:b/>
                <w:sz w:val="18"/>
                <w:szCs w:val="18"/>
              </w:rPr>
              <w:t>NRS 603A.210 Security measures.</w:t>
            </w:r>
          </w:p>
        </w:tc>
      </w:tr>
      <w:tr w:rsidR="002118B7" w:rsidRPr="0063360C" w:rsidTr="0092281B">
        <w:tc>
          <w:tcPr>
            <w:tcW w:w="13405" w:type="dxa"/>
            <w:gridSpan w:val="5"/>
            <w:shd w:val="clear" w:color="auto" w:fill="DEEAF6" w:themeFill="accent1" w:themeFillTint="33"/>
          </w:tcPr>
          <w:p w:rsidR="002118B7" w:rsidRPr="0063360C" w:rsidRDefault="002118B7" w:rsidP="008E05F8">
            <w:pPr>
              <w:spacing w:before="40" w:after="40"/>
              <w:rPr>
                <w:rFonts w:cs="Arial"/>
                <w:b/>
                <w:sz w:val="18"/>
                <w:szCs w:val="18"/>
              </w:rPr>
            </w:pPr>
            <w:r w:rsidRPr="0063360C">
              <w:rPr>
                <w:rFonts w:cs="Arial"/>
                <w:b/>
                <w:sz w:val="18"/>
                <w:szCs w:val="18"/>
              </w:rPr>
              <w:t>S1</w:t>
            </w:r>
          </w:p>
        </w:tc>
      </w:tr>
      <w:tr w:rsidR="002118B7" w:rsidRPr="0063360C" w:rsidTr="0092281B">
        <w:tc>
          <w:tcPr>
            <w:tcW w:w="3846" w:type="dxa"/>
          </w:tcPr>
          <w:p w:rsidR="002118B7" w:rsidRPr="0063360C" w:rsidRDefault="002118B7" w:rsidP="008E05F8">
            <w:pPr>
              <w:spacing w:before="40" w:after="40"/>
              <w:rPr>
                <w:rFonts w:cs="Arial"/>
                <w:sz w:val="18"/>
                <w:szCs w:val="18"/>
              </w:rPr>
            </w:pPr>
            <w:r w:rsidRPr="0063360C">
              <w:rPr>
                <w:rFonts w:cs="Arial"/>
                <w:sz w:val="18"/>
                <w:szCs w:val="18"/>
              </w:rPr>
              <w:t>Implement and maintain reasonable security measures to protect personal information from unauthorized access, acquisition, destruction, use, modification or disclosure.</w:t>
            </w:r>
          </w:p>
          <w:p w:rsidR="002118B7" w:rsidRPr="0063360C" w:rsidRDefault="002118B7" w:rsidP="008E05F8">
            <w:pPr>
              <w:spacing w:before="40" w:after="40"/>
              <w:rPr>
                <w:rFonts w:cs="Arial"/>
                <w:sz w:val="18"/>
                <w:szCs w:val="18"/>
              </w:rPr>
            </w:pPr>
          </w:p>
        </w:tc>
        <w:tc>
          <w:tcPr>
            <w:tcW w:w="4257" w:type="dxa"/>
          </w:tcPr>
          <w:p w:rsidR="002118B7" w:rsidRPr="0063360C" w:rsidRDefault="002118B7" w:rsidP="008E05F8">
            <w:pPr>
              <w:pStyle w:val="TableTextBullet"/>
              <w:numPr>
                <w:ilvl w:val="0"/>
                <w:numId w:val="0"/>
              </w:numPr>
              <w:spacing w:before="40"/>
              <w:rPr>
                <w:rFonts w:cs="Arial"/>
                <w:szCs w:val="18"/>
                <w:lang w:val="en-GB" w:eastAsia="en-GB"/>
              </w:rPr>
            </w:pPr>
            <w:r w:rsidRPr="0063360C">
              <w:rPr>
                <w:rFonts w:cs="Arial"/>
                <w:b/>
                <w:szCs w:val="18"/>
                <w:lang w:val="en-GB" w:eastAsia="en-GB"/>
              </w:rPr>
              <w:t>Identify</w:t>
            </w:r>
            <w:r w:rsidRPr="0063360C">
              <w:rPr>
                <w:rFonts w:cs="Arial"/>
                <w:szCs w:val="18"/>
                <w:lang w:val="en-GB" w:eastAsia="en-GB"/>
              </w:rPr>
              <w:t xml:space="preserve"> </w:t>
            </w:r>
            <w:r w:rsidRPr="0063360C">
              <w:rPr>
                <w:rFonts w:cs="Arial"/>
                <w:b/>
                <w:szCs w:val="18"/>
                <w:lang w:val="en-GB" w:eastAsia="en-GB"/>
              </w:rPr>
              <w:t>the written policy for access control</w:t>
            </w:r>
            <w:r w:rsidRPr="0063360C">
              <w:rPr>
                <w:rFonts w:cs="Arial"/>
                <w:szCs w:val="18"/>
                <w:lang w:val="en-GB" w:eastAsia="en-GB"/>
              </w:rPr>
              <w:t xml:space="preserve"> that was examined to verify the policy incorporates 7.1.1 through 7.1.4 as follows:</w:t>
            </w:r>
          </w:p>
          <w:p w:rsidR="002118B7" w:rsidRPr="0063360C" w:rsidRDefault="002118B7" w:rsidP="008E05F8">
            <w:pPr>
              <w:pStyle w:val="tabletextbullet2"/>
              <w:spacing w:after="40"/>
              <w:ind w:left="576" w:hanging="216"/>
              <w:rPr>
                <w:szCs w:val="18"/>
              </w:rPr>
            </w:pPr>
            <w:r w:rsidRPr="0063360C">
              <w:rPr>
                <w:szCs w:val="18"/>
              </w:rPr>
              <w:t>Defining access needs and privilege assignments for each role.</w:t>
            </w:r>
          </w:p>
          <w:p w:rsidR="002118B7" w:rsidRPr="0063360C" w:rsidRDefault="002118B7" w:rsidP="008E05F8">
            <w:pPr>
              <w:pStyle w:val="tabletextbullet2"/>
              <w:spacing w:after="40"/>
              <w:ind w:left="576" w:hanging="216"/>
              <w:rPr>
                <w:szCs w:val="18"/>
              </w:rPr>
            </w:pPr>
            <w:r w:rsidRPr="0063360C">
              <w:rPr>
                <w:szCs w:val="18"/>
              </w:rPr>
              <w:t>Res</w:t>
            </w:r>
            <w:bookmarkStart w:id="0" w:name="_GoBack"/>
            <w:bookmarkEnd w:id="0"/>
            <w:r w:rsidRPr="0063360C">
              <w:rPr>
                <w:szCs w:val="18"/>
              </w:rPr>
              <w:t>triction of access to privileged user IDs to least privileges necessary to perform job responsibilities.</w:t>
            </w:r>
          </w:p>
          <w:p w:rsidR="002118B7" w:rsidRPr="0063360C" w:rsidRDefault="002118B7" w:rsidP="008E05F8">
            <w:pPr>
              <w:pStyle w:val="tabletextbullet2"/>
              <w:spacing w:after="40"/>
              <w:ind w:left="576" w:hanging="216"/>
              <w:rPr>
                <w:szCs w:val="18"/>
              </w:rPr>
            </w:pPr>
            <w:r w:rsidRPr="0063360C">
              <w:rPr>
                <w:szCs w:val="18"/>
              </w:rPr>
              <w:t xml:space="preserve">Assignment of access based on individual personnel’s job classification and function </w:t>
            </w:r>
          </w:p>
          <w:p w:rsidR="002118B7" w:rsidRPr="0063360C" w:rsidRDefault="002118B7" w:rsidP="008E05F8">
            <w:pPr>
              <w:pStyle w:val="tabletextbullet2"/>
              <w:spacing w:after="40"/>
              <w:ind w:left="576" w:hanging="216"/>
              <w:rPr>
                <w:szCs w:val="18"/>
              </w:rPr>
            </w:pPr>
            <w:r w:rsidRPr="0063360C">
              <w:rPr>
                <w:szCs w:val="18"/>
              </w:rPr>
              <w:t>Documented approval (electronically or in writing) by authorized parties for all access, including listing of specific privileges approved.</w:t>
            </w:r>
          </w:p>
        </w:tc>
        <w:tc>
          <w:tcPr>
            <w:tcW w:w="2820" w:type="dxa"/>
          </w:tcPr>
          <w:p w:rsidR="002118B7" w:rsidRPr="0063360C" w:rsidRDefault="002118B7" w:rsidP="008E05F8">
            <w:pPr>
              <w:spacing w:before="40" w:after="40"/>
              <w:rPr>
                <w:rFonts w:cs="Arial"/>
                <w:b/>
                <w:sz w:val="18"/>
                <w:szCs w:val="18"/>
              </w:rPr>
            </w:pPr>
          </w:p>
        </w:tc>
        <w:tc>
          <w:tcPr>
            <w:tcW w:w="2482" w:type="dxa"/>
            <w:gridSpan w:val="2"/>
          </w:tcPr>
          <w:p w:rsidR="002118B7" w:rsidRPr="0063360C" w:rsidRDefault="002118B7" w:rsidP="008E05F8">
            <w:pPr>
              <w:spacing w:before="40" w:after="40"/>
              <w:rPr>
                <w:rFonts w:cs="Arial"/>
                <w:b/>
                <w:color w:val="00B050"/>
                <w:sz w:val="18"/>
                <w:szCs w:val="18"/>
              </w:rPr>
            </w:pPr>
          </w:p>
        </w:tc>
      </w:tr>
      <w:tr w:rsidR="002118B7" w:rsidRPr="0063360C" w:rsidTr="0092281B">
        <w:tc>
          <w:tcPr>
            <w:tcW w:w="13405" w:type="dxa"/>
            <w:gridSpan w:val="5"/>
            <w:shd w:val="clear" w:color="auto" w:fill="DEEAF6" w:themeFill="accent1" w:themeFillTint="33"/>
          </w:tcPr>
          <w:p w:rsidR="002118B7" w:rsidRPr="0063360C" w:rsidRDefault="002118B7" w:rsidP="008E05F8">
            <w:pPr>
              <w:spacing w:before="40" w:after="40"/>
              <w:rPr>
                <w:rFonts w:cs="Arial"/>
                <w:b/>
                <w:sz w:val="18"/>
                <w:szCs w:val="18"/>
              </w:rPr>
            </w:pPr>
            <w:r w:rsidRPr="0063360C">
              <w:rPr>
                <w:rFonts w:cs="Arial"/>
                <w:b/>
                <w:sz w:val="18"/>
                <w:szCs w:val="18"/>
              </w:rPr>
              <w:t>S2</w:t>
            </w:r>
          </w:p>
        </w:tc>
      </w:tr>
      <w:tr w:rsidR="002118B7" w:rsidRPr="0063360C" w:rsidTr="0092281B">
        <w:tc>
          <w:tcPr>
            <w:tcW w:w="3846" w:type="dxa"/>
          </w:tcPr>
          <w:p w:rsidR="002118B7" w:rsidRPr="0063360C" w:rsidRDefault="002118B7" w:rsidP="008E05F8">
            <w:pPr>
              <w:spacing w:before="40" w:after="40"/>
              <w:rPr>
                <w:rFonts w:cs="Arial"/>
                <w:sz w:val="18"/>
                <w:szCs w:val="18"/>
              </w:rPr>
            </w:pPr>
            <w:r w:rsidRPr="0063360C">
              <w:rPr>
                <w:rFonts w:cs="Arial"/>
                <w:sz w:val="18"/>
                <w:szCs w:val="18"/>
              </w:rPr>
              <w:t>A contract for the disclosure of the personal information of a resident of this State which is maintained by a data collector must include a provision requiring the person to whom the information is disclosed to implement and maintain reasonable security measures to protect those records from unauthorized access, acquisition, destruction, use, modification or disclosure.</w:t>
            </w:r>
          </w:p>
          <w:p w:rsidR="002118B7" w:rsidRPr="0063360C" w:rsidRDefault="002118B7" w:rsidP="008E05F8">
            <w:pPr>
              <w:spacing w:before="40" w:after="40"/>
              <w:rPr>
                <w:rFonts w:cs="Arial"/>
                <w:sz w:val="18"/>
                <w:szCs w:val="18"/>
              </w:rPr>
            </w:pPr>
          </w:p>
        </w:tc>
        <w:tc>
          <w:tcPr>
            <w:tcW w:w="4257" w:type="dxa"/>
          </w:tcPr>
          <w:p w:rsidR="002118B7" w:rsidRPr="0063360C" w:rsidRDefault="002118B7" w:rsidP="008E05F8">
            <w:pPr>
              <w:pStyle w:val="tabletextbullet2"/>
              <w:numPr>
                <w:ilvl w:val="0"/>
                <w:numId w:val="0"/>
              </w:numPr>
              <w:spacing w:after="40"/>
              <w:rPr>
                <w:szCs w:val="18"/>
              </w:rPr>
            </w:pPr>
            <w:r w:rsidRPr="0063360C">
              <w:rPr>
                <w:b/>
                <w:szCs w:val="18"/>
              </w:rPr>
              <w:t>Describe how</w:t>
            </w:r>
            <w:r w:rsidRPr="0063360C">
              <w:rPr>
                <w:szCs w:val="18"/>
              </w:rPr>
              <w:t xml:space="preserve"> written agreements for each service provider were observed to confirm they include an acknowledgement by service providers that they will maintain all applicable PCI DSS requirements to the extent the service provider handles, has access to, or otherwise stores, processes, or transmits the customer’s </w:t>
            </w:r>
            <w:r w:rsidR="00AD52C1" w:rsidRPr="0063360C">
              <w:rPr>
                <w:szCs w:val="18"/>
              </w:rPr>
              <w:t>confidential</w:t>
            </w:r>
            <w:r w:rsidRPr="0063360C">
              <w:rPr>
                <w:szCs w:val="18"/>
              </w:rPr>
              <w:t xml:space="preserve"> data or sensitive authentication data, or manages the customer's </w:t>
            </w:r>
            <w:r w:rsidR="00AD52C1" w:rsidRPr="0063360C">
              <w:rPr>
                <w:szCs w:val="18"/>
              </w:rPr>
              <w:t>confidential</w:t>
            </w:r>
            <w:r w:rsidRPr="0063360C">
              <w:rPr>
                <w:szCs w:val="18"/>
              </w:rPr>
              <w:t xml:space="preserve"> data environment on behalf of a customer.</w:t>
            </w:r>
          </w:p>
        </w:tc>
        <w:tc>
          <w:tcPr>
            <w:tcW w:w="2820" w:type="dxa"/>
          </w:tcPr>
          <w:p w:rsidR="002118B7" w:rsidRPr="0063360C" w:rsidRDefault="002118B7" w:rsidP="008E05F8">
            <w:pPr>
              <w:spacing w:before="40" w:after="40"/>
              <w:rPr>
                <w:rFonts w:cs="Arial"/>
                <w:b/>
                <w:sz w:val="18"/>
                <w:szCs w:val="18"/>
              </w:rPr>
            </w:pPr>
          </w:p>
        </w:tc>
        <w:tc>
          <w:tcPr>
            <w:tcW w:w="2482" w:type="dxa"/>
            <w:gridSpan w:val="2"/>
          </w:tcPr>
          <w:p w:rsidR="002118B7" w:rsidRPr="0063360C" w:rsidRDefault="002118B7" w:rsidP="008E05F8">
            <w:pPr>
              <w:spacing w:before="40" w:after="40"/>
              <w:rPr>
                <w:rFonts w:cs="Arial"/>
                <w:b/>
                <w:color w:val="00B050"/>
                <w:sz w:val="18"/>
                <w:szCs w:val="18"/>
              </w:rPr>
            </w:pPr>
          </w:p>
        </w:tc>
      </w:tr>
      <w:tr w:rsidR="002118B7" w:rsidRPr="0063360C" w:rsidTr="0092281B">
        <w:tc>
          <w:tcPr>
            <w:tcW w:w="13405" w:type="dxa"/>
            <w:gridSpan w:val="5"/>
            <w:shd w:val="clear" w:color="auto" w:fill="DEEAF6" w:themeFill="accent1" w:themeFillTint="33"/>
          </w:tcPr>
          <w:p w:rsidR="002118B7" w:rsidRPr="0063360C" w:rsidRDefault="002118B7" w:rsidP="008E05F8">
            <w:pPr>
              <w:spacing w:before="40" w:after="40"/>
              <w:rPr>
                <w:rFonts w:cs="Arial"/>
                <w:b/>
                <w:sz w:val="18"/>
                <w:szCs w:val="18"/>
              </w:rPr>
            </w:pPr>
            <w:r w:rsidRPr="0063360C">
              <w:rPr>
                <w:rFonts w:cs="Arial"/>
                <w:b/>
                <w:sz w:val="18"/>
                <w:szCs w:val="18"/>
              </w:rPr>
              <w:t>S3</w:t>
            </w:r>
          </w:p>
        </w:tc>
      </w:tr>
      <w:tr w:rsidR="002118B7" w:rsidRPr="0063360C" w:rsidTr="0092281B">
        <w:tc>
          <w:tcPr>
            <w:tcW w:w="3846" w:type="dxa"/>
          </w:tcPr>
          <w:p w:rsidR="002118B7" w:rsidRPr="0063360C" w:rsidRDefault="002118B7" w:rsidP="008E05F8">
            <w:pPr>
              <w:spacing w:before="40" w:after="40"/>
              <w:rPr>
                <w:rFonts w:cs="Arial"/>
                <w:sz w:val="18"/>
                <w:szCs w:val="18"/>
              </w:rPr>
            </w:pPr>
            <w:r w:rsidRPr="0063360C">
              <w:rPr>
                <w:rFonts w:cs="Arial"/>
                <w:sz w:val="18"/>
                <w:szCs w:val="18"/>
              </w:rPr>
              <w:t>If a state or federal law requires a data collector to provide greater protection to records that contain personal information of a resident of this State which are maintained by the data collector and the data collector is in compliance with the provisions of that state or federal law, the data collector shall be deemed to be in compliance with the provisions of this section.</w:t>
            </w:r>
          </w:p>
          <w:p w:rsidR="002118B7" w:rsidRPr="0063360C" w:rsidRDefault="002118B7" w:rsidP="008E05F8">
            <w:pPr>
              <w:spacing w:before="40" w:after="40"/>
              <w:rPr>
                <w:rFonts w:cs="Arial"/>
                <w:sz w:val="18"/>
                <w:szCs w:val="18"/>
              </w:rPr>
            </w:pPr>
          </w:p>
        </w:tc>
        <w:tc>
          <w:tcPr>
            <w:tcW w:w="4257" w:type="dxa"/>
          </w:tcPr>
          <w:p w:rsidR="002118B7" w:rsidRPr="0063360C" w:rsidRDefault="009E51BD" w:rsidP="008E05F8">
            <w:pPr>
              <w:pStyle w:val="tabletextbullet2"/>
              <w:numPr>
                <w:ilvl w:val="0"/>
                <w:numId w:val="0"/>
              </w:numPr>
              <w:spacing w:after="40"/>
              <w:rPr>
                <w:szCs w:val="18"/>
              </w:rPr>
            </w:pPr>
            <w:r w:rsidRPr="0063360C">
              <w:rPr>
                <w:b/>
                <w:szCs w:val="18"/>
              </w:rPr>
              <w:t xml:space="preserve">Identify </w:t>
            </w:r>
            <w:r w:rsidRPr="0063360C">
              <w:rPr>
                <w:szCs w:val="18"/>
              </w:rPr>
              <w:t>how the data collection company is in compliance with state or federal law.</w:t>
            </w:r>
          </w:p>
        </w:tc>
        <w:tc>
          <w:tcPr>
            <w:tcW w:w="2820" w:type="dxa"/>
          </w:tcPr>
          <w:p w:rsidR="002118B7" w:rsidRPr="0063360C" w:rsidRDefault="002118B7" w:rsidP="008E05F8">
            <w:pPr>
              <w:spacing w:before="40" w:after="40"/>
              <w:rPr>
                <w:rFonts w:cs="Arial"/>
                <w:b/>
                <w:sz w:val="18"/>
                <w:szCs w:val="18"/>
              </w:rPr>
            </w:pPr>
          </w:p>
        </w:tc>
        <w:tc>
          <w:tcPr>
            <w:tcW w:w="2482" w:type="dxa"/>
            <w:gridSpan w:val="2"/>
          </w:tcPr>
          <w:p w:rsidR="002118B7" w:rsidRPr="0063360C" w:rsidRDefault="002118B7" w:rsidP="008E05F8">
            <w:pPr>
              <w:spacing w:before="40" w:after="40"/>
              <w:rPr>
                <w:rFonts w:cs="Arial"/>
                <w:b/>
                <w:color w:val="00B050"/>
                <w:sz w:val="18"/>
                <w:szCs w:val="18"/>
              </w:rPr>
            </w:pPr>
          </w:p>
        </w:tc>
      </w:tr>
      <w:tr w:rsidR="003820D9" w:rsidRPr="0063360C" w:rsidTr="0092281B">
        <w:tc>
          <w:tcPr>
            <w:tcW w:w="13405" w:type="dxa"/>
            <w:gridSpan w:val="5"/>
            <w:shd w:val="clear" w:color="auto" w:fill="DEEAF6" w:themeFill="accent1" w:themeFillTint="33"/>
          </w:tcPr>
          <w:p w:rsidR="003820D9" w:rsidRPr="0063360C" w:rsidRDefault="003820D9" w:rsidP="008E05F8">
            <w:pPr>
              <w:spacing w:before="40" w:after="40"/>
              <w:jc w:val="center"/>
              <w:rPr>
                <w:rFonts w:cs="Arial"/>
                <w:b/>
                <w:sz w:val="18"/>
                <w:szCs w:val="18"/>
              </w:rPr>
            </w:pPr>
            <w:r w:rsidRPr="0063360C">
              <w:rPr>
                <w:rFonts w:cs="Arial"/>
                <w:b/>
                <w:sz w:val="18"/>
                <w:szCs w:val="18"/>
              </w:rPr>
              <w:t>NRS 603A.215 Security measures for data collector that accepts payment card; use of encryption; liability for damages; applicability.</w:t>
            </w:r>
          </w:p>
        </w:tc>
      </w:tr>
      <w:tr w:rsidR="003820D9" w:rsidRPr="0063360C" w:rsidTr="0092281B">
        <w:tc>
          <w:tcPr>
            <w:tcW w:w="13405" w:type="dxa"/>
            <w:gridSpan w:val="5"/>
            <w:shd w:val="clear" w:color="auto" w:fill="DEEAF6" w:themeFill="accent1" w:themeFillTint="33"/>
          </w:tcPr>
          <w:p w:rsidR="003820D9" w:rsidRPr="0063360C" w:rsidRDefault="003820D9" w:rsidP="008E05F8">
            <w:pPr>
              <w:spacing w:before="40" w:after="40"/>
              <w:rPr>
                <w:rFonts w:cs="Arial"/>
                <w:b/>
                <w:sz w:val="18"/>
                <w:szCs w:val="18"/>
              </w:rPr>
            </w:pPr>
            <w:r w:rsidRPr="0063360C">
              <w:rPr>
                <w:rFonts w:cs="Arial"/>
                <w:b/>
                <w:sz w:val="18"/>
                <w:szCs w:val="18"/>
              </w:rPr>
              <w:t>C1</w:t>
            </w:r>
          </w:p>
        </w:tc>
      </w:tr>
      <w:tr w:rsidR="003820D9" w:rsidRPr="0063360C" w:rsidTr="0092281B">
        <w:tc>
          <w:tcPr>
            <w:tcW w:w="3846" w:type="dxa"/>
          </w:tcPr>
          <w:p w:rsidR="003820D9" w:rsidRPr="0063360C" w:rsidRDefault="003820D9" w:rsidP="008E05F8">
            <w:pPr>
              <w:spacing w:before="40" w:after="40"/>
              <w:rPr>
                <w:rFonts w:cs="Arial"/>
                <w:sz w:val="18"/>
                <w:szCs w:val="18"/>
              </w:rPr>
            </w:pPr>
            <w:r w:rsidRPr="0063360C">
              <w:rPr>
                <w:rFonts w:cs="Arial"/>
                <w:sz w:val="18"/>
                <w:szCs w:val="18"/>
              </w:rPr>
              <w:t>If a data collector doing business in this State accepts a payment card in connection with a sale of goods or services, the data collector shall comply with the current version of the Payment Card Industry (PCI) Data Security Standard, as adopted by the PCI Security Standards Council or its successor organization, with respect to those transactions, not later than the date for compliance set forth in the Payment Card Industry (PCI) Data Security Standard or by the PCI Security Standards Council or its successor organization.</w:t>
            </w:r>
          </w:p>
          <w:p w:rsidR="003820D9" w:rsidRPr="0063360C" w:rsidRDefault="003820D9" w:rsidP="008E05F8">
            <w:pPr>
              <w:spacing w:before="40" w:after="40"/>
              <w:rPr>
                <w:rFonts w:cs="Arial"/>
                <w:sz w:val="18"/>
                <w:szCs w:val="18"/>
              </w:rPr>
            </w:pPr>
          </w:p>
        </w:tc>
        <w:tc>
          <w:tcPr>
            <w:tcW w:w="4257" w:type="dxa"/>
          </w:tcPr>
          <w:p w:rsidR="003820D9" w:rsidRPr="0063360C" w:rsidRDefault="003820D9" w:rsidP="008E05F8">
            <w:pPr>
              <w:pStyle w:val="tabletextbullet2"/>
              <w:numPr>
                <w:ilvl w:val="0"/>
                <w:numId w:val="0"/>
              </w:numPr>
              <w:spacing w:after="40"/>
              <w:rPr>
                <w:szCs w:val="18"/>
              </w:rPr>
            </w:pPr>
            <w:r w:rsidRPr="0063360C">
              <w:rPr>
                <w:b/>
                <w:szCs w:val="18"/>
              </w:rPr>
              <w:t xml:space="preserve">Identify </w:t>
            </w:r>
            <w:r w:rsidRPr="0063360C">
              <w:rPr>
                <w:szCs w:val="18"/>
              </w:rPr>
              <w:t>the current PCI DSS version the data collection company is compliant with.</w:t>
            </w:r>
          </w:p>
        </w:tc>
        <w:tc>
          <w:tcPr>
            <w:tcW w:w="2820" w:type="dxa"/>
          </w:tcPr>
          <w:p w:rsidR="003820D9" w:rsidRPr="0063360C" w:rsidRDefault="003820D9" w:rsidP="008E05F8">
            <w:pPr>
              <w:spacing w:before="40" w:after="40"/>
              <w:rPr>
                <w:rFonts w:cs="Arial"/>
                <w:b/>
                <w:sz w:val="18"/>
                <w:szCs w:val="18"/>
              </w:rPr>
            </w:pPr>
          </w:p>
        </w:tc>
        <w:tc>
          <w:tcPr>
            <w:tcW w:w="2482" w:type="dxa"/>
            <w:gridSpan w:val="2"/>
          </w:tcPr>
          <w:p w:rsidR="003820D9" w:rsidRPr="0063360C" w:rsidRDefault="003820D9" w:rsidP="008E05F8">
            <w:pPr>
              <w:spacing w:before="40" w:after="40"/>
              <w:rPr>
                <w:rFonts w:cs="Arial"/>
                <w:b/>
                <w:color w:val="00B050"/>
                <w:sz w:val="18"/>
                <w:szCs w:val="18"/>
              </w:rPr>
            </w:pPr>
          </w:p>
        </w:tc>
      </w:tr>
      <w:tr w:rsidR="003820D9" w:rsidRPr="0063360C" w:rsidTr="0092281B">
        <w:tc>
          <w:tcPr>
            <w:tcW w:w="13405" w:type="dxa"/>
            <w:gridSpan w:val="5"/>
            <w:shd w:val="clear" w:color="auto" w:fill="DEEAF6" w:themeFill="accent1" w:themeFillTint="33"/>
          </w:tcPr>
          <w:p w:rsidR="003820D9" w:rsidRPr="0063360C" w:rsidRDefault="003820D9" w:rsidP="008E05F8">
            <w:pPr>
              <w:spacing w:before="40" w:after="40"/>
              <w:rPr>
                <w:rFonts w:cs="Arial"/>
                <w:b/>
                <w:sz w:val="18"/>
                <w:szCs w:val="18"/>
              </w:rPr>
            </w:pPr>
            <w:r w:rsidRPr="0063360C">
              <w:rPr>
                <w:rFonts w:cs="Arial"/>
                <w:b/>
                <w:sz w:val="18"/>
                <w:szCs w:val="18"/>
              </w:rPr>
              <w:t>C2</w:t>
            </w:r>
          </w:p>
        </w:tc>
      </w:tr>
      <w:tr w:rsidR="003820D9" w:rsidRPr="0063360C" w:rsidTr="0092281B">
        <w:tc>
          <w:tcPr>
            <w:tcW w:w="3846" w:type="dxa"/>
            <w:vMerge w:val="restart"/>
          </w:tcPr>
          <w:p w:rsidR="003820D9" w:rsidRPr="0063360C" w:rsidRDefault="003820D9" w:rsidP="008E05F8">
            <w:pPr>
              <w:spacing w:before="40" w:after="40"/>
              <w:rPr>
                <w:rFonts w:cs="Arial"/>
                <w:sz w:val="18"/>
                <w:szCs w:val="18"/>
              </w:rPr>
            </w:pPr>
            <w:r w:rsidRPr="0063360C">
              <w:rPr>
                <w:rFonts w:cs="Arial"/>
                <w:sz w:val="18"/>
                <w:szCs w:val="18"/>
              </w:rPr>
              <w:t>A data collector doing business in this State to whom subsection 1 does not apply shall not:</w:t>
            </w:r>
          </w:p>
          <w:p w:rsidR="003820D9" w:rsidRPr="0063360C" w:rsidRDefault="003820D9" w:rsidP="008E05F8">
            <w:pPr>
              <w:spacing w:before="40" w:after="40"/>
              <w:rPr>
                <w:rFonts w:cs="Arial"/>
                <w:sz w:val="18"/>
                <w:szCs w:val="18"/>
              </w:rPr>
            </w:pPr>
            <w:r w:rsidRPr="0063360C">
              <w:rPr>
                <w:rFonts w:cs="Arial"/>
                <w:sz w:val="18"/>
                <w:szCs w:val="18"/>
              </w:rPr>
              <w:t xml:space="preserve">   (a) Transfer any personal information through an electronic, nonvoice transmission other than a facsimile to a person outside of the secure system of the data collector unless the data collector uses encryption to ensure the security of electronic transmission; or</w:t>
            </w:r>
          </w:p>
          <w:p w:rsidR="003820D9" w:rsidRPr="0063360C" w:rsidRDefault="003820D9" w:rsidP="008E05F8">
            <w:pPr>
              <w:spacing w:before="40" w:after="40"/>
              <w:rPr>
                <w:rFonts w:cs="Arial"/>
                <w:sz w:val="18"/>
                <w:szCs w:val="18"/>
              </w:rPr>
            </w:pPr>
            <w:r w:rsidRPr="0063360C">
              <w:rPr>
                <w:rFonts w:cs="Arial"/>
                <w:sz w:val="18"/>
                <w:szCs w:val="18"/>
              </w:rPr>
              <w:t xml:space="preserve">   (b) Move any data storage device containing personal information beyond the logical or physical controls of the data collector or its data storage contractor unless the data collector uses encryption to ensure the security of the information.</w:t>
            </w:r>
          </w:p>
          <w:p w:rsidR="003820D9" w:rsidRPr="0063360C" w:rsidRDefault="003820D9" w:rsidP="008E05F8">
            <w:pPr>
              <w:spacing w:before="40" w:after="40"/>
              <w:rPr>
                <w:rFonts w:cs="Arial"/>
                <w:sz w:val="18"/>
                <w:szCs w:val="18"/>
              </w:rPr>
            </w:pPr>
          </w:p>
        </w:tc>
        <w:tc>
          <w:tcPr>
            <w:tcW w:w="4257" w:type="dxa"/>
          </w:tcPr>
          <w:p w:rsidR="003820D9" w:rsidRPr="0063360C" w:rsidRDefault="003820D9" w:rsidP="008E05F8">
            <w:pPr>
              <w:pStyle w:val="TableTextBullet"/>
              <w:numPr>
                <w:ilvl w:val="0"/>
                <w:numId w:val="0"/>
              </w:numPr>
              <w:spacing w:before="40"/>
              <w:rPr>
                <w:rFonts w:cs="Arial"/>
                <w:szCs w:val="18"/>
                <w:lang w:val="en-GB" w:eastAsia="en-GB"/>
              </w:rPr>
            </w:pPr>
            <w:r w:rsidRPr="0063360C">
              <w:rPr>
                <w:rFonts w:cs="Arial"/>
                <w:b/>
                <w:szCs w:val="18"/>
                <w:lang w:val="en-GB" w:eastAsia="en-GB"/>
              </w:rPr>
              <w:t>Identify</w:t>
            </w:r>
            <w:r w:rsidRPr="0063360C">
              <w:rPr>
                <w:rFonts w:cs="Arial"/>
                <w:szCs w:val="18"/>
                <w:lang w:val="en-GB" w:eastAsia="en-GB"/>
              </w:rPr>
              <w:t xml:space="preserve"> all locations where </w:t>
            </w:r>
            <w:r w:rsidR="00AD52C1" w:rsidRPr="0063360C">
              <w:rPr>
                <w:rFonts w:cs="Arial"/>
                <w:szCs w:val="18"/>
                <w:lang w:val="en-GB" w:eastAsia="en-GB"/>
              </w:rPr>
              <w:t>confidential</w:t>
            </w:r>
            <w:r w:rsidRPr="0063360C">
              <w:rPr>
                <w:rFonts w:cs="Arial"/>
                <w:szCs w:val="18"/>
                <w:lang w:val="en-GB" w:eastAsia="en-GB"/>
              </w:rPr>
              <w:t xml:space="preserve"> data is transmitted or received over open, public networks.</w:t>
            </w:r>
          </w:p>
        </w:tc>
        <w:tc>
          <w:tcPr>
            <w:tcW w:w="2820" w:type="dxa"/>
          </w:tcPr>
          <w:p w:rsidR="003820D9" w:rsidRPr="0063360C" w:rsidRDefault="003820D9" w:rsidP="008E05F8">
            <w:pPr>
              <w:spacing w:before="40" w:after="40"/>
              <w:rPr>
                <w:rFonts w:cs="Arial"/>
                <w:b/>
                <w:sz w:val="18"/>
                <w:szCs w:val="18"/>
              </w:rPr>
            </w:pPr>
          </w:p>
        </w:tc>
        <w:tc>
          <w:tcPr>
            <w:tcW w:w="2482" w:type="dxa"/>
            <w:gridSpan w:val="2"/>
            <w:vMerge w:val="restart"/>
          </w:tcPr>
          <w:p w:rsidR="003820D9" w:rsidRPr="0063360C" w:rsidRDefault="003820D9" w:rsidP="008E05F8">
            <w:pPr>
              <w:spacing w:before="40" w:after="40"/>
              <w:rPr>
                <w:rFonts w:cs="Arial"/>
                <w:b/>
                <w:color w:val="00B050"/>
                <w:sz w:val="18"/>
                <w:szCs w:val="18"/>
              </w:rPr>
            </w:pPr>
          </w:p>
        </w:tc>
      </w:tr>
      <w:tr w:rsidR="003820D9" w:rsidRPr="0063360C" w:rsidTr="0092281B">
        <w:tc>
          <w:tcPr>
            <w:tcW w:w="3846" w:type="dxa"/>
            <w:vMerge/>
          </w:tcPr>
          <w:p w:rsidR="003820D9" w:rsidRPr="0063360C" w:rsidRDefault="003820D9" w:rsidP="008E05F8">
            <w:pPr>
              <w:spacing w:before="40" w:after="40"/>
              <w:rPr>
                <w:rFonts w:cs="Arial"/>
                <w:sz w:val="18"/>
                <w:szCs w:val="18"/>
              </w:rPr>
            </w:pPr>
          </w:p>
        </w:tc>
        <w:tc>
          <w:tcPr>
            <w:tcW w:w="4257" w:type="dxa"/>
          </w:tcPr>
          <w:p w:rsidR="003820D9" w:rsidRPr="0063360C" w:rsidRDefault="003820D9" w:rsidP="008E05F8">
            <w:pPr>
              <w:pStyle w:val="TableTextBullet"/>
              <w:numPr>
                <w:ilvl w:val="0"/>
                <w:numId w:val="0"/>
              </w:numPr>
              <w:spacing w:before="40"/>
              <w:ind w:left="288" w:hanging="288"/>
              <w:rPr>
                <w:rFonts w:cs="Arial"/>
                <w:szCs w:val="18"/>
                <w:lang w:val="en-GB" w:eastAsia="en-GB"/>
              </w:rPr>
            </w:pPr>
            <w:r w:rsidRPr="0063360C">
              <w:rPr>
                <w:rFonts w:cs="Arial"/>
                <w:b/>
                <w:szCs w:val="18"/>
                <w:lang w:val="en-GB" w:eastAsia="en-GB"/>
              </w:rPr>
              <w:t>Identify</w:t>
            </w:r>
            <w:r w:rsidRPr="0063360C">
              <w:rPr>
                <w:rFonts w:cs="Arial"/>
                <w:szCs w:val="18"/>
                <w:lang w:val="en-GB" w:eastAsia="en-GB"/>
              </w:rPr>
              <w:t xml:space="preserve"> </w:t>
            </w:r>
            <w:r w:rsidRPr="0063360C">
              <w:rPr>
                <w:rFonts w:cs="Arial"/>
                <w:b/>
                <w:szCs w:val="18"/>
                <w:lang w:val="en-GB" w:eastAsia="en-GB"/>
              </w:rPr>
              <w:t>the documented standards</w:t>
            </w:r>
            <w:r w:rsidRPr="0063360C">
              <w:rPr>
                <w:rFonts w:cs="Arial"/>
                <w:szCs w:val="18"/>
                <w:lang w:val="en-GB" w:eastAsia="en-GB"/>
              </w:rPr>
              <w:t xml:space="preserve"> examined.</w:t>
            </w:r>
          </w:p>
        </w:tc>
        <w:tc>
          <w:tcPr>
            <w:tcW w:w="2820" w:type="dxa"/>
          </w:tcPr>
          <w:p w:rsidR="003820D9" w:rsidRPr="0063360C" w:rsidRDefault="003820D9" w:rsidP="008E05F8">
            <w:pPr>
              <w:spacing w:before="40" w:after="40"/>
              <w:rPr>
                <w:rFonts w:cs="Arial"/>
                <w:b/>
                <w:sz w:val="18"/>
                <w:szCs w:val="18"/>
              </w:rPr>
            </w:pPr>
          </w:p>
        </w:tc>
        <w:tc>
          <w:tcPr>
            <w:tcW w:w="2482" w:type="dxa"/>
            <w:gridSpan w:val="2"/>
            <w:vMerge/>
          </w:tcPr>
          <w:p w:rsidR="003820D9" w:rsidRPr="0063360C" w:rsidRDefault="003820D9" w:rsidP="008E05F8">
            <w:pPr>
              <w:spacing w:before="40" w:after="40"/>
              <w:rPr>
                <w:rFonts w:cs="Arial"/>
                <w:b/>
                <w:color w:val="00B050"/>
                <w:sz w:val="18"/>
                <w:szCs w:val="18"/>
              </w:rPr>
            </w:pPr>
          </w:p>
        </w:tc>
      </w:tr>
      <w:tr w:rsidR="003820D9" w:rsidRPr="0063360C" w:rsidTr="00070F6D">
        <w:tc>
          <w:tcPr>
            <w:tcW w:w="3846" w:type="dxa"/>
            <w:vMerge/>
          </w:tcPr>
          <w:p w:rsidR="003820D9" w:rsidRPr="0063360C" w:rsidRDefault="003820D9" w:rsidP="008E05F8">
            <w:pPr>
              <w:spacing w:before="40" w:after="40"/>
              <w:rPr>
                <w:rFonts w:cs="Arial"/>
                <w:sz w:val="18"/>
                <w:szCs w:val="18"/>
              </w:rPr>
            </w:pPr>
          </w:p>
        </w:tc>
        <w:tc>
          <w:tcPr>
            <w:tcW w:w="7077" w:type="dxa"/>
            <w:gridSpan w:val="2"/>
          </w:tcPr>
          <w:p w:rsidR="003820D9" w:rsidRPr="0063360C" w:rsidRDefault="003820D9" w:rsidP="008E05F8">
            <w:pPr>
              <w:tabs>
                <w:tab w:val="left" w:pos="720"/>
              </w:tabs>
              <w:spacing w:before="40" w:after="40" w:line="260" w:lineRule="atLeast"/>
              <w:rPr>
                <w:rFonts w:cs="Arial"/>
                <w:i/>
                <w:sz w:val="18"/>
                <w:szCs w:val="18"/>
                <w:lang w:val="en-GB" w:eastAsia="en-GB"/>
              </w:rPr>
            </w:pPr>
            <w:r w:rsidRPr="0063360C">
              <w:rPr>
                <w:rFonts w:cs="Arial"/>
                <w:b/>
                <w:sz w:val="18"/>
                <w:szCs w:val="18"/>
              </w:rPr>
              <w:t>Describe how</w:t>
            </w:r>
            <w:r w:rsidRPr="0063360C">
              <w:rPr>
                <w:rFonts w:cs="Arial"/>
                <w:sz w:val="18"/>
                <w:szCs w:val="18"/>
              </w:rPr>
              <w:t xml:space="preserve"> the documented standards were examined and compared to system configurations to verify the use of:</w:t>
            </w:r>
          </w:p>
        </w:tc>
        <w:tc>
          <w:tcPr>
            <w:tcW w:w="2482" w:type="dxa"/>
            <w:gridSpan w:val="2"/>
            <w:vMerge/>
          </w:tcPr>
          <w:p w:rsidR="003820D9" w:rsidRPr="0063360C" w:rsidRDefault="003820D9" w:rsidP="008E05F8">
            <w:pPr>
              <w:spacing w:before="40" w:after="40"/>
              <w:rPr>
                <w:rFonts w:cs="Arial"/>
                <w:b/>
                <w:color w:val="00B050"/>
                <w:sz w:val="18"/>
                <w:szCs w:val="18"/>
              </w:rPr>
            </w:pPr>
          </w:p>
        </w:tc>
      </w:tr>
      <w:tr w:rsidR="003820D9" w:rsidRPr="0063360C" w:rsidTr="0092281B">
        <w:tc>
          <w:tcPr>
            <w:tcW w:w="3846" w:type="dxa"/>
            <w:vMerge/>
          </w:tcPr>
          <w:p w:rsidR="003820D9" w:rsidRPr="0063360C" w:rsidRDefault="003820D9" w:rsidP="008E05F8">
            <w:pPr>
              <w:spacing w:before="40" w:after="40"/>
              <w:rPr>
                <w:rFonts w:cs="Arial"/>
                <w:sz w:val="18"/>
                <w:szCs w:val="18"/>
              </w:rPr>
            </w:pPr>
          </w:p>
        </w:tc>
        <w:tc>
          <w:tcPr>
            <w:tcW w:w="4257" w:type="dxa"/>
          </w:tcPr>
          <w:p w:rsidR="003820D9" w:rsidRPr="0063360C" w:rsidRDefault="003820D9" w:rsidP="008E05F8">
            <w:pPr>
              <w:pStyle w:val="TableTextBullet"/>
              <w:spacing w:before="40"/>
              <w:rPr>
                <w:rFonts w:cs="Arial"/>
                <w:szCs w:val="18"/>
              </w:rPr>
            </w:pPr>
            <w:r w:rsidRPr="0063360C">
              <w:rPr>
                <w:rFonts w:cs="Arial"/>
                <w:szCs w:val="18"/>
              </w:rPr>
              <w:t>Security protocols observed in use</w:t>
            </w:r>
          </w:p>
        </w:tc>
        <w:tc>
          <w:tcPr>
            <w:tcW w:w="2820" w:type="dxa"/>
          </w:tcPr>
          <w:p w:rsidR="003820D9" w:rsidRPr="0063360C" w:rsidRDefault="003820D9" w:rsidP="008E05F8">
            <w:pPr>
              <w:spacing w:before="40" w:after="40"/>
              <w:rPr>
                <w:rFonts w:cs="Arial"/>
                <w:b/>
                <w:sz w:val="18"/>
                <w:szCs w:val="18"/>
              </w:rPr>
            </w:pPr>
          </w:p>
        </w:tc>
        <w:tc>
          <w:tcPr>
            <w:tcW w:w="2482" w:type="dxa"/>
            <w:gridSpan w:val="2"/>
            <w:vMerge/>
          </w:tcPr>
          <w:p w:rsidR="003820D9" w:rsidRPr="0063360C" w:rsidRDefault="003820D9" w:rsidP="008E05F8">
            <w:pPr>
              <w:spacing w:before="40" w:after="40"/>
              <w:rPr>
                <w:rFonts w:cs="Arial"/>
                <w:b/>
                <w:color w:val="00B050"/>
                <w:sz w:val="18"/>
                <w:szCs w:val="18"/>
              </w:rPr>
            </w:pPr>
          </w:p>
        </w:tc>
      </w:tr>
      <w:tr w:rsidR="003820D9" w:rsidRPr="0063360C" w:rsidTr="0092281B">
        <w:tc>
          <w:tcPr>
            <w:tcW w:w="3846" w:type="dxa"/>
            <w:vMerge/>
          </w:tcPr>
          <w:p w:rsidR="003820D9" w:rsidRPr="0063360C" w:rsidRDefault="003820D9" w:rsidP="008E05F8">
            <w:pPr>
              <w:spacing w:before="40" w:after="40"/>
              <w:rPr>
                <w:rFonts w:cs="Arial"/>
                <w:sz w:val="18"/>
                <w:szCs w:val="18"/>
              </w:rPr>
            </w:pPr>
          </w:p>
        </w:tc>
        <w:tc>
          <w:tcPr>
            <w:tcW w:w="4257" w:type="dxa"/>
          </w:tcPr>
          <w:p w:rsidR="003820D9" w:rsidRPr="0063360C" w:rsidRDefault="003820D9" w:rsidP="008E05F8">
            <w:pPr>
              <w:pStyle w:val="TableTextBullet"/>
              <w:spacing w:before="40"/>
              <w:rPr>
                <w:rFonts w:cs="Arial"/>
                <w:szCs w:val="18"/>
              </w:rPr>
            </w:pPr>
            <w:r w:rsidRPr="0063360C">
              <w:rPr>
                <w:rFonts w:cs="Arial"/>
                <w:szCs w:val="18"/>
              </w:rPr>
              <w:t>Strong cryptography for all locations</w:t>
            </w:r>
          </w:p>
        </w:tc>
        <w:tc>
          <w:tcPr>
            <w:tcW w:w="2820" w:type="dxa"/>
          </w:tcPr>
          <w:p w:rsidR="003820D9" w:rsidRPr="0063360C" w:rsidRDefault="003820D9" w:rsidP="008E05F8">
            <w:pPr>
              <w:spacing w:before="40" w:after="40"/>
              <w:rPr>
                <w:rFonts w:cs="Arial"/>
                <w:b/>
                <w:sz w:val="18"/>
                <w:szCs w:val="18"/>
              </w:rPr>
            </w:pPr>
          </w:p>
        </w:tc>
        <w:tc>
          <w:tcPr>
            <w:tcW w:w="2482" w:type="dxa"/>
            <w:gridSpan w:val="2"/>
            <w:vMerge/>
          </w:tcPr>
          <w:p w:rsidR="003820D9" w:rsidRPr="0063360C" w:rsidRDefault="003820D9" w:rsidP="008E05F8">
            <w:pPr>
              <w:spacing w:before="40" w:after="40"/>
              <w:rPr>
                <w:rFonts w:cs="Arial"/>
                <w:b/>
                <w:color w:val="00B050"/>
                <w:sz w:val="18"/>
                <w:szCs w:val="18"/>
              </w:rPr>
            </w:pPr>
          </w:p>
        </w:tc>
      </w:tr>
      <w:tr w:rsidR="003820D9" w:rsidRPr="0063360C" w:rsidTr="0092281B">
        <w:tc>
          <w:tcPr>
            <w:tcW w:w="13405" w:type="dxa"/>
            <w:gridSpan w:val="5"/>
            <w:shd w:val="clear" w:color="auto" w:fill="DEEAF6" w:themeFill="accent1" w:themeFillTint="33"/>
          </w:tcPr>
          <w:p w:rsidR="003820D9" w:rsidRPr="0063360C" w:rsidRDefault="003820D9" w:rsidP="008E05F8">
            <w:pPr>
              <w:spacing w:before="40" w:after="40"/>
              <w:jc w:val="center"/>
              <w:rPr>
                <w:rFonts w:cs="Arial"/>
                <w:b/>
                <w:sz w:val="18"/>
                <w:szCs w:val="18"/>
              </w:rPr>
            </w:pPr>
            <w:r w:rsidRPr="0063360C">
              <w:rPr>
                <w:rFonts w:cs="Arial"/>
                <w:b/>
                <w:sz w:val="18"/>
                <w:szCs w:val="18"/>
              </w:rPr>
              <w:t>NRS 603A.220 Disclosure of breach of security of system data; methods of disclosure.</w:t>
            </w:r>
          </w:p>
        </w:tc>
      </w:tr>
      <w:tr w:rsidR="003820D9" w:rsidRPr="0063360C" w:rsidTr="0092281B">
        <w:tc>
          <w:tcPr>
            <w:tcW w:w="13405" w:type="dxa"/>
            <w:gridSpan w:val="5"/>
            <w:shd w:val="clear" w:color="auto" w:fill="DEEAF6" w:themeFill="accent1" w:themeFillTint="33"/>
          </w:tcPr>
          <w:p w:rsidR="003820D9" w:rsidRPr="0063360C" w:rsidRDefault="003820D9" w:rsidP="008E05F8">
            <w:pPr>
              <w:spacing w:before="40" w:after="40"/>
              <w:rPr>
                <w:rFonts w:cs="Arial"/>
                <w:b/>
                <w:sz w:val="18"/>
                <w:szCs w:val="18"/>
              </w:rPr>
            </w:pPr>
            <w:r w:rsidRPr="0063360C">
              <w:rPr>
                <w:rFonts w:cs="Arial"/>
                <w:b/>
                <w:sz w:val="18"/>
                <w:szCs w:val="18"/>
              </w:rPr>
              <w:t>B1</w:t>
            </w:r>
          </w:p>
        </w:tc>
      </w:tr>
      <w:tr w:rsidR="003820D9" w:rsidRPr="0063360C" w:rsidTr="0092281B">
        <w:tc>
          <w:tcPr>
            <w:tcW w:w="3846" w:type="dxa"/>
          </w:tcPr>
          <w:p w:rsidR="003820D9" w:rsidRPr="0063360C" w:rsidRDefault="003820D9" w:rsidP="008E05F8">
            <w:pPr>
              <w:spacing w:before="40" w:after="40"/>
              <w:rPr>
                <w:rFonts w:cs="Arial"/>
                <w:sz w:val="18"/>
                <w:szCs w:val="18"/>
              </w:rPr>
            </w:pPr>
            <w:r w:rsidRPr="0063360C">
              <w:rPr>
                <w:rFonts w:cs="Arial"/>
                <w:sz w:val="18"/>
                <w:szCs w:val="18"/>
              </w:rPr>
              <w:t>Disclose any breach of the security of the system data following discovery or notification of the breach to any resident of this State whose unencrypted personal information was, or is reasonably believed to have been, acquired by an unauthorized person. The disclosure must be made in the most expedient time possible and without unreasonable delay, consistent with the legitimate needs of law enforcement, as provided in subsection 3, or any measures necessary to determine the scope of the breach and restore the reasonable integrity of the system data.</w:t>
            </w:r>
          </w:p>
          <w:p w:rsidR="003820D9" w:rsidRPr="0063360C" w:rsidRDefault="003820D9" w:rsidP="008E05F8">
            <w:pPr>
              <w:spacing w:before="40" w:after="40"/>
              <w:rPr>
                <w:rFonts w:cs="Arial"/>
                <w:sz w:val="18"/>
                <w:szCs w:val="18"/>
              </w:rPr>
            </w:pPr>
          </w:p>
        </w:tc>
        <w:tc>
          <w:tcPr>
            <w:tcW w:w="4257" w:type="dxa"/>
          </w:tcPr>
          <w:p w:rsidR="003820D9" w:rsidRPr="0063360C" w:rsidRDefault="003820D9" w:rsidP="008E05F8">
            <w:pPr>
              <w:pStyle w:val="TableTextBullet"/>
              <w:numPr>
                <w:ilvl w:val="0"/>
                <w:numId w:val="0"/>
              </w:numPr>
              <w:spacing w:before="40"/>
              <w:rPr>
                <w:rFonts w:cs="Arial"/>
                <w:szCs w:val="18"/>
                <w:lang w:val="en-GB" w:eastAsia="en-GB"/>
              </w:rPr>
            </w:pPr>
            <w:r w:rsidRPr="0063360C">
              <w:rPr>
                <w:rFonts w:cs="Arial"/>
                <w:b/>
                <w:szCs w:val="18"/>
                <w:lang w:val="en-GB" w:eastAsia="en-GB"/>
              </w:rPr>
              <w:t>Provide the name of the assessor</w:t>
            </w:r>
            <w:r w:rsidRPr="0063360C">
              <w:rPr>
                <w:rFonts w:cs="Arial"/>
                <w:szCs w:val="18"/>
                <w:lang w:val="en-GB" w:eastAsia="en-GB"/>
              </w:rPr>
              <w:t xml:space="preserve"> who attests that the incident response plan was verified to include:</w:t>
            </w:r>
          </w:p>
          <w:p w:rsidR="003820D9" w:rsidRPr="0063360C" w:rsidRDefault="003820D9" w:rsidP="008E05F8">
            <w:pPr>
              <w:pStyle w:val="tabletextbullet2"/>
              <w:spacing w:after="40"/>
              <w:ind w:left="576" w:hanging="216"/>
              <w:rPr>
                <w:szCs w:val="18"/>
                <w:lang w:val="en-GB" w:eastAsia="en-GB"/>
              </w:rPr>
            </w:pPr>
            <w:r w:rsidRPr="0063360C">
              <w:rPr>
                <w:szCs w:val="18"/>
                <w:lang w:val="en-GB" w:eastAsia="en-GB"/>
              </w:rPr>
              <w:t>Roles and responsibilities.</w:t>
            </w:r>
          </w:p>
          <w:p w:rsidR="003820D9" w:rsidRPr="0063360C" w:rsidRDefault="003820D9" w:rsidP="008E05F8">
            <w:pPr>
              <w:pStyle w:val="tabletextbullet2"/>
              <w:spacing w:after="40"/>
              <w:ind w:left="576" w:hanging="216"/>
              <w:rPr>
                <w:szCs w:val="18"/>
                <w:lang w:val="en-GB" w:eastAsia="en-GB"/>
              </w:rPr>
            </w:pPr>
            <w:r w:rsidRPr="0063360C">
              <w:rPr>
                <w:szCs w:val="18"/>
                <w:lang w:val="en-GB" w:eastAsia="en-GB"/>
              </w:rPr>
              <w:t>Communication strategies.</w:t>
            </w:r>
          </w:p>
          <w:p w:rsidR="003820D9" w:rsidRPr="0063360C" w:rsidRDefault="003820D9" w:rsidP="008E05F8">
            <w:pPr>
              <w:pStyle w:val="tabletextbullet2"/>
              <w:spacing w:after="40"/>
              <w:ind w:left="576" w:hanging="216"/>
              <w:rPr>
                <w:szCs w:val="18"/>
                <w:lang w:val="en-GB" w:eastAsia="en-GB"/>
              </w:rPr>
            </w:pPr>
            <w:r w:rsidRPr="0063360C">
              <w:rPr>
                <w:szCs w:val="18"/>
                <w:lang w:val="en-GB" w:eastAsia="en-GB"/>
              </w:rPr>
              <w:t>Requirement for notification of the payment brands.</w:t>
            </w:r>
          </w:p>
          <w:p w:rsidR="003820D9" w:rsidRPr="0063360C" w:rsidRDefault="003820D9" w:rsidP="008E05F8">
            <w:pPr>
              <w:pStyle w:val="tabletextbullet2"/>
              <w:spacing w:after="40"/>
              <w:ind w:left="576" w:hanging="216"/>
              <w:rPr>
                <w:szCs w:val="18"/>
                <w:lang w:val="en-GB" w:eastAsia="en-GB"/>
              </w:rPr>
            </w:pPr>
            <w:r w:rsidRPr="0063360C">
              <w:rPr>
                <w:szCs w:val="18"/>
                <w:lang w:val="en-GB" w:eastAsia="en-GB"/>
              </w:rPr>
              <w:t>Specific incident response procedures.</w:t>
            </w:r>
          </w:p>
          <w:p w:rsidR="003820D9" w:rsidRPr="0063360C" w:rsidRDefault="003820D9" w:rsidP="008E05F8">
            <w:pPr>
              <w:pStyle w:val="tabletextbullet2"/>
              <w:spacing w:after="40"/>
              <w:ind w:left="576" w:hanging="216"/>
              <w:rPr>
                <w:szCs w:val="18"/>
                <w:lang w:val="en-GB" w:eastAsia="en-GB"/>
              </w:rPr>
            </w:pPr>
            <w:r w:rsidRPr="0063360C">
              <w:rPr>
                <w:szCs w:val="18"/>
                <w:lang w:val="en-GB" w:eastAsia="en-GB"/>
              </w:rPr>
              <w:t>Business recovery and continuity procedures.</w:t>
            </w:r>
          </w:p>
          <w:p w:rsidR="003820D9" w:rsidRPr="0063360C" w:rsidRDefault="003820D9" w:rsidP="008E05F8">
            <w:pPr>
              <w:pStyle w:val="tabletextbullet2"/>
              <w:spacing w:after="40"/>
              <w:ind w:left="576" w:hanging="216"/>
              <w:rPr>
                <w:szCs w:val="18"/>
                <w:lang w:val="en-GB" w:eastAsia="en-GB"/>
              </w:rPr>
            </w:pPr>
            <w:r w:rsidRPr="0063360C">
              <w:rPr>
                <w:szCs w:val="18"/>
                <w:lang w:val="en-GB" w:eastAsia="en-GB"/>
              </w:rPr>
              <w:t>Data back-up processes.</w:t>
            </w:r>
          </w:p>
          <w:p w:rsidR="003820D9" w:rsidRPr="0063360C" w:rsidRDefault="003820D9" w:rsidP="008E05F8">
            <w:pPr>
              <w:pStyle w:val="tabletextbullet2"/>
              <w:spacing w:after="40"/>
              <w:ind w:left="576" w:hanging="216"/>
              <w:rPr>
                <w:szCs w:val="18"/>
                <w:lang w:val="en-GB" w:eastAsia="en-GB"/>
              </w:rPr>
            </w:pPr>
            <w:r w:rsidRPr="0063360C">
              <w:rPr>
                <w:szCs w:val="18"/>
                <w:lang w:val="en-GB" w:eastAsia="en-GB"/>
              </w:rPr>
              <w:t>Analysis of legal requirements for reporting compromises.</w:t>
            </w:r>
          </w:p>
          <w:p w:rsidR="003820D9" w:rsidRPr="0063360C" w:rsidRDefault="003820D9" w:rsidP="008E05F8">
            <w:pPr>
              <w:pStyle w:val="tabletextbullet2"/>
              <w:spacing w:after="40"/>
              <w:ind w:left="576" w:hanging="216"/>
              <w:rPr>
                <w:szCs w:val="18"/>
                <w:lang w:val="en-GB" w:eastAsia="en-GB"/>
              </w:rPr>
            </w:pPr>
            <w:r w:rsidRPr="0063360C">
              <w:rPr>
                <w:szCs w:val="18"/>
                <w:lang w:val="en-GB" w:eastAsia="en-GB"/>
              </w:rPr>
              <w:t>Coverage for all critical system components.</w:t>
            </w:r>
          </w:p>
          <w:p w:rsidR="003820D9" w:rsidRPr="0063360C" w:rsidRDefault="003820D9" w:rsidP="008E05F8">
            <w:pPr>
              <w:pStyle w:val="tabletextbullet2"/>
              <w:spacing w:after="40"/>
              <w:ind w:left="576" w:hanging="216"/>
              <w:rPr>
                <w:szCs w:val="18"/>
                <w:lang w:val="en-GB" w:eastAsia="en-GB"/>
              </w:rPr>
            </w:pPr>
            <w:r w:rsidRPr="0063360C">
              <w:rPr>
                <w:szCs w:val="18"/>
                <w:lang w:val="en-GB" w:eastAsia="en-GB"/>
              </w:rPr>
              <w:t>Responses for all critical system components.</w:t>
            </w:r>
          </w:p>
          <w:p w:rsidR="003820D9" w:rsidRPr="0063360C" w:rsidRDefault="003820D9" w:rsidP="008E05F8">
            <w:pPr>
              <w:pStyle w:val="tabletextbullet2"/>
              <w:spacing w:after="40"/>
              <w:ind w:left="576" w:hanging="216"/>
              <w:rPr>
                <w:szCs w:val="18"/>
                <w:lang w:val="en-GB" w:eastAsia="en-GB"/>
              </w:rPr>
            </w:pPr>
            <w:r w:rsidRPr="0063360C">
              <w:rPr>
                <w:szCs w:val="18"/>
              </w:rPr>
              <w:t>Reference or inclusion of incident response procedures from the payment brands.</w:t>
            </w:r>
          </w:p>
        </w:tc>
        <w:tc>
          <w:tcPr>
            <w:tcW w:w="2820" w:type="dxa"/>
          </w:tcPr>
          <w:p w:rsidR="003820D9" w:rsidRPr="0063360C" w:rsidRDefault="003820D9" w:rsidP="008E05F8">
            <w:pPr>
              <w:spacing w:before="40" w:after="40"/>
              <w:rPr>
                <w:rFonts w:cs="Arial"/>
                <w:b/>
                <w:sz w:val="18"/>
                <w:szCs w:val="18"/>
              </w:rPr>
            </w:pPr>
          </w:p>
        </w:tc>
        <w:tc>
          <w:tcPr>
            <w:tcW w:w="2482" w:type="dxa"/>
            <w:gridSpan w:val="2"/>
          </w:tcPr>
          <w:p w:rsidR="003820D9" w:rsidRPr="0063360C" w:rsidRDefault="003820D9" w:rsidP="008E05F8">
            <w:pPr>
              <w:spacing w:before="40" w:after="40"/>
              <w:rPr>
                <w:rFonts w:cs="Arial"/>
                <w:b/>
                <w:color w:val="00B050"/>
                <w:sz w:val="18"/>
                <w:szCs w:val="18"/>
              </w:rPr>
            </w:pPr>
          </w:p>
        </w:tc>
      </w:tr>
      <w:tr w:rsidR="003820D9" w:rsidRPr="0063360C" w:rsidTr="0092281B">
        <w:tc>
          <w:tcPr>
            <w:tcW w:w="13405" w:type="dxa"/>
            <w:gridSpan w:val="5"/>
            <w:shd w:val="clear" w:color="auto" w:fill="DEEAF6" w:themeFill="accent1" w:themeFillTint="33"/>
          </w:tcPr>
          <w:p w:rsidR="003820D9" w:rsidRPr="0063360C" w:rsidRDefault="003820D9" w:rsidP="008E05F8">
            <w:pPr>
              <w:spacing w:before="40" w:after="40"/>
              <w:rPr>
                <w:rFonts w:cs="Arial"/>
                <w:b/>
                <w:sz w:val="18"/>
                <w:szCs w:val="18"/>
              </w:rPr>
            </w:pPr>
            <w:r w:rsidRPr="0063360C">
              <w:rPr>
                <w:rFonts w:cs="Arial"/>
                <w:b/>
                <w:sz w:val="18"/>
                <w:szCs w:val="18"/>
              </w:rPr>
              <w:t>B2</w:t>
            </w:r>
          </w:p>
        </w:tc>
      </w:tr>
      <w:tr w:rsidR="003820D9" w:rsidRPr="0063360C" w:rsidTr="0092281B">
        <w:tc>
          <w:tcPr>
            <w:tcW w:w="3846" w:type="dxa"/>
          </w:tcPr>
          <w:p w:rsidR="003820D9" w:rsidRPr="0063360C" w:rsidRDefault="003820D9" w:rsidP="008E05F8">
            <w:pPr>
              <w:spacing w:before="40" w:after="40"/>
              <w:rPr>
                <w:rFonts w:cs="Arial"/>
                <w:sz w:val="18"/>
                <w:szCs w:val="18"/>
              </w:rPr>
            </w:pPr>
            <w:r w:rsidRPr="0063360C">
              <w:rPr>
                <w:rFonts w:cs="Arial"/>
                <w:sz w:val="18"/>
                <w:szCs w:val="18"/>
              </w:rPr>
              <w:t>Notify the owner or licensee of the information of any breach of the security of the system data immediately following discovery if the personal information was, or is reasonably believed to have been, acquired by an unauthorized person.</w:t>
            </w:r>
          </w:p>
          <w:p w:rsidR="003820D9" w:rsidRPr="0063360C" w:rsidRDefault="003820D9" w:rsidP="008E05F8">
            <w:pPr>
              <w:spacing w:before="40" w:after="40"/>
              <w:rPr>
                <w:rFonts w:cs="Arial"/>
                <w:sz w:val="18"/>
                <w:szCs w:val="18"/>
              </w:rPr>
            </w:pPr>
          </w:p>
        </w:tc>
        <w:tc>
          <w:tcPr>
            <w:tcW w:w="4257" w:type="dxa"/>
          </w:tcPr>
          <w:p w:rsidR="003820D9" w:rsidRPr="0063360C" w:rsidRDefault="003820D9" w:rsidP="008E05F8">
            <w:pPr>
              <w:pStyle w:val="TableTextBullet"/>
              <w:numPr>
                <w:ilvl w:val="0"/>
                <w:numId w:val="0"/>
              </w:numPr>
              <w:spacing w:before="40"/>
              <w:rPr>
                <w:rFonts w:cs="Arial"/>
                <w:szCs w:val="18"/>
                <w:lang w:val="en-GB" w:eastAsia="en-GB"/>
              </w:rPr>
            </w:pPr>
            <w:r w:rsidRPr="0063360C">
              <w:rPr>
                <w:rFonts w:cs="Arial"/>
                <w:b/>
                <w:szCs w:val="18"/>
                <w:lang w:val="en-GB" w:eastAsia="en-GB"/>
              </w:rPr>
              <w:t>Provide the name of the assessor</w:t>
            </w:r>
            <w:r w:rsidRPr="0063360C">
              <w:rPr>
                <w:rFonts w:cs="Arial"/>
                <w:szCs w:val="18"/>
                <w:lang w:val="en-GB" w:eastAsia="en-GB"/>
              </w:rPr>
              <w:t xml:space="preserve"> who attests that the incident response plan was verified to include:</w:t>
            </w:r>
          </w:p>
          <w:p w:rsidR="003820D9" w:rsidRPr="0063360C" w:rsidRDefault="003820D9" w:rsidP="008E05F8">
            <w:pPr>
              <w:pStyle w:val="tabletextbullet2"/>
              <w:spacing w:after="40"/>
              <w:ind w:left="576" w:hanging="216"/>
              <w:rPr>
                <w:szCs w:val="18"/>
                <w:lang w:val="en-GB" w:eastAsia="en-GB"/>
              </w:rPr>
            </w:pPr>
            <w:r w:rsidRPr="0063360C">
              <w:rPr>
                <w:szCs w:val="18"/>
                <w:lang w:val="en-GB" w:eastAsia="en-GB"/>
              </w:rPr>
              <w:t>Roles and responsibilities.</w:t>
            </w:r>
          </w:p>
          <w:p w:rsidR="003820D9" w:rsidRPr="0063360C" w:rsidRDefault="003820D9" w:rsidP="008E05F8">
            <w:pPr>
              <w:pStyle w:val="tabletextbullet2"/>
              <w:spacing w:after="40"/>
              <w:ind w:left="576" w:hanging="216"/>
              <w:rPr>
                <w:szCs w:val="18"/>
                <w:lang w:val="en-GB" w:eastAsia="en-GB"/>
              </w:rPr>
            </w:pPr>
            <w:r w:rsidRPr="0063360C">
              <w:rPr>
                <w:szCs w:val="18"/>
                <w:lang w:val="en-GB" w:eastAsia="en-GB"/>
              </w:rPr>
              <w:t>Communication strategies.</w:t>
            </w:r>
          </w:p>
          <w:p w:rsidR="003820D9" w:rsidRPr="0063360C" w:rsidRDefault="003820D9" w:rsidP="008E05F8">
            <w:pPr>
              <w:pStyle w:val="tabletextbullet2"/>
              <w:spacing w:after="40"/>
              <w:ind w:left="576" w:hanging="216"/>
              <w:rPr>
                <w:szCs w:val="18"/>
                <w:lang w:val="en-GB" w:eastAsia="en-GB"/>
              </w:rPr>
            </w:pPr>
            <w:r w:rsidRPr="0063360C">
              <w:rPr>
                <w:szCs w:val="18"/>
                <w:lang w:val="en-GB" w:eastAsia="en-GB"/>
              </w:rPr>
              <w:t>Requirement for notification of the payment brands.</w:t>
            </w:r>
          </w:p>
          <w:p w:rsidR="003820D9" w:rsidRPr="0063360C" w:rsidRDefault="003820D9" w:rsidP="008E05F8">
            <w:pPr>
              <w:pStyle w:val="tabletextbullet2"/>
              <w:spacing w:after="40"/>
              <w:ind w:left="576" w:hanging="216"/>
              <w:rPr>
                <w:szCs w:val="18"/>
                <w:lang w:val="en-GB" w:eastAsia="en-GB"/>
              </w:rPr>
            </w:pPr>
            <w:r w:rsidRPr="0063360C">
              <w:rPr>
                <w:szCs w:val="18"/>
                <w:lang w:val="en-GB" w:eastAsia="en-GB"/>
              </w:rPr>
              <w:t>Specific incident response procedures.</w:t>
            </w:r>
          </w:p>
          <w:p w:rsidR="003820D9" w:rsidRPr="0063360C" w:rsidRDefault="003820D9" w:rsidP="008E05F8">
            <w:pPr>
              <w:pStyle w:val="tabletextbullet2"/>
              <w:spacing w:after="40"/>
              <w:ind w:left="576" w:hanging="216"/>
              <w:rPr>
                <w:szCs w:val="18"/>
                <w:lang w:val="en-GB" w:eastAsia="en-GB"/>
              </w:rPr>
            </w:pPr>
            <w:r w:rsidRPr="0063360C">
              <w:rPr>
                <w:szCs w:val="18"/>
                <w:lang w:val="en-GB" w:eastAsia="en-GB"/>
              </w:rPr>
              <w:t>Business recovery and continuity procedures.</w:t>
            </w:r>
          </w:p>
          <w:p w:rsidR="003820D9" w:rsidRPr="0063360C" w:rsidRDefault="003820D9" w:rsidP="008E05F8">
            <w:pPr>
              <w:pStyle w:val="tabletextbullet2"/>
              <w:spacing w:after="40"/>
              <w:ind w:left="576" w:hanging="216"/>
              <w:rPr>
                <w:szCs w:val="18"/>
                <w:lang w:val="en-GB" w:eastAsia="en-GB"/>
              </w:rPr>
            </w:pPr>
            <w:r w:rsidRPr="0063360C">
              <w:rPr>
                <w:szCs w:val="18"/>
                <w:lang w:val="en-GB" w:eastAsia="en-GB"/>
              </w:rPr>
              <w:t>Data back-up processes.</w:t>
            </w:r>
          </w:p>
          <w:p w:rsidR="003820D9" w:rsidRPr="0063360C" w:rsidRDefault="003820D9" w:rsidP="008E05F8">
            <w:pPr>
              <w:pStyle w:val="tabletextbullet2"/>
              <w:spacing w:after="40"/>
              <w:ind w:left="576" w:hanging="216"/>
              <w:rPr>
                <w:szCs w:val="18"/>
                <w:lang w:val="en-GB" w:eastAsia="en-GB"/>
              </w:rPr>
            </w:pPr>
            <w:r w:rsidRPr="0063360C">
              <w:rPr>
                <w:szCs w:val="18"/>
                <w:lang w:val="en-GB" w:eastAsia="en-GB"/>
              </w:rPr>
              <w:t>Analysis of legal requirements for reporting compromises.</w:t>
            </w:r>
          </w:p>
          <w:p w:rsidR="003820D9" w:rsidRPr="0063360C" w:rsidRDefault="003820D9" w:rsidP="008E05F8">
            <w:pPr>
              <w:pStyle w:val="tabletextbullet2"/>
              <w:spacing w:after="40"/>
              <w:ind w:left="576" w:hanging="216"/>
              <w:rPr>
                <w:szCs w:val="18"/>
                <w:lang w:val="en-GB" w:eastAsia="en-GB"/>
              </w:rPr>
            </w:pPr>
            <w:r w:rsidRPr="0063360C">
              <w:rPr>
                <w:szCs w:val="18"/>
                <w:lang w:val="en-GB" w:eastAsia="en-GB"/>
              </w:rPr>
              <w:t>Coverage for all critical system components.</w:t>
            </w:r>
          </w:p>
          <w:p w:rsidR="003820D9" w:rsidRPr="0063360C" w:rsidRDefault="003820D9" w:rsidP="008E05F8">
            <w:pPr>
              <w:pStyle w:val="tabletextbullet2"/>
              <w:spacing w:after="40"/>
              <w:ind w:left="576" w:hanging="216"/>
              <w:rPr>
                <w:szCs w:val="18"/>
                <w:lang w:val="en-GB" w:eastAsia="en-GB"/>
              </w:rPr>
            </w:pPr>
            <w:r w:rsidRPr="0063360C">
              <w:rPr>
                <w:szCs w:val="18"/>
                <w:lang w:val="en-GB" w:eastAsia="en-GB"/>
              </w:rPr>
              <w:t>Responses for all critical system components.</w:t>
            </w:r>
          </w:p>
          <w:p w:rsidR="003820D9" w:rsidRPr="0063360C" w:rsidRDefault="003820D9" w:rsidP="008E05F8">
            <w:pPr>
              <w:pStyle w:val="tabletextbullet2"/>
              <w:spacing w:after="40"/>
              <w:ind w:left="576" w:hanging="216"/>
              <w:rPr>
                <w:szCs w:val="18"/>
                <w:lang w:val="en-GB" w:eastAsia="en-GB"/>
              </w:rPr>
            </w:pPr>
            <w:r w:rsidRPr="0063360C">
              <w:rPr>
                <w:szCs w:val="18"/>
              </w:rPr>
              <w:t>Reference or inclusion of incident response procedures from the payment brands.</w:t>
            </w:r>
          </w:p>
        </w:tc>
        <w:tc>
          <w:tcPr>
            <w:tcW w:w="2820" w:type="dxa"/>
          </w:tcPr>
          <w:p w:rsidR="003820D9" w:rsidRPr="0063360C" w:rsidRDefault="003820D9" w:rsidP="008E05F8">
            <w:pPr>
              <w:spacing w:before="40" w:after="40"/>
              <w:rPr>
                <w:rFonts w:cs="Arial"/>
                <w:b/>
                <w:sz w:val="18"/>
                <w:szCs w:val="18"/>
              </w:rPr>
            </w:pPr>
          </w:p>
        </w:tc>
        <w:tc>
          <w:tcPr>
            <w:tcW w:w="2482" w:type="dxa"/>
            <w:gridSpan w:val="2"/>
          </w:tcPr>
          <w:p w:rsidR="003820D9" w:rsidRPr="0063360C" w:rsidRDefault="003820D9" w:rsidP="008E05F8">
            <w:pPr>
              <w:spacing w:before="40" w:after="40"/>
              <w:rPr>
                <w:rFonts w:cs="Arial"/>
                <w:b/>
                <w:color w:val="00B050"/>
                <w:sz w:val="18"/>
                <w:szCs w:val="18"/>
              </w:rPr>
            </w:pPr>
          </w:p>
        </w:tc>
      </w:tr>
    </w:tbl>
    <w:p w:rsidR="004267DD" w:rsidRPr="0063360C" w:rsidRDefault="004267DD" w:rsidP="004A2572">
      <w:pPr>
        <w:rPr>
          <w:rFonts w:ascii="Arial" w:hAnsi="Arial" w:cs="Arial"/>
        </w:rPr>
      </w:pPr>
    </w:p>
    <w:sectPr w:rsidR="004267DD" w:rsidRPr="0063360C" w:rsidSect="00EB530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Frutiger 45 Light">
    <w:altName w:val="Times New Roman"/>
    <w:panose1 w:val="00000000000000000000"/>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131C9002"/>
    <w:lvl w:ilvl="0">
      <w:start w:val="1"/>
      <w:numFmt w:val="bullet"/>
      <w:pStyle w:val="ListBullet5"/>
      <w:lvlText w:val=""/>
      <w:lvlJc w:val="left"/>
      <w:pPr>
        <w:tabs>
          <w:tab w:val="num" w:pos="1800"/>
        </w:tabs>
        <w:ind w:left="1800" w:hanging="360"/>
      </w:pPr>
      <w:rPr>
        <w:rFonts w:ascii="Symbol" w:hAnsi="Symbol" w:hint="default"/>
      </w:rPr>
    </w:lvl>
  </w:abstractNum>
  <w:abstractNum w:abstractNumId="1">
    <w:nsid w:val="FFFFFF82"/>
    <w:multiLevelType w:val="singleLevel"/>
    <w:tmpl w:val="A630263A"/>
    <w:lvl w:ilvl="0">
      <w:start w:val="1"/>
      <w:numFmt w:val="bullet"/>
      <w:pStyle w:val="ListBullet3"/>
      <w:lvlText w:val=""/>
      <w:lvlJc w:val="left"/>
      <w:pPr>
        <w:tabs>
          <w:tab w:val="num" w:pos="1080"/>
        </w:tabs>
        <w:ind w:left="1080" w:hanging="360"/>
      </w:pPr>
      <w:rPr>
        <w:rFonts w:ascii="Symbol" w:hAnsi="Symbol" w:hint="default"/>
      </w:rPr>
    </w:lvl>
  </w:abstractNum>
  <w:abstractNum w:abstractNumId="2">
    <w:nsid w:val="FFFFFF83"/>
    <w:multiLevelType w:val="singleLevel"/>
    <w:tmpl w:val="709A3C32"/>
    <w:lvl w:ilvl="0">
      <w:start w:val="1"/>
      <w:numFmt w:val="bullet"/>
      <w:pStyle w:val="ListBullet2"/>
      <w:lvlText w:val=""/>
      <w:lvlJc w:val="left"/>
      <w:pPr>
        <w:tabs>
          <w:tab w:val="num" w:pos="720"/>
        </w:tabs>
        <w:ind w:left="720" w:hanging="360"/>
      </w:pPr>
      <w:rPr>
        <w:rFonts w:ascii="Symbol" w:hAnsi="Symbol" w:hint="default"/>
      </w:rPr>
    </w:lvl>
  </w:abstractNum>
  <w:abstractNum w:abstractNumId="3">
    <w:nsid w:val="01CE64C2"/>
    <w:multiLevelType w:val="hybridMultilevel"/>
    <w:tmpl w:val="2E2A7112"/>
    <w:lvl w:ilvl="0" w:tplc="06149C62">
      <w:start w:val="1"/>
      <w:numFmt w:val="bullet"/>
      <w:pStyle w:val="tabletextbullet2"/>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9A3B4D"/>
    <w:multiLevelType w:val="multilevel"/>
    <w:tmpl w:val="D888733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0ABD2AF3"/>
    <w:multiLevelType w:val="multilevel"/>
    <w:tmpl w:val="D888733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0C7630D4"/>
    <w:multiLevelType w:val="multilevel"/>
    <w:tmpl w:val="2026D8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0F961187"/>
    <w:multiLevelType w:val="hybridMultilevel"/>
    <w:tmpl w:val="4C444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C75BB8"/>
    <w:multiLevelType w:val="hybridMultilevel"/>
    <w:tmpl w:val="CBBA5688"/>
    <w:styleLink w:val="Style22"/>
    <w:lvl w:ilvl="0" w:tplc="1960DB4C">
      <w:start w:val="1"/>
      <w:numFmt w:val="bullet"/>
      <w:pStyle w:val="table111bullet"/>
      <w:lvlText w:val=""/>
      <w:lvlJc w:val="left"/>
      <w:pPr>
        <w:tabs>
          <w:tab w:val="num" w:pos="216"/>
        </w:tabs>
        <w:ind w:left="216" w:hanging="216"/>
      </w:pPr>
      <w:rPr>
        <w:rFonts w:ascii="Symbol" w:hAnsi="Symbol" w:hint="default"/>
        <w:color w:val="auto"/>
        <w:sz w:val="18"/>
      </w:rPr>
    </w:lvl>
    <w:lvl w:ilvl="1" w:tplc="04090019" w:tentative="1">
      <w:start w:val="1"/>
      <w:numFmt w:val="bullet"/>
      <w:lvlText w:val="o"/>
      <w:lvlJc w:val="left"/>
      <w:pPr>
        <w:ind w:left="1495" w:hanging="360"/>
      </w:pPr>
      <w:rPr>
        <w:rFonts w:ascii="Courier New" w:hAnsi="Courier New" w:hint="default"/>
      </w:rPr>
    </w:lvl>
    <w:lvl w:ilvl="2" w:tplc="0409001B" w:tentative="1">
      <w:start w:val="1"/>
      <w:numFmt w:val="bullet"/>
      <w:lvlText w:val=""/>
      <w:lvlJc w:val="left"/>
      <w:pPr>
        <w:ind w:left="2215" w:hanging="360"/>
      </w:pPr>
      <w:rPr>
        <w:rFonts w:ascii="Wingdings" w:hAnsi="Wingdings" w:hint="default"/>
      </w:rPr>
    </w:lvl>
    <w:lvl w:ilvl="3" w:tplc="0409000F" w:tentative="1">
      <w:start w:val="1"/>
      <w:numFmt w:val="bullet"/>
      <w:lvlText w:val=""/>
      <w:lvlJc w:val="left"/>
      <w:pPr>
        <w:ind w:left="2935" w:hanging="360"/>
      </w:pPr>
      <w:rPr>
        <w:rFonts w:ascii="Symbol" w:hAnsi="Symbol" w:hint="default"/>
      </w:rPr>
    </w:lvl>
    <w:lvl w:ilvl="4" w:tplc="04090019" w:tentative="1">
      <w:start w:val="1"/>
      <w:numFmt w:val="bullet"/>
      <w:lvlText w:val="o"/>
      <w:lvlJc w:val="left"/>
      <w:pPr>
        <w:ind w:left="3655" w:hanging="360"/>
      </w:pPr>
      <w:rPr>
        <w:rFonts w:ascii="Courier New" w:hAnsi="Courier New" w:hint="default"/>
      </w:rPr>
    </w:lvl>
    <w:lvl w:ilvl="5" w:tplc="0409001B" w:tentative="1">
      <w:start w:val="1"/>
      <w:numFmt w:val="bullet"/>
      <w:lvlText w:val=""/>
      <w:lvlJc w:val="left"/>
      <w:pPr>
        <w:ind w:left="4375" w:hanging="360"/>
      </w:pPr>
      <w:rPr>
        <w:rFonts w:ascii="Wingdings" w:hAnsi="Wingdings" w:hint="default"/>
      </w:rPr>
    </w:lvl>
    <w:lvl w:ilvl="6" w:tplc="0409000F" w:tentative="1">
      <w:start w:val="1"/>
      <w:numFmt w:val="bullet"/>
      <w:lvlText w:val=""/>
      <w:lvlJc w:val="left"/>
      <w:pPr>
        <w:ind w:left="5095" w:hanging="360"/>
      </w:pPr>
      <w:rPr>
        <w:rFonts w:ascii="Symbol" w:hAnsi="Symbol" w:hint="default"/>
      </w:rPr>
    </w:lvl>
    <w:lvl w:ilvl="7" w:tplc="04090019" w:tentative="1">
      <w:start w:val="1"/>
      <w:numFmt w:val="bullet"/>
      <w:lvlText w:val="o"/>
      <w:lvlJc w:val="left"/>
      <w:pPr>
        <w:ind w:left="5815" w:hanging="360"/>
      </w:pPr>
      <w:rPr>
        <w:rFonts w:ascii="Courier New" w:hAnsi="Courier New" w:hint="default"/>
      </w:rPr>
    </w:lvl>
    <w:lvl w:ilvl="8" w:tplc="0409001B" w:tentative="1">
      <w:start w:val="1"/>
      <w:numFmt w:val="bullet"/>
      <w:lvlText w:val=""/>
      <w:lvlJc w:val="left"/>
      <w:pPr>
        <w:ind w:left="6535" w:hanging="360"/>
      </w:pPr>
      <w:rPr>
        <w:rFonts w:ascii="Wingdings" w:hAnsi="Wingdings" w:hint="default"/>
      </w:rPr>
    </w:lvl>
  </w:abstractNum>
  <w:abstractNum w:abstractNumId="9">
    <w:nsid w:val="19062DF3"/>
    <w:multiLevelType w:val="multilevel"/>
    <w:tmpl w:val="D888733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1F99643B"/>
    <w:multiLevelType w:val="hybridMultilevel"/>
    <w:tmpl w:val="A28AFF92"/>
    <w:lvl w:ilvl="0" w:tplc="0AA4B2E0">
      <w:numFmt w:val="bullet"/>
      <w:lvlText w:val="•"/>
      <w:lvlJc w:val="left"/>
      <w:pPr>
        <w:ind w:left="1080" w:hanging="720"/>
      </w:pPr>
      <w:rPr>
        <w:rFonts w:ascii="Calibri" w:eastAsia="Calibri" w:hAnsi="Calibri"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FB54C9"/>
    <w:multiLevelType w:val="multilevel"/>
    <w:tmpl w:val="D888733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26386012"/>
    <w:multiLevelType w:val="multilevel"/>
    <w:tmpl w:val="D1DEA7C0"/>
    <w:styleLink w:val="LFO14"/>
    <w:lvl w:ilvl="0">
      <w:numFmt w:val="bullet"/>
      <w:lvlText w:val=""/>
      <w:lvlJc w:val="left"/>
      <w:pPr>
        <w:ind w:left="288" w:hanging="288"/>
      </w:pPr>
      <w:rPr>
        <w:rFonts w:ascii="Wingdings" w:hAnsi="Wingdings"/>
      </w:rPr>
    </w:lvl>
    <w:lvl w:ilvl="1">
      <w:numFmt w:val="bullet"/>
      <w:lvlText w:val=""/>
      <w:lvlJc w:val="left"/>
      <w:pPr>
        <w:ind w:left="1440" w:hanging="360"/>
      </w:pPr>
      <w:rPr>
        <w:rFonts w:ascii="Symbol" w:hAnsi="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Garamond"/>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Garamond"/>
      </w:rPr>
    </w:lvl>
    <w:lvl w:ilvl="8">
      <w:numFmt w:val="bullet"/>
      <w:lvlText w:val=""/>
      <w:lvlJc w:val="left"/>
      <w:pPr>
        <w:ind w:left="6480" w:hanging="360"/>
      </w:pPr>
      <w:rPr>
        <w:rFonts w:ascii="Wingdings" w:hAnsi="Wingdings"/>
      </w:rPr>
    </w:lvl>
  </w:abstractNum>
  <w:abstractNum w:abstractNumId="13">
    <w:nsid w:val="291416CA"/>
    <w:multiLevelType w:val="multilevel"/>
    <w:tmpl w:val="2026D8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2EA4057C"/>
    <w:multiLevelType w:val="hybridMultilevel"/>
    <w:tmpl w:val="1F3A7F90"/>
    <w:lvl w:ilvl="0" w:tplc="84C4D858">
      <w:start w:val="1"/>
      <w:numFmt w:val="bullet"/>
      <w:pStyle w:val="table11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2B2A43"/>
    <w:multiLevelType w:val="multilevel"/>
    <w:tmpl w:val="D888733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386F4AFA"/>
    <w:multiLevelType w:val="multilevel"/>
    <w:tmpl w:val="2026D8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3FC47605"/>
    <w:multiLevelType w:val="multilevel"/>
    <w:tmpl w:val="D888733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454B161D"/>
    <w:multiLevelType w:val="multilevel"/>
    <w:tmpl w:val="2026D8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48FE7102"/>
    <w:multiLevelType w:val="hybridMultilevel"/>
    <w:tmpl w:val="5BE4AF66"/>
    <w:lvl w:ilvl="0" w:tplc="1AAE072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0657F4"/>
    <w:multiLevelType w:val="multilevel"/>
    <w:tmpl w:val="E5F69CBC"/>
    <w:styleLink w:val="LFO23"/>
    <w:lvl w:ilvl="0">
      <w:numFmt w:val="bullet"/>
      <w:pStyle w:val="tabletextbullet3"/>
      <w:lvlText w:val="-"/>
      <w:lvlJc w:val="left"/>
      <w:pPr>
        <w:ind w:left="576" w:hanging="288"/>
      </w:pPr>
      <w:rPr>
        <w:rFonts w:ascii="Courier New" w:hAnsi="Courier New"/>
        <w:sz w:val="18"/>
        <w:szCs w:val="18"/>
      </w:rPr>
    </w:lvl>
    <w:lvl w:ilvl="1">
      <w:numFmt w:val="bullet"/>
      <w:lvlText w:val="o"/>
      <w:lvlJc w:val="left"/>
      <w:pPr>
        <w:ind w:left="2028" w:hanging="360"/>
      </w:pPr>
      <w:rPr>
        <w:rFonts w:ascii="Courier New" w:hAnsi="Courier New"/>
      </w:rPr>
    </w:lvl>
    <w:lvl w:ilvl="2">
      <w:numFmt w:val="bullet"/>
      <w:lvlText w:val=""/>
      <w:lvlJc w:val="left"/>
      <w:pPr>
        <w:ind w:left="2748" w:hanging="360"/>
      </w:pPr>
      <w:rPr>
        <w:rFonts w:ascii="Wingdings" w:hAnsi="Wingdings"/>
      </w:rPr>
    </w:lvl>
    <w:lvl w:ilvl="3">
      <w:numFmt w:val="bullet"/>
      <w:lvlText w:val=""/>
      <w:lvlJc w:val="left"/>
      <w:pPr>
        <w:ind w:left="3468" w:hanging="360"/>
      </w:pPr>
      <w:rPr>
        <w:rFonts w:ascii="Symbol" w:hAnsi="Symbol"/>
      </w:rPr>
    </w:lvl>
    <w:lvl w:ilvl="4">
      <w:numFmt w:val="bullet"/>
      <w:lvlText w:val="o"/>
      <w:lvlJc w:val="left"/>
      <w:pPr>
        <w:ind w:left="4188" w:hanging="360"/>
      </w:pPr>
      <w:rPr>
        <w:rFonts w:ascii="Courier New" w:hAnsi="Courier New"/>
      </w:rPr>
    </w:lvl>
    <w:lvl w:ilvl="5">
      <w:numFmt w:val="bullet"/>
      <w:lvlText w:val=""/>
      <w:lvlJc w:val="left"/>
      <w:pPr>
        <w:ind w:left="4908" w:hanging="360"/>
      </w:pPr>
      <w:rPr>
        <w:rFonts w:ascii="Wingdings" w:hAnsi="Wingdings"/>
      </w:rPr>
    </w:lvl>
    <w:lvl w:ilvl="6">
      <w:numFmt w:val="bullet"/>
      <w:lvlText w:val=""/>
      <w:lvlJc w:val="left"/>
      <w:pPr>
        <w:ind w:left="5628" w:hanging="360"/>
      </w:pPr>
      <w:rPr>
        <w:rFonts w:ascii="Symbol" w:hAnsi="Symbol"/>
      </w:rPr>
    </w:lvl>
    <w:lvl w:ilvl="7">
      <w:numFmt w:val="bullet"/>
      <w:lvlText w:val="o"/>
      <w:lvlJc w:val="left"/>
      <w:pPr>
        <w:ind w:left="6348" w:hanging="360"/>
      </w:pPr>
      <w:rPr>
        <w:rFonts w:ascii="Courier New" w:hAnsi="Courier New"/>
      </w:rPr>
    </w:lvl>
    <w:lvl w:ilvl="8">
      <w:numFmt w:val="bullet"/>
      <w:lvlText w:val=""/>
      <w:lvlJc w:val="left"/>
      <w:pPr>
        <w:ind w:left="7068" w:hanging="360"/>
      </w:pPr>
      <w:rPr>
        <w:rFonts w:ascii="Wingdings" w:hAnsi="Wingdings"/>
      </w:rPr>
    </w:lvl>
  </w:abstractNum>
  <w:abstractNum w:abstractNumId="21">
    <w:nsid w:val="4C43709B"/>
    <w:multiLevelType w:val="multilevel"/>
    <w:tmpl w:val="D888733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4D7011F8"/>
    <w:multiLevelType w:val="hybridMultilevel"/>
    <w:tmpl w:val="74D470A0"/>
    <w:lvl w:ilvl="0" w:tplc="1AAE072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A35F1D"/>
    <w:multiLevelType w:val="multilevel"/>
    <w:tmpl w:val="2026D8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50F2104F"/>
    <w:multiLevelType w:val="hybridMultilevel"/>
    <w:tmpl w:val="6ECAD92E"/>
    <w:lvl w:ilvl="0" w:tplc="678843C6">
      <w:start w:val="1"/>
      <w:numFmt w:val="bullet"/>
      <w:pStyle w:val="TableTextBullet"/>
      <w:lvlText w:val=""/>
      <w:lvlJc w:val="left"/>
      <w:pPr>
        <w:tabs>
          <w:tab w:val="num" w:pos="288"/>
        </w:tabs>
        <w:ind w:left="288" w:hanging="288"/>
      </w:pPr>
      <w:rPr>
        <w:rFonts w:ascii="Wingdings" w:hAnsi="Wingdings"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5">
    <w:nsid w:val="515D12AD"/>
    <w:multiLevelType w:val="multilevel"/>
    <w:tmpl w:val="D888733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588C28D9"/>
    <w:multiLevelType w:val="hybridMultilevel"/>
    <w:tmpl w:val="AEC41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B31C49"/>
    <w:multiLevelType w:val="hybridMultilevel"/>
    <w:tmpl w:val="9AE83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207FD4"/>
    <w:multiLevelType w:val="multilevel"/>
    <w:tmpl w:val="4998C51A"/>
    <w:styleLink w:val="LFO3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9">
    <w:nsid w:val="60F572F5"/>
    <w:multiLevelType w:val="multilevel"/>
    <w:tmpl w:val="CCF675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nsid w:val="66286AD0"/>
    <w:multiLevelType w:val="hybridMultilevel"/>
    <w:tmpl w:val="1C425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F34C65"/>
    <w:multiLevelType w:val="hybridMultilevel"/>
    <w:tmpl w:val="89446866"/>
    <w:lvl w:ilvl="0" w:tplc="B16C0AC2">
      <w:start w:val="1"/>
      <w:numFmt w:val="bullet"/>
      <w:pStyle w:val="table11bullet2"/>
      <w:lvlText w:val="-"/>
      <w:lvlJc w:val="left"/>
      <w:pPr>
        <w:ind w:left="576" w:hanging="288"/>
      </w:pPr>
      <w:rPr>
        <w:rFonts w:ascii="Courier New" w:hAnsi="Courier New" w:hint="default"/>
        <w:sz w:val="18"/>
        <w:szCs w:val="18"/>
      </w:rPr>
    </w:lvl>
    <w:lvl w:ilvl="1" w:tplc="04090003" w:tentative="1">
      <w:start w:val="1"/>
      <w:numFmt w:val="bullet"/>
      <w:lvlText w:val="o"/>
      <w:lvlJc w:val="left"/>
      <w:pPr>
        <w:ind w:left="2028" w:hanging="360"/>
      </w:pPr>
      <w:rPr>
        <w:rFonts w:ascii="Courier New" w:hAnsi="Courier New" w:hint="default"/>
      </w:rPr>
    </w:lvl>
    <w:lvl w:ilvl="2" w:tplc="04090005" w:tentative="1">
      <w:start w:val="1"/>
      <w:numFmt w:val="bullet"/>
      <w:lvlText w:val=""/>
      <w:lvlJc w:val="left"/>
      <w:pPr>
        <w:ind w:left="2748" w:hanging="360"/>
      </w:pPr>
      <w:rPr>
        <w:rFonts w:ascii="Wingdings" w:hAnsi="Wingdings" w:hint="default"/>
      </w:rPr>
    </w:lvl>
    <w:lvl w:ilvl="3" w:tplc="04090001" w:tentative="1">
      <w:start w:val="1"/>
      <w:numFmt w:val="bullet"/>
      <w:lvlText w:val=""/>
      <w:lvlJc w:val="left"/>
      <w:pPr>
        <w:ind w:left="3468" w:hanging="360"/>
      </w:pPr>
      <w:rPr>
        <w:rFonts w:ascii="Symbol" w:hAnsi="Symbol" w:hint="default"/>
      </w:rPr>
    </w:lvl>
    <w:lvl w:ilvl="4" w:tplc="04090003" w:tentative="1">
      <w:start w:val="1"/>
      <w:numFmt w:val="bullet"/>
      <w:lvlText w:val="o"/>
      <w:lvlJc w:val="left"/>
      <w:pPr>
        <w:ind w:left="4188" w:hanging="360"/>
      </w:pPr>
      <w:rPr>
        <w:rFonts w:ascii="Courier New" w:hAnsi="Courier New" w:hint="default"/>
      </w:rPr>
    </w:lvl>
    <w:lvl w:ilvl="5" w:tplc="04090005" w:tentative="1">
      <w:start w:val="1"/>
      <w:numFmt w:val="bullet"/>
      <w:lvlText w:val=""/>
      <w:lvlJc w:val="left"/>
      <w:pPr>
        <w:ind w:left="4908" w:hanging="360"/>
      </w:pPr>
      <w:rPr>
        <w:rFonts w:ascii="Wingdings" w:hAnsi="Wingdings" w:hint="default"/>
      </w:rPr>
    </w:lvl>
    <w:lvl w:ilvl="6" w:tplc="04090001" w:tentative="1">
      <w:start w:val="1"/>
      <w:numFmt w:val="bullet"/>
      <w:lvlText w:val=""/>
      <w:lvlJc w:val="left"/>
      <w:pPr>
        <w:ind w:left="5628" w:hanging="360"/>
      </w:pPr>
      <w:rPr>
        <w:rFonts w:ascii="Symbol" w:hAnsi="Symbol" w:hint="default"/>
      </w:rPr>
    </w:lvl>
    <w:lvl w:ilvl="7" w:tplc="04090003" w:tentative="1">
      <w:start w:val="1"/>
      <w:numFmt w:val="bullet"/>
      <w:lvlText w:val="o"/>
      <w:lvlJc w:val="left"/>
      <w:pPr>
        <w:ind w:left="6348" w:hanging="360"/>
      </w:pPr>
      <w:rPr>
        <w:rFonts w:ascii="Courier New" w:hAnsi="Courier New" w:hint="default"/>
      </w:rPr>
    </w:lvl>
    <w:lvl w:ilvl="8" w:tplc="04090005" w:tentative="1">
      <w:start w:val="1"/>
      <w:numFmt w:val="bullet"/>
      <w:lvlText w:val=""/>
      <w:lvlJc w:val="left"/>
      <w:pPr>
        <w:ind w:left="7068" w:hanging="360"/>
      </w:pPr>
      <w:rPr>
        <w:rFonts w:ascii="Wingdings" w:hAnsi="Wingdings" w:hint="default"/>
      </w:rPr>
    </w:lvl>
  </w:abstractNum>
  <w:abstractNum w:abstractNumId="32">
    <w:nsid w:val="76F43369"/>
    <w:multiLevelType w:val="multilevel"/>
    <w:tmpl w:val="2026D8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24"/>
  </w:num>
  <w:num w:numId="3">
    <w:abstractNumId w:val="10"/>
  </w:num>
  <w:num w:numId="4">
    <w:abstractNumId w:val="3"/>
  </w:num>
  <w:num w:numId="5">
    <w:abstractNumId w:val="28"/>
    <w:lvlOverride w:ilvl="0">
      <w:lvl w:ilvl="0">
        <w:numFmt w:val="bullet"/>
        <w:lvlText w:val=""/>
        <w:lvlJc w:val="left"/>
        <w:pPr>
          <w:ind w:left="720" w:hanging="360"/>
        </w:pPr>
        <w:rPr>
          <w:rFonts w:ascii="Symbol" w:hAnsi="Symbol"/>
          <w:color w:val="auto"/>
        </w:rPr>
      </w:lvl>
    </w:lvlOverride>
  </w:num>
  <w:num w:numId="6">
    <w:abstractNumId w:val="28"/>
  </w:num>
  <w:num w:numId="7">
    <w:abstractNumId w:val="13"/>
  </w:num>
  <w:num w:numId="8">
    <w:abstractNumId w:val="27"/>
  </w:num>
  <w:num w:numId="9">
    <w:abstractNumId w:val="8"/>
  </w:num>
  <w:num w:numId="10">
    <w:abstractNumId w:val="26"/>
  </w:num>
  <w:num w:numId="11">
    <w:abstractNumId w:val="32"/>
  </w:num>
  <w:num w:numId="12">
    <w:abstractNumId w:val="14"/>
  </w:num>
  <w:num w:numId="13">
    <w:abstractNumId w:val="7"/>
  </w:num>
  <w:num w:numId="14">
    <w:abstractNumId w:val="6"/>
  </w:num>
  <w:num w:numId="15">
    <w:abstractNumId w:val="18"/>
  </w:num>
  <w:num w:numId="16">
    <w:abstractNumId w:val="12"/>
  </w:num>
  <w:num w:numId="17">
    <w:abstractNumId w:val="28"/>
  </w:num>
  <w:num w:numId="18">
    <w:abstractNumId w:val="12"/>
  </w:num>
  <w:num w:numId="19">
    <w:abstractNumId w:val="20"/>
  </w:num>
  <w:num w:numId="20">
    <w:abstractNumId w:val="20"/>
  </w:num>
  <w:num w:numId="21">
    <w:abstractNumId w:val="23"/>
  </w:num>
  <w:num w:numId="22">
    <w:abstractNumId w:val="16"/>
  </w:num>
  <w:num w:numId="23">
    <w:abstractNumId w:val="5"/>
  </w:num>
  <w:num w:numId="24">
    <w:abstractNumId w:val="15"/>
  </w:num>
  <w:num w:numId="25">
    <w:abstractNumId w:val="9"/>
  </w:num>
  <w:num w:numId="26">
    <w:abstractNumId w:val="21"/>
  </w:num>
  <w:num w:numId="27">
    <w:abstractNumId w:val="4"/>
  </w:num>
  <w:num w:numId="28">
    <w:abstractNumId w:val="25"/>
  </w:num>
  <w:num w:numId="29">
    <w:abstractNumId w:val="11"/>
  </w:num>
  <w:num w:numId="30">
    <w:abstractNumId w:val="17"/>
  </w:num>
  <w:num w:numId="31">
    <w:abstractNumId w:val="22"/>
  </w:num>
  <w:num w:numId="32">
    <w:abstractNumId w:val="19"/>
  </w:num>
  <w:num w:numId="33">
    <w:abstractNumId w:val="2"/>
  </w:num>
  <w:num w:numId="34">
    <w:abstractNumId w:val="31"/>
  </w:num>
  <w:num w:numId="35">
    <w:abstractNumId w:val="29"/>
  </w:num>
  <w:num w:numId="36">
    <w:abstractNumId w:val="1"/>
  </w:num>
  <w:num w:numId="37">
    <w:abstractNumId w:val="30"/>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FB9"/>
    <w:rsid w:val="00015FB9"/>
    <w:rsid w:val="000722E5"/>
    <w:rsid w:val="000A4A5D"/>
    <w:rsid w:val="000B1E05"/>
    <w:rsid w:val="000F4E35"/>
    <w:rsid w:val="000F5E7A"/>
    <w:rsid w:val="00102676"/>
    <w:rsid w:val="001A1DF1"/>
    <w:rsid w:val="001A5304"/>
    <w:rsid w:val="001B35BC"/>
    <w:rsid w:val="001D3EF8"/>
    <w:rsid w:val="001E33FA"/>
    <w:rsid w:val="002118B7"/>
    <w:rsid w:val="002522B1"/>
    <w:rsid w:val="002752DC"/>
    <w:rsid w:val="002D5461"/>
    <w:rsid w:val="00307826"/>
    <w:rsid w:val="00345BDD"/>
    <w:rsid w:val="003820D9"/>
    <w:rsid w:val="00387458"/>
    <w:rsid w:val="00393D5C"/>
    <w:rsid w:val="003C619F"/>
    <w:rsid w:val="003E6F6C"/>
    <w:rsid w:val="00404D45"/>
    <w:rsid w:val="004137AC"/>
    <w:rsid w:val="004267DD"/>
    <w:rsid w:val="00442272"/>
    <w:rsid w:val="00473F90"/>
    <w:rsid w:val="00481029"/>
    <w:rsid w:val="004977D9"/>
    <w:rsid w:val="004A2572"/>
    <w:rsid w:val="004E0086"/>
    <w:rsid w:val="004E09AD"/>
    <w:rsid w:val="004F5638"/>
    <w:rsid w:val="005123D4"/>
    <w:rsid w:val="00530FB0"/>
    <w:rsid w:val="005657D3"/>
    <w:rsid w:val="0057443F"/>
    <w:rsid w:val="0061116E"/>
    <w:rsid w:val="00613538"/>
    <w:rsid w:val="0063360C"/>
    <w:rsid w:val="00635D86"/>
    <w:rsid w:val="00652473"/>
    <w:rsid w:val="00657148"/>
    <w:rsid w:val="006750A1"/>
    <w:rsid w:val="00681073"/>
    <w:rsid w:val="006C1A95"/>
    <w:rsid w:val="007231EB"/>
    <w:rsid w:val="00731053"/>
    <w:rsid w:val="00766AF4"/>
    <w:rsid w:val="007A1DD0"/>
    <w:rsid w:val="007A66A5"/>
    <w:rsid w:val="007C6362"/>
    <w:rsid w:val="008E05F8"/>
    <w:rsid w:val="008E505E"/>
    <w:rsid w:val="008F1091"/>
    <w:rsid w:val="008F677C"/>
    <w:rsid w:val="009375EF"/>
    <w:rsid w:val="009611AB"/>
    <w:rsid w:val="009814E5"/>
    <w:rsid w:val="009C29C3"/>
    <w:rsid w:val="009E4C1C"/>
    <w:rsid w:val="009E51BD"/>
    <w:rsid w:val="009F59C7"/>
    <w:rsid w:val="00A87096"/>
    <w:rsid w:val="00AD52C1"/>
    <w:rsid w:val="00B126CF"/>
    <w:rsid w:val="00B67631"/>
    <w:rsid w:val="00BC596C"/>
    <w:rsid w:val="00BC60DE"/>
    <w:rsid w:val="00C2371B"/>
    <w:rsid w:val="00C316C0"/>
    <w:rsid w:val="00C32402"/>
    <w:rsid w:val="00CA7A8A"/>
    <w:rsid w:val="00D24CD4"/>
    <w:rsid w:val="00D53377"/>
    <w:rsid w:val="00DB63B5"/>
    <w:rsid w:val="00E01E50"/>
    <w:rsid w:val="00E17DC5"/>
    <w:rsid w:val="00E20F59"/>
    <w:rsid w:val="00E2245B"/>
    <w:rsid w:val="00E56D01"/>
    <w:rsid w:val="00EB5309"/>
    <w:rsid w:val="00EE2077"/>
    <w:rsid w:val="00EE5499"/>
    <w:rsid w:val="00EF4881"/>
    <w:rsid w:val="00F0450F"/>
    <w:rsid w:val="00F06B38"/>
    <w:rsid w:val="00F422C2"/>
    <w:rsid w:val="00F423F8"/>
    <w:rsid w:val="00F66A68"/>
    <w:rsid w:val="00FA1282"/>
    <w:rsid w:val="00FD29C3"/>
    <w:rsid w:val="00FE2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6DBE4A-9F22-443E-B8DF-D7D6FB22A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2">
    <w:name w:val="heading 2"/>
    <w:aliases w:val="Resume Head,Reset numbering,Major,h2,Level 1 Heading,Level 1,l2,H2,2,2 headline,h,DTS Section,Attribute Heading 2,headline,Subsection,L2,Level 2 Topic Heading,Heading B,H21,Le,Heading2,H2-Sec. Head,h headline,oh,Heading 12,heading 2,Heading 11"/>
    <w:basedOn w:val="Normal"/>
    <w:next w:val="Normal"/>
    <w:link w:val="Heading2Char"/>
    <w:unhideWhenUsed/>
    <w:qFormat/>
    <w:rsid w:val="00EB5309"/>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aliases w:val="h3,Task,Tsk,Function header 3,Function header 31,Function header 32,Function header 33,Function header 34,Function header 311,Function header 321,Function header 35,Function header 312,Function header 322,Function header 36,Function header 313"/>
    <w:basedOn w:val="Normal"/>
    <w:next w:val="Normal"/>
    <w:link w:val="Heading3Char"/>
    <w:unhideWhenUsed/>
    <w:qFormat/>
    <w:rsid w:val="00EB5309"/>
    <w:pPr>
      <w:keepNext/>
      <w:keepLines/>
      <w:spacing w:before="200" w:after="0" w:line="276"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Resume Head Char,Reset numbering Char,Major Char,h2 Char,Level 1 Heading Char,Level 1 Char,l2 Char,H2 Char,2 Char,2 headline Char,h Char,DTS Section Char,Attribute Heading 2 Char,headline Char,Subsection Char,L2 Char,Heading B Char"/>
    <w:basedOn w:val="DefaultParagraphFont"/>
    <w:link w:val="Heading2"/>
    <w:rsid w:val="00EB5309"/>
    <w:rPr>
      <w:rFonts w:asciiTheme="majorHAnsi" w:eastAsiaTheme="majorEastAsia" w:hAnsiTheme="majorHAnsi" w:cstheme="majorBidi"/>
      <w:b/>
      <w:bCs/>
      <w:color w:val="5B9BD5" w:themeColor="accent1"/>
      <w:sz w:val="26"/>
      <w:szCs w:val="26"/>
    </w:rPr>
  </w:style>
  <w:style w:type="character" w:customStyle="1" w:styleId="Heading3Char">
    <w:name w:val="Heading 3 Char"/>
    <w:aliases w:val="h3 Char,Task Char,Tsk Char,Function header 3 Char,Function header 31 Char,Function header 32 Char,Function header 33 Char,Function header 34 Char,Function header 311 Char,Function header 321 Char,Function header 35 Char"/>
    <w:basedOn w:val="DefaultParagraphFont"/>
    <w:link w:val="Heading3"/>
    <w:rsid w:val="00EB5309"/>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EB5309"/>
    <w:pPr>
      <w:spacing w:after="200" w:line="276" w:lineRule="auto"/>
      <w:ind w:left="720"/>
      <w:contextualSpacing/>
    </w:pPr>
    <w:rPr>
      <w:rFonts w:eastAsiaTheme="minorEastAsia"/>
    </w:rPr>
  </w:style>
  <w:style w:type="paragraph" w:customStyle="1" w:styleId="TableTextBullet">
    <w:name w:val="Table Text Bullet"/>
    <w:basedOn w:val="Normal"/>
    <w:qFormat/>
    <w:locked/>
    <w:rsid w:val="00EB5309"/>
    <w:pPr>
      <w:numPr>
        <w:numId w:val="2"/>
      </w:numPr>
      <w:spacing w:before="60" w:after="40" w:line="264" w:lineRule="auto"/>
    </w:pPr>
    <w:rPr>
      <w:sz w:val="18"/>
    </w:rPr>
  </w:style>
  <w:style w:type="table" w:customStyle="1" w:styleId="TableGrid3">
    <w:name w:val="Table Grid3"/>
    <w:basedOn w:val="TableNormal"/>
    <w:next w:val="TableGrid"/>
    <w:uiPriority w:val="59"/>
    <w:rsid w:val="00EB5309"/>
    <w:pPr>
      <w:spacing w:after="0" w:line="240" w:lineRule="auto"/>
    </w:pPr>
    <w:rPr>
      <w:rFonts w:ascii="Arial" w:eastAsia="Calibri" w:hAnsi="Arial" w:cs="Times New Roman"/>
      <w:sz w:val="20"/>
      <w:szCs w:val="20"/>
      <w:lang w:val="sv-SE" w:eastAsia="sv-S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39"/>
    <w:rsid w:val="00EB53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bullet2">
    <w:name w:val="table text bullet 2"/>
    <w:basedOn w:val="Normal"/>
    <w:qFormat/>
    <w:rsid w:val="00EB5309"/>
    <w:pPr>
      <w:numPr>
        <w:numId w:val="4"/>
      </w:numPr>
      <w:spacing w:before="40" w:after="20" w:line="264" w:lineRule="auto"/>
    </w:pPr>
    <w:rPr>
      <w:iCs/>
      <w:sz w:val="18"/>
      <w:szCs w:val="20"/>
    </w:rPr>
  </w:style>
  <w:style w:type="numbering" w:customStyle="1" w:styleId="LFO39">
    <w:name w:val="LFO39"/>
    <w:basedOn w:val="NoList"/>
    <w:rsid w:val="00EB5309"/>
    <w:pPr>
      <w:numPr>
        <w:numId w:val="6"/>
      </w:numPr>
    </w:pPr>
  </w:style>
  <w:style w:type="paragraph" w:customStyle="1" w:styleId="table111bullet">
    <w:name w:val="table 1.1.1 bullet"/>
    <w:basedOn w:val="Normal"/>
    <w:qFormat/>
    <w:rsid w:val="00EB5309"/>
    <w:pPr>
      <w:numPr>
        <w:numId w:val="9"/>
      </w:numPr>
      <w:spacing w:before="20" w:after="20" w:line="264" w:lineRule="auto"/>
    </w:pPr>
    <w:rPr>
      <w:rFonts w:ascii="Arial" w:eastAsia="Cambria" w:hAnsi="Arial" w:cs="Arial"/>
      <w:sz w:val="18"/>
      <w:szCs w:val="18"/>
    </w:rPr>
  </w:style>
  <w:style w:type="paragraph" w:customStyle="1" w:styleId="Table111">
    <w:name w:val="Table 1.1.1"/>
    <w:basedOn w:val="Normal"/>
    <w:uiPriority w:val="99"/>
    <w:qFormat/>
    <w:rsid w:val="00EB5309"/>
    <w:pPr>
      <w:spacing w:before="60" w:after="40" w:line="264" w:lineRule="auto"/>
      <w:ind w:left="144"/>
    </w:pPr>
    <w:rPr>
      <w:rFonts w:ascii="Arial" w:eastAsia="Times New Roman" w:hAnsi="Arial" w:cs="Arial"/>
      <w:sz w:val="18"/>
      <w:szCs w:val="24"/>
    </w:rPr>
  </w:style>
  <w:style w:type="numbering" w:customStyle="1" w:styleId="Style22">
    <w:name w:val="Style22"/>
    <w:uiPriority w:val="99"/>
    <w:rsid w:val="00EB5309"/>
    <w:pPr>
      <w:numPr>
        <w:numId w:val="9"/>
      </w:numPr>
    </w:pPr>
  </w:style>
  <w:style w:type="paragraph" w:customStyle="1" w:styleId="Table11">
    <w:name w:val="Table 1.1"/>
    <w:basedOn w:val="Normal"/>
    <w:uiPriority w:val="99"/>
    <w:rsid w:val="005657D3"/>
    <w:pPr>
      <w:spacing w:before="60" w:after="80" w:line="264" w:lineRule="auto"/>
    </w:pPr>
    <w:rPr>
      <w:rFonts w:ascii="Arial" w:eastAsia="Cambria" w:hAnsi="Arial" w:cs="Arial"/>
      <w:sz w:val="18"/>
      <w:szCs w:val="18"/>
    </w:rPr>
  </w:style>
  <w:style w:type="paragraph" w:customStyle="1" w:styleId="table11bullet">
    <w:name w:val="table 1.1 bullet"/>
    <w:basedOn w:val="ListParagraph"/>
    <w:qFormat/>
    <w:rsid w:val="005657D3"/>
    <w:pPr>
      <w:numPr>
        <w:numId w:val="12"/>
      </w:numPr>
      <w:spacing w:before="40" w:after="40" w:line="264" w:lineRule="auto"/>
      <w:contextualSpacing w:val="0"/>
    </w:pPr>
    <w:rPr>
      <w:rFonts w:ascii="Arial" w:eastAsia="MS Mincho" w:hAnsi="Arial" w:cs="Arial"/>
      <w:sz w:val="18"/>
      <w:szCs w:val="18"/>
    </w:rPr>
  </w:style>
  <w:style w:type="character" w:styleId="Hyperlink">
    <w:name w:val="Hyperlink"/>
    <w:basedOn w:val="DefaultParagraphFont"/>
    <w:uiPriority w:val="99"/>
    <w:unhideWhenUsed/>
    <w:rsid w:val="00D53377"/>
    <w:rPr>
      <w:color w:val="0563C1" w:themeColor="hyperlink"/>
      <w:u w:val="single"/>
    </w:rPr>
  </w:style>
  <w:style w:type="character" w:customStyle="1" w:styleId="CSEmphasisTable">
    <w:name w:val="CS Emphasis Table"/>
    <w:basedOn w:val="DefaultParagraphFont"/>
    <w:rsid w:val="00D53377"/>
    <w:rPr>
      <w:rFonts w:ascii="Frutiger 45 Light" w:hAnsi="Frutiger 45 Light"/>
      <w:b/>
      <w:sz w:val="20"/>
    </w:rPr>
  </w:style>
  <w:style w:type="numbering" w:customStyle="1" w:styleId="LFO14">
    <w:name w:val="LFO14"/>
    <w:rsid w:val="004F5638"/>
    <w:pPr>
      <w:numPr>
        <w:numId w:val="16"/>
      </w:numPr>
    </w:pPr>
  </w:style>
  <w:style w:type="paragraph" w:customStyle="1" w:styleId="tabletextbullet3">
    <w:name w:val="table text bullet 3"/>
    <w:basedOn w:val="Normal"/>
    <w:qFormat/>
    <w:rsid w:val="00EF4881"/>
    <w:pPr>
      <w:numPr>
        <w:numId w:val="19"/>
      </w:numPr>
      <w:suppressAutoHyphens/>
      <w:autoSpaceDN w:val="0"/>
      <w:spacing w:before="40" w:after="20" w:line="264" w:lineRule="auto"/>
    </w:pPr>
    <w:rPr>
      <w:rFonts w:ascii="Arial" w:eastAsia="Times New Roman" w:hAnsi="Arial" w:cs="Arial"/>
      <w:iCs/>
      <w:sz w:val="18"/>
      <w:szCs w:val="20"/>
    </w:rPr>
  </w:style>
  <w:style w:type="numbering" w:customStyle="1" w:styleId="LFO23">
    <w:name w:val="LFO23"/>
    <w:rsid w:val="00EF4881"/>
    <w:pPr>
      <w:numPr>
        <w:numId w:val="19"/>
      </w:numPr>
    </w:pPr>
  </w:style>
  <w:style w:type="paragraph" w:customStyle="1" w:styleId="tabletext">
    <w:name w:val="table text"/>
    <w:basedOn w:val="Normal"/>
    <w:qFormat/>
    <w:rsid w:val="00481029"/>
    <w:pPr>
      <w:spacing w:before="60" w:after="40" w:line="264" w:lineRule="auto"/>
    </w:pPr>
    <w:rPr>
      <w:rFonts w:ascii="Arial" w:eastAsia="Times New Roman" w:hAnsi="Arial" w:cs="Arial"/>
      <w:bCs/>
      <w:iCs/>
      <w:sz w:val="18"/>
      <w:szCs w:val="24"/>
    </w:rPr>
  </w:style>
  <w:style w:type="paragraph" w:styleId="ListBullet2">
    <w:name w:val="List Bullet 2"/>
    <w:basedOn w:val="Normal"/>
    <w:autoRedefine/>
    <w:rsid w:val="004E0086"/>
    <w:pPr>
      <w:numPr>
        <w:numId w:val="33"/>
      </w:numPr>
      <w:spacing w:before="60" w:after="120" w:line="264" w:lineRule="auto"/>
    </w:pPr>
    <w:rPr>
      <w:rFonts w:ascii="Arial" w:eastAsia="Times New Roman" w:hAnsi="Arial" w:cs="Times New Roman"/>
      <w:sz w:val="20"/>
      <w:szCs w:val="24"/>
    </w:rPr>
  </w:style>
  <w:style w:type="paragraph" w:customStyle="1" w:styleId="table11bullet2">
    <w:name w:val="table 1.1 bullet 2"/>
    <w:basedOn w:val="tabletextbullet2"/>
    <w:qFormat/>
    <w:rsid w:val="00E01E50"/>
    <w:pPr>
      <w:numPr>
        <w:numId w:val="34"/>
      </w:numPr>
    </w:pPr>
  </w:style>
  <w:style w:type="paragraph" w:styleId="ListBullet3">
    <w:name w:val="List Bullet 3"/>
    <w:basedOn w:val="Normal"/>
    <w:autoRedefine/>
    <w:rsid w:val="004A2572"/>
    <w:pPr>
      <w:numPr>
        <w:numId w:val="36"/>
      </w:numPr>
      <w:spacing w:before="60" w:after="120" w:line="264" w:lineRule="auto"/>
    </w:pPr>
    <w:rPr>
      <w:rFonts w:ascii="Arial" w:eastAsia="Times New Roman" w:hAnsi="Arial" w:cs="Times New Roman"/>
      <w:sz w:val="20"/>
      <w:szCs w:val="24"/>
    </w:rPr>
  </w:style>
  <w:style w:type="paragraph" w:styleId="ListBullet5">
    <w:name w:val="List Bullet 5"/>
    <w:basedOn w:val="Normal"/>
    <w:uiPriority w:val="99"/>
    <w:semiHidden/>
    <w:unhideWhenUsed/>
    <w:rsid w:val="002118B7"/>
    <w:pPr>
      <w:numPr>
        <w:numId w:val="3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70671">
      <w:bodyDiv w:val="1"/>
      <w:marLeft w:val="0"/>
      <w:marRight w:val="0"/>
      <w:marTop w:val="0"/>
      <w:marBottom w:val="0"/>
      <w:divBdr>
        <w:top w:val="none" w:sz="0" w:space="0" w:color="auto"/>
        <w:left w:val="none" w:sz="0" w:space="0" w:color="auto"/>
        <w:bottom w:val="none" w:sz="0" w:space="0" w:color="auto"/>
        <w:right w:val="none" w:sz="0" w:space="0" w:color="auto"/>
      </w:divBdr>
    </w:div>
    <w:div w:id="160854767">
      <w:bodyDiv w:val="1"/>
      <w:marLeft w:val="0"/>
      <w:marRight w:val="0"/>
      <w:marTop w:val="0"/>
      <w:marBottom w:val="0"/>
      <w:divBdr>
        <w:top w:val="none" w:sz="0" w:space="0" w:color="auto"/>
        <w:left w:val="none" w:sz="0" w:space="0" w:color="auto"/>
        <w:bottom w:val="none" w:sz="0" w:space="0" w:color="auto"/>
        <w:right w:val="none" w:sz="0" w:space="0" w:color="auto"/>
      </w:divBdr>
    </w:div>
    <w:div w:id="189102971">
      <w:bodyDiv w:val="1"/>
      <w:marLeft w:val="0"/>
      <w:marRight w:val="0"/>
      <w:marTop w:val="0"/>
      <w:marBottom w:val="0"/>
      <w:divBdr>
        <w:top w:val="none" w:sz="0" w:space="0" w:color="auto"/>
        <w:left w:val="none" w:sz="0" w:space="0" w:color="auto"/>
        <w:bottom w:val="none" w:sz="0" w:space="0" w:color="auto"/>
        <w:right w:val="none" w:sz="0" w:space="0" w:color="auto"/>
      </w:divBdr>
    </w:div>
    <w:div w:id="302585351">
      <w:bodyDiv w:val="1"/>
      <w:marLeft w:val="0"/>
      <w:marRight w:val="0"/>
      <w:marTop w:val="0"/>
      <w:marBottom w:val="0"/>
      <w:divBdr>
        <w:top w:val="none" w:sz="0" w:space="0" w:color="auto"/>
        <w:left w:val="none" w:sz="0" w:space="0" w:color="auto"/>
        <w:bottom w:val="none" w:sz="0" w:space="0" w:color="auto"/>
        <w:right w:val="none" w:sz="0" w:space="0" w:color="auto"/>
      </w:divBdr>
    </w:div>
    <w:div w:id="334646886">
      <w:bodyDiv w:val="1"/>
      <w:marLeft w:val="0"/>
      <w:marRight w:val="0"/>
      <w:marTop w:val="0"/>
      <w:marBottom w:val="0"/>
      <w:divBdr>
        <w:top w:val="none" w:sz="0" w:space="0" w:color="auto"/>
        <w:left w:val="none" w:sz="0" w:space="0" w:color="auto"/>
        <w:bottom w:val="none" w:sz="0" w:space="0" w:color="auto"/>
        <w:right w:val="none" w:sz="0" w:space="0" w:color="auto"/>
      </w:divBdr>
    </w:div>
    <w:div w:id="341981833">
      <w:bodyDiv w:val="1"/>
      <w:marLeft w:val="0"/>
      <w:marRight w:val="0"/>
      <w:marTop w:val="0"/>
      <w:marBottom w:val="0"/>
      <w:divBdr>
        <w:top w:val="none" w:sz="0" w:space="0" w:color="auto"/>
        <w:left w:val="none" w:sz="0" w:space="0" w:color="auto"/>
        <w:bottom w:val="none" w:sz="0" w:space="0" w:color="auto"/>
        <w:right w:val="none" w:sz="0" w:space="0" w:color="auto"/>
      </w:divBdr>
    </w:div>
    <w:div w:id="361710194">
      <w:bodyDiv w:val="1"/>
      <w:marLeft w:val="0"/>
      <w:marRight w:val="0"/>
      <w:marTop w:val="0"/>
      <w:marBottom w:val="0"/>
      <w:divBdr>
        <w:top w:val="none" w:sz="0" w:space="0" w:color="auto"/>
        <w:left w:val="none" w:sz="0" w:space="0" w:color="auto"/>
        <w:bottom w:val="none" w:sz="0" w:space="0" w:color="auto"/>
        <w:right w:val="none" w:sz="0" w:space="0" w:color="auto"/>
      </w:divBdr>
    </w:div>
    <w:div w:id="393822406">
      <w:bodyDiv w:val="1"/>
      <w:marLeft w:val="0"/>
      <w:marRight w:val="0"/>
      <w:marTop w:val="0"/>
      <w:marBottom w:val="0"/>
      <w:divBdr>
        <w:top w:val="none" w:sz="0" w:space="0" w:color="auto"/>
        <w:left w:val="none" w:sz="0" w:space="0" w:color="auto"/>
        <w:bottom w:val="none" w:sz="0" w:space="0" w:color="auto"/>
        <w:right w:val="none" w:sz="0" w:space="0" w:color="auto"/>
      </w:divBdr>
    </w:div>
    <w:div w:id="394663411">
      <w:bodyDiv w:val="1"/>
      <w:marLeft w:val="0"/>
      <w:marRight w:val="0"/>
      <w:marTop w:val="0"/>
      <w:marBottom w:val="0"/>
      <w:divBdr>
        <w:top w:val="none" w:sz="0" w:space="0" w:color="auto"/>
        <w:left w:val="none" w:sz="0" w:space="0" w:color="auto"/>
        <w:bottom w:val="none" w:sz="0" w:space="0" w:color="auto"/>
        <w:right w:val="none" w:sz="0" w:space="0" w:color="auto"/>
      </w:divBdr>
    </w:div>
    <w:div w:id="469446969">
      <w:bodyDiv w:val="1"/>
      <w:marLeft w:val="0"/>
      <w:marRight w:val="0"/>
      <w:marTop w:val="0"/>
      <w:marBottom w:val="0"/>
      <w:divBdr>
        <w:top w:val="none" w:sz="0" w:space="0" w:color="auto"/>
        <w:left w:val="none" w:sz="0" w:space="0" w:color="auto"/>
        <w:bottom w:val="none" w:sz="0" w:space="0" w:color="auto"/>
        <w:right w:val="none" w:sz="0" w:space="0" w:color="auto"/>
      </w:divBdr>
    </w:div>
    <w:div w:id="582955708">
      <w:bodyDiv w:val="1"/>
      <w:marLeft w:val="0"/>
      <w:marRight w:val="0"/>
      <w:marTop w:val="0"/>
      <w:marBottom w:val="0"/>
      <w:divBdr>
        <w:top w:val="none" w:sz="0" w:space="0" w:color="auto"/>
        <w:left w:val="none" w:sz="0" w:space="0" w:color="auto"/>
        <w:bottom w:val="none" w:sz="0" w:space="0" w:color="auto"/>
        <w:right w:val="none" w:sz="0" w:space="0" w:color="auto"/>
      </w:divBdr>
    </w:div>
    <w:div w:id="613484890">
      <w:bodyDiv w:val="1"/>
      <w:marLeft w:val="0"/>
      <w:marRight w:val="0"/>
      <w:marTop w:val="0"/>
      <w:marBottom w:val="0"/>
      <w:divBdr>
        <w:top w:val="none" w:sz="0" w:space="0" w:color="auto"/>
        <w:left w:val="none" w:sz="0" w:space="0" w:color="auto"/>
        <w:bottom w:val="none" w:sz="0" w:space="0" w:color="auto"/>
        <w:right w:val="none" w:sz="0" w:space="0" w:color="auto"/>
      </w:divBdr>
    </w:div>
    <w:div w:id="655500472">
      <w:bodyDiv w:val="1"/>
      <w:marLeft w:val="0"/>
      <w:marRight w:val="0"/>
      <w:marTop w:val="0"/>
      <w:marBottom w:val="0"/>
      <w:divBdr>
        <w:top w:val="none" w:sz="0" w:space="0" w:color="auto"/>
        <w:left w:val="none" w:sz="0" w:space="0" w:color="auto"/>
        <w:bottom w:val="none" w:sz="0" w:space="0" w:color="auto"/>
        <w:right w:val="none" w:sz="0" w:space="0" w:color="auto"/>
      </w:divBdr>
    </w:div>
    <w:div w:id="827331493">
      <w:bodyDiv w:val="1"/>
      <w:marLeft w:val="0"/>
      <w:marRight w:val="0"/>
      <w:marTop w:val="0"/>
      <w:marBottom w:val="0"/>
      <w:divBdr>
        <w:top w:val="none" w:sz="0" w:space="0" w:color="auto"/>
        <w:left w:val="none" w:sz="0" w:space="0" w:color="auto"/>
        <w:bottom w:val="none" w:sz="0" w:space="0" w:color="auto"/>
        <w:right w:val="none" w:sz="0" w:space="0" w:color="auto"/>
      </w:divBdr>
    </w:div>
    <w:div w:id="846678873">
      <w:bodyDiv w:val="1"/>
      <w:marLeft w:val="0"/>
      <w:marRight w:val="0"/>
      <w:marTop w:val="0"/>
      <w:marBottom w:val="0"/>
      <w:divBdr>
        <w:top w:val="none" w:sz="0" w:space="0" w:color="auto"/>
        <w:left w:val="none" w:sz="0" w:space="0" w:color="auto"/>
        <w:bottom w:val="none" w:sz="0" w:space="0" w:color="auto"/>
        <w:right w:val="none" w:sz="0" w:space="0" w:color="auto"/>
      </w:divBdr>
    </w:div>
    <w:div w:id="867452011">
      <w:bodyDiv w:val="1"/>
      <w:marLeft w:val="0"/>
      <w:marRight w:val="0"/>
      <w:marTop w:val="0"/>
      <w:marBottom w:val="0"/>
      <w:divBdr>
        <w:top w:val="none" w:sz="0" w:space="0" w:color="auto"/>
        <w:left w:val="none" w:sz="0" w:space="0" w:color="auto"/>
        <w:bottom w:val="none" w:sz="0" w:space="0" w:color="auto"/>
        <w:right w:val="none" w:sz="0" w:space="0" w:color="auto"/>
      </w:divBdr>
    </w:div>
    <w:div w:id="950749304">
      <w:bodyDiv w:val="1"/>
      <w:marLeft w:val="0"/>
      <w:marRight w:val="0"/>
      <w:marTop w:val="0"/>
      <w:marBottom w:val="0"/>
      <w:divBdr>
        <w:top w:val="none" w:sz="0" w:space="0" w:color="auto"/>
        <w:left w:val="none" w:sz="0" w:space="0" w:color="auto"/>
        <w:bottom w:val="none" w:sz="0" w:space="0" w:color="auto"/>
        <w:right w:val="none" w:sz="0" w:space="0" w:color="auto"/>
      </w:divBdr>
    </w:div>
    <w:div w:id="999888953">
      <w:bodyDiv w:val="1"/>
      <w:marLeft w:val="0"/>
      <w:marRight w:val="0"/>
      <w:marTop w:val="0"/>
      <w:marBottom w:val="0"/>
      <w:divBdr>
        <w:top w:val="none" w:sz="0" w:space="0" w:color="auto"/>
        <w:left w:val="none" w:sz="0" w:space="0" w:color="auto"/>
        <w:bottom w:val="none" w:sz="0" w:space="0" w:color="auto"/>
        <w:right w:val="none" w:sz="0" w:space="0" w:color="auto"/>
      </w:divBdr>
    </w:div>
    <w:div w:id="1148592511">
      <w:bodyDiv w:val="1"/>
      <w:marLeft w:val="0"/>
      <w:marRight w:val="0"/>
      <w:marTop w:val="0"/>
      <w:marBottom w:val="0"/>
      <w:divBdr>
        <w:top w:val="none" w:sz="0" w:space="0" w:color="auto"/>
        <w:left w:val="none" w:sz="0" w:space="0" w:color="auto"/>
        <w:bottom w:val="none" w:sz="0" w:space="0" w:color="auto"/>
        <w:right w:val="none" w:sz="0" w:space="0" w:color="auto"/>
      </w:divBdr>
    </w:div>
    <w:div w:id="1151286590">
      <w:bodyDiv w:val="1"/>
      <w:marLeft w:val="0"/>
      <w:marRight w:val="0"/>
      <w:marTop w:val="0"/>
      <w:marBottom w:val="0"/>
      <w:divBdr>
        <w:top w:val="none" w:sz="0" w:space="0" w:color="auto"/>
        <w:left w:val="none" w:sz="0" w:space="0" w:color="auto"/>
        <w:bottom w:val="none" w:sz="0" w:space="0" w:color="auto"/>
        <w:right w:val="none" w:sz="0" w:space="0" w:color="auto"/>
      </w:divBdr>
    </w:div>
    <w:div w:id="1209532625">
      <w:bodyDiv w:val="1"/>
      <w:marLeft w:val="0"/>
      <w:marRight w:val="0"/>
      <w:marTop w:val="0"/>
      <w:marBottom w:val="0"/>
      <w:divBdr>
        <w:top w:val="none" w:sz="0" w:space="0" w:color="auto"/>
        <w:left w:val="none" w:sz="0" w:space="0" w:color="auto"/>
        <w:bottom w:val="none" w:sz="0" w:space="0" w:color="auto"/>
        <w:right w:val="none" w:sz="0" w:space="0" w:color="auto"/>
      </w:divBdr>
    </w:div>
    <w:div w:id="1301694506">
      <w:bodyDiv w:val="1"/>
      <w:marLeft w:val="0"/>
      <w:marRight w:val="0"/>
      <w:marTop w:val="0"/>
      <w:marBottom w:val="0"/>
      <w:divBdr>
        <w:top w:val="none" w:sz="0" w:space="0" w:color="auto"/>
        <w:left w:val="none" w:sz="0" w:space="0" w:color="auto"/>
        <w:bottom w:val="none" w:sz="0" w:space="0" w:color="auto"/>
        <w:right w:val="none" w:sz="0" w:space="0" w:color="auto"/>
      </w:divBdr>
    </w:div>
    <w:div w:id="1438479885">
      <w:bodyDiv w:val="1"/>
      <w:marLeft w:val="0"/>
      <w:marRight w:val="0"/>
      <w:marTop w:val="0"/>
      <w:marBottom w:val="0"/>
      <w:divBdr>
        <w:top w:val="none" w:sz="0" w:space="0" w:color="auto"/>
        <w:left w:val="none" w:sz="0" w:space="0" w:color="auto"/>
        <w:bottom w:val="none" w:sz="0" w:space="0" w:color="auto"/>
        <w:right w:val="none" w:sz="0" w:space="0" w:color="auto"/>
      </w:divBdr>
    </w:div>
    <w:div w:id="1470518033">
      <w:bodyDiv w:val="1"/>
      <w:marLeft w:val="0"/>
      <w:marRight w:val="0"/>
      <w:marTop w:val="0"/>
      <w:marBottom w:val="0"/>
      <w:divBdr>
        <w:top w:val="none" w:sz="0" w:space="0" w:color="auto"/>
        <w:left w:val="none" w:sz="0" w:space="0" w:color="auto"/>
        <w:bottom w:val="none" w:sz="0" w:space="0" w:color="auto"/>
        <w:right w:val="none" w:sz="0" w:space="0" w:color="auto"/>
      </w:divBdr>
    </w:div>
    <w:div w:id="1486118195">
      <w:bodyDiv w:val="1"/>
      <w:marLeft w:val="0"/>
      <w:marRight w:val="0"/>
      <w:marTop w:val="0"/>
      <w:marBottom w:val="0"/>
      <w:divBdr>
        <w:top w:val="none" w:sz="0" w:space="0" w:color="auto"/>
        <w:left w:val="none" w:sz="0" w:space="0" w:color="auto"/>
        <w:bottom w:val="none" w:sz="0" w:space="0" w:color="auto"/>
        <w:right w:val="none" w:sz="0" w:space="0" w:color="auto"/>
      </w:divBdr>
    </w:div>
    <w:div w:id="1515261852">
      <w:bodyDiv w:val="1"/>
      <w:marLeft w:val="0"/>
      <w:marRight w:val="0"/>
      <w:marTop w:val="0"/>
      <w:marBottom w:val="0"/>
      <w:divBdr>
        <w:top w:val="none" w:sz="0" w:space="0" w:color="auto"/>
        <w:left w:val="none" w:sz="0" w:space="0" w:color="auto"/>
        <w:bottom w:val="none" w:sz="0" w:space="0" w:color="auto"/>
        <w:right w:val="none" w:sz="0" w:space="0" w:color="auto"/>
      </w:divBdr>
    </w:div>
    <w:div w:id="1517111777">
      <w:bodyDiv w:val="1"/>
      <w:marLeft w:val="0"/>
      <w:marRight w:val="0"/>
      <w:marTop w:val="0"/>
      <w:marBottom w:val="0"/>
      <w:divBdr>
        <w:top w:val="none" w:sz="0" w:space="0" w:color="auto"/>
        <w:left w:val="none" w:sz="0" w:space="0" w:color="auto"/>
        <w:bottom w:val="none" w:sz="0" w:space="0" w:color="auto"/>
        <w:right w:val="none" w:sz="0" w:space="0" w:color="auto"/>
      </w:divBdr>
    </w:div>
    <w:div w:id="1616407609">
      <w:bodyDiv w:val="1"/>
      <w:marLeft w:val="0"/>
      <w:marRight w:val="0"/>
      <w:marTop w:val="0"/>
      <w:marBottom w:val="0"/>
      <w:divBdr>
        <w:top w:val="none" w:sz="0" w:space="0" w:color="auto"/>
        <w:left w:val="none" w:sz="0" w:space="0" w:color="auto"/>
        <w:bottom w:val="none" w:sz="0" w:space="0" w:color="auto"/>
        <w:right w:val="none" w:sz="0" w:space="0" w:color="auto"/>
      </w:divBdr>
    </w:div>
    <w:div w:id="1728262646">
      <w:bodyDiv w:val="1"/>
      <w:marLeft w:val="0"/>
      <w:marRight w:val="0"/>
      <w:marTop w:val="0"/>
      <w:marBottom w:val="0"/>
      <w:divBdr>
        <w:top w:val="none" w:sz="0" w:space="0" w:color="auto"/>
        <w:left w:val="none" w:sz="0" w:space="0" w:color="auto"/>
        <w:bottom w:val="none" w:sz="0" w:space="0" w:color="auto"/>
        <w:right w:val="none" w:sz="0" w:space="0" w:color="auto"/>
      </w:divBdr>
    </w:div>
    <w:div w:id="1738479905">
      <w:bodyDiv w:val="1"/>
      <w:marLeft w:val="0"/>
      <w:marRight w:val="0"/>
      <w:marTop w:val="0"/>
      <w:marBottom w:val="0"/>
      <w:divBdr>
        <w:top w:val="none" w:sz="0" w:space="0" w:color="auto"/>
        <w:left w:val="none" w:sz="0" w:space="0" w:color="auto"/>
        <w:bottom w:val="none" w:sz="0" w:space="0" w:color="auto"/>
        <w:right w:val="none" w:sz="0" w:space="0" w:color="auto"/>
      </w:divBdr>
    </w:div>
    <w:div w:id="1907689935">
      <w:bodyDiv w:val="1"/>
      <w:marLeft w:val="0"/>
      <w:marRight w:val="0"/>
      <w:marTop w:val="0"/>
      <w:marBottom w:val="0"/>
      <w:divBdr>
        <w:top w:val="none" w:sz="0" w:space="0" w:color="auto"/>
        <w:left w:val="none" w:sz="0" w:space="0" w:color="auto"/>
        <w:bottom w:val="none" w:sz="0" w:space="0" w:color="auto"/>
        <w:right w:val="none" w:sz="0" w:space="0" w:color="auto"/>
      </w:divBdr>
    </w:div>
    <w:div w:id="1952861071">
      <w:bodyDiv w:val="1"/>
      <w:marLeft w:val="0"/>
      <w:marRight w:val="0"/>
      <w:marTop w:val="0"/>
      <w:marBottom w:val="0"/>
      <w:divBdr>
        <w:top w:val="none" w:sz="0" w:space="0" w:color="auto"/>
        <w:left w:val="none" w:sz="0" w:space="0" w:color="auto"/>
        <w:bottom w:val="none" w:sz="0" w:space="0" w:color="auto"/>
        <w:right w:val="none" w:sz="0" w:space="0" w:color="auto"/>
      </w:divBdr>
    </w:div>
    <w:div w:id="1968200295">
      <w:bodyDiv w:val="1"/>
      <w:marLeft w:val="0"/>
      <w:marRight w:val="0"/>
      <w:marTop w:val="0"/>
      <w:marBottom w:val="0"/>
      <w:divBdr>
        <w:top w:val="none" w:sz="0" w:space="0" w:color="auto"/>
        <w:left w:val="none" w:sz="0" w:space="0" w:color="auto"/>
        <w:bottom w:val="none" w:sz="0" w:space="0" w:color="auto"/>
        <w:right w:val="none" w:sz="0" w:space="0" w:color="auto"/>
      </w:divBdr>
    </w:div>
    <w:div w:id="1971015756">
      <w:bodyDiv w:val="1"/>
      <w:marLeft w:val="0"/>
      <w:marRight w:val="0"/>
      <w:marTop w:val="0"/>
      <w:marBottom w:val="0"/>
      <w:divBdr>
        <w:top w:val="none" w:sz="0" w:space="0" w:color="auto"/>
        <w:left w:val="none" w:sz="0" w:space="0" w:color="auto"/>
        <w:bottom w:val="none" w:sz="0" w:space="0" w:color="auto"/>
        <w:right w:val="none" w:sz="0" w:space="0" w:color="auto"/>
      </w:divBdr>
    </w:div>
    <w:div w:id="210668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4" Type="http://schemas.openxmlformats.org/officeDocument/2006/relationships/settings" Target="settings.xml"/><Relationship Id="rId6" Type="http://schemas.openxmlformats.org/officeDocument/2006/relationships/fontTable" Target="fontTable.xml"/><Relationship Id="rId2" Type="http://schemas.openxmlformats.org/officeDocument/2006/relationships/numbering" Target="numbering.xml"/><Relationship Id="rId7" Type="http://schemas.openxmlformats.org/officeDocument/2006/relationships/theme" Target="theme/theme1.xml"/><Relationship Id="rId5" Type="http://schemas.openxmlformats.org/officeDocument/2006/relationships/webSettings" Target="webSetting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C056B-1CE0-4FFF-8631-2FD5F6FEE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Stephens</dc:creator>
  <cp:keywords/>
  <dc:description/>
  <cp:lastModifiedBy>vm</cp:lastModifiedBy>
  <cp:revision>49</cp:revision>
  <dcterms:created xsi:type="dcterms:W3CDTF">2015-12-14T16:54:00Z</dcterms:created>
  <dcterms:modified xsi:type="dcterms:W3CDTF">2016-09-15T08:56:00Z</dcterms:modified>
</cp:coreProperties>
</file>